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1ee4c63a2bd1fa44b70d092d4396d99be8a15b"/>
    <w:p>
      <w:pPr>
        <w:pStyle w:val="Heading1"/>
      </w:pPr>
      <w:r>
        <w:t xml:space="preserve">A Lightweight Workload-Aware Microservices Autoscaling with QoS Assurance</w:t>
      </w:r>
    </w:p>
    <w:bookmarkStart w:id="20" w:name="设计理念"/>
    <w:p>
      <w:pPr>
        <w:pStyle w:val="Heading2"/>
      </w:pPr>
      <w:r>
        <w:t xml:space="preserve">设计理念</w:t>
      </w:r>
    </w:p>
    <w:p>
      <w:pPr>
        <w:numPr>
          <w:ilvl w:val="0"/>
          <w:numId w:val="1001"/>
        </w:numPr>
      </w:pPr>
      <w:r>
        <w:t xml:space="preserve">可学习机制，说白了就是通用性的实现。</w:t>
      </w:r>
    </w:p>
    <w:p>
      <w:pPr>
        <w:numPr>
          <w:ilvl w:val="0"/>
          <w:numId w:val="1001"/>
        </w:numPr>
      </w:pPr>
      <w:r>
        <w:t xml:space="preserve">高效率，减少发现最优分配机制的迭代次数。</w:t>
      </w:r>
    </w:p>
    <w:p>
      <w:pPr>
        <w:numPr>
          <w:ilvl w:val="0"/>
          <w:numId w:val="1001"/>
        </w:numPr>
      </w:pPr>
      <w:r>
        <w:t xml:space="preserve">不进行错误的学习，而是通过分配足够的资源，然后减少看是否违背SLO。</w:t>
      </w:r>
    </w:p>
    <w:bookmarkEnd w:id="20"/>
    <w:bookmarkStart w:id="21" w:name="设计思维"/>
    <w:p>
      <w:pPr>
        <w:pStyle w:val="Heading2"/>
      </w:pPr>
      <w:r>
        <w:t xml:space="preserve">设计思维</w:t>
      </w:r>
    </w:p>
    <w:p>
      <w:pPr>
        <w:pStyle w:val="FirstParagraph"/>
      </w:pPr>
      <w:r>
        <w:t xml:space="preserve">资源的改变对于某一类微服务实例可能增大或者减少，导致独立的微服务实例的性能可能增大或减少，但是对于端到端而言，其性能与总体资源量成正比。</w:t>
      </w:r>
    </w:p>
    <w:p>
      <w:pPr>
        <w:pStyle w:val="BodyText"/>
      </w:pPr>
      <w:r>
        <w:t xml:space="preserve">但是这样并不能知道哪个微服务实例成为了瓶颈，从而有定义了一个微服务层的性能指标。</w:t>
      </w:r>
    </w:p>
    <w:p>
      <w:pPr>
        <w:pStyle w:val="BodyText"/>
      </w:pPr>
      <w:r>
        <w:t xml:space="preserve">有意思，延迟不应该考虑一个微服务到微服务，而应该是end-to-end。</w:t>
      </w:r>
    </w:p>
    <w:bookmarkEnd w:id="21"/>
    <w:bookmarkStart w:id="22" w:name="pema弹性伸缩器"/>
    <w:p>
      <w:pPr>
        <w:pStyle w:val="Heading2"/>
      </w:pPr>
      <w:r>
        <w:t xml:space="preserve">PEMA弹性伸缩器</w:t>
      </w:r>
    </w:p>
    <w:p>
      <w:pPr>
        <w:numPr>
          <w:ilvl w:val="0"/>
          <w:numId w:val="1002"/>
        </w:numPr>
      </w:pPr>
      <w:r>
        <w:t xml:space="preserve">首先定义了资源的衰减，资源的衰减与end-to-end的响应时间成反比。</w:t>
      </w:r>
    </w:p>
    <w:p>
      <w:pPr>
        <w:numPr>
          <w:ilvl w:val="0"/>
          <w:numId w:val="1002"/>
        </w:numPr>
      </w:pPr>
      <w:r>
        <w:t xml:space="preserve">对微服务层的指标阈值进行数学定义，并对阈值进行了动态更新（通过学习）。</w:t>
      </w:r>
    </w:p>
    <w:p>
      <w:pPr>
        <w:numPr>
          <w:ilvl w:val="0"/>
          <w:numId w:val="1002"/>
        </w:numPr>
      </w:pPr>
      <w:r>
        <w:t xml:space="preserve">记录每次资源分配记录表，进行迭代分配。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2022-03-11T04:24:21Z</dcterms:created>
  <dcterms:modified xsi:type="dcterms:W3CDTF">2022-03-11T04:24:21Z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