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Title"/>
      </w:pPr>
      <w:r>
        <w:t>2026年秋课程评分标准</w:t>
      </w:r>
    </w:p>
    <w:p>
      <w:pPr>
        <w:pStyle w:val="2"/>
      </w:pPr>
      <w:r>
        <w:t>一、评分结构</w:t>
      </w:r>
    </w:p>
    <w:p>
      <w:r>
        <w:t>课程总评满分100分，由考勤10分、项目实验与材料70分和项目汇报20分组成。材料70分包括代码与可复现性25分、实验设计与结果30分、报告分析15分。各分项原始分直接相加。</w:t>
      </w:r>
    </w:p>
    <w:p>
      <w:pPr>
        <w:pStyle w:val="2"/>
      </w:pPr>
      <w:r>
        <w:t>二、考勤评分</w:t>
      </w:r>
    </w:p>
    <w:p>
      <w:r>
        <w:t>考勤按实际授课课次记录。P表示正常出勤，按1次计；L表示确认迟到或早退，按0.5次计；A表示无正当理由缺席，按0次计；E表示经教师核准免计的课次。停课和E记录从计分分母中扣除。</w:t>
      </w:r>
    </w:p>
    <w:p>
      <w:r>
        <w:t>考勤分按公式10×(P次数＋0.5×L次数)÷(P次数＋L次数＋A次数)计算，保留两位小数。</w:t>
      </w:r>
    </w:p>
    <w:p>
      <w:r>
        <w:t>迟到、早退及免计课次依据公布的授课时间和核准记录认定，同一课次只登记一次计分状态。漏签记录经点名或其他课堂记录核实后更正。计分分母为零的情况由教师核定。</w:t>
      </w:r>
    </w:p>
    <w:p>
      <w:pPr>
        <w:pStyle w:val="2"/>
      </w:pPr>
      <w:r>
        <w:t>三、项目实验与材料评分</w:t>
      </w:r>
    </w:p>
    <w:p>
      <w:r>
        <w:t>项目实验与材料70分按阶段一20分、阶段二30分、阶段三20分评定。阶段一包括实现8分、实验8分、分析4分；阶段二包括实现12分、实验12分、分析6分；阶段三包括实现5分、实验10分、分析5分。按材料类型归集，代码与可复现性共25分、实验设计与结果共30分、报告分析共15分。</w:t>
      </w:r>
    </w:p>
    <w:p>
      <w:r>
        <w:t>每个2分检查点按完整满足2分、部分满足1分、未满足或缺少有效证据0分评定；每个1分检查点按满足1分、未满足0分评定。各分项成绩为检查点之和。</w:t>
      </w:r>
    </w:p>
    <w:p>
      <w:pPr>
        <w:pStyle w:val="3"/>
      </w:pPr>
      <w:r>
        <w:t>阶段一：基础训练与基线建立，20分。</w:t>
      </w:r>
    </w:p>
    <w:p>
      <w:r>
        <w:t>S1C实现8分：数据处理与评估边界、模型与LoRA训练实现、配置与随机种子记录、最小实验复现四个检查点各2分。</w:t>
      </w:r>
    </w:p>
    <w:p>
      <w:r>
        <w:t>S1E实验8分：集中训练完成、训练与验证及测试数据用途正确、基线指标与原始记录一致、基本推理评测完成四个检查点各2分。</w:t>
      </w:r>
    </w:p>
    <w:p>
      <w:r>
        <w:t>S1R分析4分：任务与方法说明、基线结果解释两个检查点各2分。</w:t>
      </w:r>
    </w:p>
    <w:p>
      <w:pPr>
        <w:pStyle w:val="3"/>
      </w:pPr>
      <w:r>
        <w:t>阶段二：联邦微调与对照分析，30分。</w:t>
      </w:r>
    </w:p>
    <w:p>
      <w:r>
        <w:t>S2C实现12分：同轮全局初始化、本地状态隔离、本地训练、规定参数与样本权重聚合、必要检查点保存、恢复继续运行六个检查点各2分。</w:t>
      </w:r>
    </w:p>
    <w:p>
      <w:r>
        <w:t>S2E实验12分：独立微调完成、联邦微调完成、数据划分与客户端统计、两种分布的对照、统一测试及训练预算说明、规定种子实验与日志完整六个检查点各2分。</w:t>
      </w:r>
    </w:p>
    <w:p>
      <w:r>
        <w:t>S2R分析6分：训练方式差异解释、数据分布影响解释两个检查点各2分；图表与实验记录可追踪、资料来源与个人贡献明确两个检查点各1分。</w:t>
      </w:r>
    </w:p>
    <w:p>
      <w:pPr>
        <w:pStyle w:val="3"/>
      </w:pPr>
      <w:r>
        <w:t>阶段三：规模扩展与优化，20分。</w:t>
      </w:r>
    </w:p>
    <w:p>
      <w:r>
        <w:t>S3C实现5分：配置驱动的实验运行、实验标识与日志隔离、扩大规模后的恢复运行、时间记录、参数与通信量及内存等资源记录五个检查点各1分。</w:t>
      </w:r>
    </w:p>
    <w:p>
      <w:r>
        <w:t>S3E实验10分：规定规模实验及一致的验证协议、规模与训练预算记录、单一优化因素及其他条件控制、两个优化设置的完整对照四个检查点各2分；规定种子实验完成、汇总统计与原始记录一致两个检查点各1分。</w:t>
      </w:r>
    </w:p>
    <w:p>
      <w:r>
        <w:t>S3R分析5分：规模与结果变化、优化设置与结果变化、资源开销变化、模型效果与资源开销之间的取舍、结论适用条件与局限五个检查点各1分。</w:t>
      </w:r>
    </w:p>
    <w:p>
      <w:r>
        <w:t>各阶段依据新增实现、实验和分析证据评分。前序阶段的基线、框架和日志可供后序阶段引用；同一完成事项的分数只计入对应检查点一次。</w:t>
      </w:r>
    </w:p>
    <w:p>
      <w:r>
        <w:t>前两个阶段共50分，第三阶段20分，均计入材料70分。项目仅完成前两个阶段且考勤与汇报均满分时，总评最高80分；三个阶段全部达到满分要求时，总评为100分。设备类型与训练时长不直接产生分数，CPU完成同等第三阶段要求时获得相同评价。</w:t>
      </w:r>
    </w:p>
    <w:p>
      <w:pPr>
        <w:pStyle w:val="2"/>
      </w:pPr>
      <w:r>
        <w:t>四、项目汇报评分</w:t>
      </w:r>
    </w:p>
    <w:p>
      <w:r>
        <w:t>项目汇报包括四个维度，每个维度5分，合计20分。汇报根据项目已完成内容评价，完成前两个阶段的项目也可获得完整汇报分；第三阶段的完成差异计入该阶段材料分项。</w:t>
      </w:r>
    </w:p>
    <w:p>
      <w:r>
        <w:t>O1方法理解评价学生对项目问题、研究方法、联邦训练流程和方法选择依据的理解。</w:t>
      </w:r>
    </w:p>
    <w:p>
      <w:r>
        <w:t>O2实现掌握评价学生定位关键代码、说明输入输出、解释本人工作及边界处理的能力。</w:t>
      </w:r>
    </w:p>
    <w:p>
      <w:r>
        <w:t>O3结果与局限分析评价学生依据实验设置与原始记录解释对照结果、异常现象、适用条件和改进思路的能力。</w:t>
      </w:r>
    </w:p>
    <w:p>
      <w:r>
        <w:t>O4组织与证据展示评价学生对问题、方法、结果和结论的组织，以及图表和演示的清晰度。</w:t>
      </w:r>
    </w:p>
    <w:p>
      <w:r>
        <w:t>O1—O3分别采用六档评分。5分表示解释独立、准确、完整且依据充分；4分表示主体正确且存在轻微遗漏；3分表示经一次提示能够说明主要内容；2分表示解释部分内容且存在明显混淆；1分表示仅能复述术语；0分表示未提供有效内容。</w:t>
      </w:r>
    </w:p>
    <w:p>
      <w:r>
        <w:t>O4采用五个1分检查点：问题与目标清楚、方法与结果顺序清楚、证据展示可读、陈述与提交材料一致、遵守统一时长并保留个人交流时间。评分依据汇报内容、展示材料和项目问答记录。</w:t>
      </w:r>
    </w:p>
    <w:p>
      <w:r>
        <w:t>每名学生接受个人评价。教师与助教记录分项得分、陈述或回答要点及必要题号。经核准缺席的学生参加同等条件的补汇报。设备故障时，汇报采用已提交图表或日志作为替代证据。</w:t>
      </w:r>
    </w:p>
    <w:p>
      <w:pPr>
        <w:pStyle w:val="2"/>
      </w:pPr>
      <w:r>
        <w:t>五、成绩记录与复核</w:t>
      </w:r>
    </w:p>
    <w:p>
      <w:r>
        <w:t>评分记录以课程名称和学号对应学生身份，包含考勤状态、S1C/S1E/S1R、S2C/S2E/S2R、S3C/S3E/S3R、O1—O4分项成绩、证据位置、评分人和复核人。</w:t>
      </w:r>
    </w:p>
    <w:p>
      <w:r>
        <w:t>小组作业采用共同材料成绩与个人评价相结合的方式。共同材料成绩占70分，考勤10分和项目汇报20分分别计入个人成绩。贡献认定依据提交材料、贡献说明和项目问答记录。</w:t>
      </w:r>
    </w:p>
    <w:p>
      <w:r>
        <w:t>未完成评分的记录保留空值，实际零分单独登记。项目未提交第三阶段材料时，记录“未完成阶段三”，S3C、S3E、S3R分别记0分。迟交、资源故障和材料归属争议依据公布的课程规则处理，并保留处理记录。材料与汇报分别依据对应证据评分。</w:t>
      </w:r>
    </w:p>
    <w:p>
      <w:r>
        <w:t>课程组在评分前使用统一样例校准量表，并复核随机抽取的约10%项目、边界成绩及争议项。学生可依据分项成绩和评价记录申请复核。成绩更正记录保留原分、新分、原因、日期和确认人。</w:t>
      </w:r>
    </w:p>
    <w:p>
      <w:r>
        <w:t>总评保留两位小数。成绩录入格式依据学校要求执行。</w:t>
      </w:r>
    </w:p>
    <w:sectPr>
      <w:headerReference w:type="default" r:id="rId5"/>
      <w:headerReference w:type="first" r:id="rId6"/>
      <w:headerReference w:type="even" r:id="rId7"/>
      <w:footerReference w:type="default" r:id="rId8"/>
      <w:footerReference w:type="first" r:id="rId9"/>
      <w:footerReference w:type="even" r:id="rId10"/>
      <w:pgSz w:w="11906" w:h="16838"/>
      <w:pgMar w:top="1020" w:right="1134" w:bottom="1020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t xml:space="preserve">第 </w:t>
    </w:r>
    <w:fldSimple w:instr="PAGE"/>
    <w: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sz w:val="16"/>
      </w:rPr>
      <w:t>上海交通大学  |  2026年秋  |  课程评分标准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611995"/>
    <w:rsid w:val="030D0F8F"/>
    <w:rsid w:val="073C1416"/>
    <w:rsid w:val="0C813222"/>
    <w:rsid w:val="0D176FD7"/>
    <w:rsid w:val="0E3F490D"/>
    <w:rsid w:val="1D611995"/>
    <w:rsid w:val="28425D08"/>
    <w:rsid w:val="2AE82B97"/>
    <w:rsid w:val="2B471FB3"/>
    <w:rsid w:val="2F892CAE"/>
    <w:rsid w:val="395B30CE"/>
    <w:rsid w:val="431C6BAF"/>
    <w:rsid w:val="4A623F3E"/>
    <w:rsid w:val="4A934E3E"/>
    <w:rsid w:val="52EA0AD2"/>
    <w:rsid w:val="5AF27D1C"/>
    <w:rsid w:val="61333E65"/>
    <w:rsid w:val="6C506213"/>
    <w:rsid w:val="6D1D180E"/>
    <w:rsid w:val="6E3B6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0" w:after="80" w:line="250" w:lineRule="auto"/>
      <w:jc w:val="both"/>
    </w:pPr>
    <w:rPr>
      <w:rFonts w:asciiTheme="minorHAnsi" w:hAnsiTheme="minorHAnsi" w:eastAsiaTheme="minorEastAsia" w:cstheme="minorBidi" w:ascii="Microsoft YaHei" w:hAnsi="Microsoft YaHei" w:eastAsia="微软雅黑"/>
      <w:kern w:val="2"/>
      <w:sz w:val="20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160" w:beforeLines="0" w:beforeAutospacing="0" w:after="80" w:afterLines="0" w:afterAutospacing="0" w:line="250" w:lineRule="auto"/>
      <w:outlineLvl w:val="0"/>
    </w:pPr>
    <w:rPr>
      <w:rFonts w:ascii="Microsoft YaHei" w:hAnsi="Microsoft YaHei" w:eastAsia="微软雅黑"/>
      <w:b/>
      <w:color w:val="174F75"/>
      <w:kern w:val="44"/>
      <w:sz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160" w:beforeLines="0" w:beforeAutospacing="0" w:after="80" w:afterLines="0" w:afterAutospacing="0" w:line="250" w:lineRule="auto"/>
      <w:outlineLvl w:val="1"/>
    </w:pPr>
    <w:rPr>
      <w:rFonts w:ascii="Microsoft YaHei" w:hAnsi="Microsoft YaHei" w:eastAsia="微软雅黑"/>
      <w:b/>
      <w:color w:val="174F75"/>
      <w:sz w:val="22"/>
    </w:rPr>
  </w:style>
  <w:style w:type="paragraph" w:styleId="4">
    <w:name w:val="heading 3"/>
    <w:basedOn w:val="1"/>
    <w:next w:val="1"/>
    <w:link w:val="10"/>
    <w:unhideWhenUsed/>
    <w:qFormat/>
    <w:uiPriority w:val="0"/>
    <w:pPr>
      <w:keepNext/>
      <w:keepLines/>
      <w:spacing w:before="160" w:after="80" w:line="250" w:lineRule="auto"/>
      <w:outlineLvl w:val="2"/>
    </w:pPr>
    <w:rPr>
      <w:rFonts w:asciiTheme="majorAscii" w:hAnsiTheme="majorAscii" w:eastAsiaTheme="majorEastAsia" w:cstheme="majorBidi" w:ascii="Microsoft YaHei" w:hAnsi="Microsoft YaHei" w:eastAsia="微软雅黑"/>
      <w:b/>
      <w:color w:val="174F75"/>
      <w:sz w:val="20"/>
      <w:szCs w:val="32"/>
      <w14:textFill>
        <w14:solidFill>
          <w14:schemeClr w14:val="tx1"/>
        </w14:solidFill>
      </w14:textFill>
      <w14:ligatures w14:val="standardContextual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8">
    <w:name w:val="Default Paragraph Font"/>
    <w:unhideWhenUsed/>
    <w:qFormat/>
    <w:uiPriority w:val="1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7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0"/>
    <w:rPr>
      <w:b/>
    </w:rPr>
  </w:style>
  <w:style w:type="character" w:customStyle="1" w:styleId="10">
    <w:name w:val="标题 3 字符"/>
    <w:basedOn w:val="8"/>
    <w:link w:val="4"/>
    <w:semiHidden/>
    <w:qFormat/>
    <w:uiPriority w:val="9"/>
    <w:rPr>
      <w:rFonts w:asciiTheme="majorAscii" w:hAnsiTheme="majorAscii" w:eastAsiaTheme="majorEastAsia" w:cstheme="majorBidi"/>
      <w:color w:val="000000" w:themeColor="text1"/>
      <w:sz w:val="32"/>
      <w:szCs w:val="32"/>
      <w14:textFill>
        <w14:solidFill>
          <w14:schemeClr w14:val="tx1"/>
        </w14:solidFill>
      </w14:textFill>
      <w14:ligatures w14:val="standardContextual"/>
    </w:rPr>
  </w:style>
  <w:style w:type="paragraph" w:customStyle="1" w:styleId="Title">
    <w:name w:val="Title"/>
    <w:pPr>
      <w:keepNext/>
      <w:spacing w:before="160" w:after="80" w:line="250" w:lineRule="auto"/>
    </w:pPr>
    <w:rPr>
      <w:rFonts w:ascii="Microsoft YaHei" w:hAnsi="Microsoft YaHei" w:eastAsia="微软雅黑"/>
      <w:b/>
      <w:color w:val="174F75"/>
      <w:sz w:val="36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910</Words>
  <Characters>996</Characters>
  <Lines>0</Lines>
  <Paragraphs>0</Paragraphs>
  <TotalTime>3</TotalTime>
  <ScaleCrop>false</ScaleCrop>
  <LinksUpToDate>false</LinksUpToDate>
  <CharactersWithSpaces>1014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2025-10-27T04:21:00Z</dcterms:created>
  <dc:creator>千手修罗</dc:creator>
  <cp:lastModifiedBy>千手修罗</cp:lastModifiedBy>
  <dcterms:modified xsi:type="dcterms:W3CDTF">2025-10-27T04:49:02Z</dcterms:modified>
  <cp:revision>1</cp:revision>
  <dc:title>2026年秋课程评分标准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BE4EBF457F424DB3B978357167344C98_11</vt:lpwstr>
  </property>
  <property fmtid="{D5CDD505-2E9C-101B-9397-08002B2CF9AE}" pid="4" name="KSOTemplateDocerSaveRecord">
    <vt:lpwstr>eyJoZGlkIjoiNzllYjUzNTM3YzZmNDE3OTZlOGYzNzZiMjMwNGFhNTMiLCJ1c2VySWQiOiIxMDYwNTc0MDg3In0=</vt:lpwstr>
  </property>
</Properties>
</file>