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6B6B" w:sz="8" w:space="4"/>
        </w:pBdr>
        <w:spacing w:after="80"/>
      </w:pPr>
      <w:r>
        <w:rPr>
          <w:rFonts w:ascii="Arial" w:cs="Arial" w:eastAsia="Arial" w:hAnsi="Arial"/>
          <w:b/>
          <w:bCs/>
          <w:color w:val="1B6B6B"/>
          <w:sz w:val="36"/>
          <w:szCs w:val="36"/>
        </w:rPr>
        <w:t xml:space="preserve">Section 6 — Analytics &amp; Insights</w:t>
      </w:r>
    </w:p>
    <w:p>
      <w:pPr>
        <w:spacing w:after="240"/>
      </w:pPr>
      <w:r>
        <w:rPr>
          <w:rFonts w:ascii="Arial" w:cs="Arial" w:eastAsia="Arial" w:hAnsi="Arial"/>
          <w:i/>
          <w:iCs/>
          <w:color w:val="666666"/>
          <w:sz w:val="20"/>
          <w:szCs w:val="20"/>
        </w:rPr>
        <w:t xml:space="preserve">Spécs fonctionnelles · 6.1 Analytics (Cockpits &amp; Dashboards) · 6.2 Insights IA</w:t>
      </w:r>
    </w:p>
    <w:p>
      <w:pPr>
        <w:pStyle w:val="Heading1"/>
        <w:pBdr>
          <w:bottom w:val="single" w:color="1B6B6B" w:sz="6" w:space="1"/>
        </w:pBdr>
        <w:spacing w:before="360" w:after="120"/>
      </w:pPr>
      <w:r>
        <w:rPr>
          <w:rFonts w:ascii="Arial" w:cs="Arial" w:eastAsia="Arial" w:hAnsi="Arial"/>
          <w:b/>
          <w:bCs/>
          <w:color w:val="1B6B6B"/>
          <w:sz w:val="32"/>
          <w:szCs w:val="32"/>
        </w:rPr>
        <w:t xml:space="preserve">CONTEXTE</w:t>
      </w:r>
    </w:p>
    <w:p>
      <w:pPr>
        <w:pStyle w:val="Heading2"/>
        <w:spacing w:before="280" w:after="100"/>
      </w:pPr>
      <w:r>
        <w:rPr>
          <w:rFonts w:ascii="Arial" w:cs="Arial" w:eastAsia="Arial" w:hAnsi="Arial"/>
          <w:b/>
          <w:bCs/>
          <w:color w:val="1B6B6B"/>
          <w:sz w:val="26"/>
          <w:szCs w:val="26"/>
        </w:rPr>
        <w:t xml:space="preserve">Positionnement de la section</w:t>
      </w:r>
    </w:p>
    <w:p>
      <w:pPr>
        <w:spacing w:after="100"/>
      </w:pPr>
      <w:r>
        <w:rPr>
          <w:rFonts w:ascii="Arial" w:cs="Arial" w:eastAsia="Arial" w:hAnsi="Arial"/>
          <w:color w:val="1A1A1A"/>
          <w:sz w:val="22"/>
          <w:szCs w:val="22"/>
        </w:rPr>
        <w:t xml:space="preserve">La Section 6 est la couche d’intelligence de la plateforme. Elle transforme les données brutes générées par les campagnes (Section 5) et le modèle d’événements (Section 3.2) en deux produits distincts : des dashboards visuels actionables (6.1 Analytics) et une intelligence managariale IA proactive (6.2 Insights).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0FF" w:val="clear"/>
            <w:tcMar>
              <w:top w:type="dxa" w:w="100"/>
              <w:left w:type="dxa" w:w="160"/>
              <w:bottom w:type="dxa" w:w="100"/>
              <w:right w:type="dxa" w:w="160"/>
            </w:tcMar>
          </w:tcPr>
          <w:p>
            <w:pPr>
              <w:spacing w:after="0"/>
            </w:pPr>
            <w:r>
              <w:rPr>
                <w:rFonts w:ascii="Arial" w:cs="Arial" w:eastAsia="Arial" w:hAnsi="Arial"/>
                <w:color w:val="4C1D95"/>
                <w:sz w:val="20"/>
                <w:szCs w:val="20"/>
              </w:rPr>
              <w:t xml:space="preserve">★  Positionnement marché : inspiré de Salesforce CRM Analytics (dashboards custom), Gong (revenue intelligence, coaching IA) et Clari (forecasting pipeline). Growly les adapte au contexte d’un outil de prospection IA, avec le revenu au centre et le coaching des commerciaux comme deuxième priorité.</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3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Fonction</w:t>
            </w:r>
          </w:p>
        </w:tc>
        <w:tc>
          <w:tcPr>
            <w:tcW w:type="dxa" w:w="3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Inspiration principale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6.1 Analytics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Cockpits configurables par l’utilisateur. Visualisation de données multi-dimensions. Dashboards partageables.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Salesforce CRM Analytics · Looker Studio · Geckoboard · HubSpot Reports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6.2 Insights IA</w:t>
            </w:r>
          </w:p>
        </w:tc>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Analyse managariale automatisée. Coaching commercial. Forecasting. Détection d’anomalies.</w:t>
            </w:r>
          </w:p>
        </w:tc>
        <w:tc>
          <w:tcPr>
            <w:tcW w:type="dxa" w:w="3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Gong Revenue Intelligence · Clari · Outreach.io · Salesloft Analytics</w:t>
            </w:r>
          </w:p>
        </w:tc>
      </w:tr>
    </w:tbl>
    <w:p>
      <w:pPr>
        <w:spacing w:after="0"/>
      </w:pPr>
      <w:r>
        <w:t xml:space="preserv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6.1 — ANALYTICS (COCKPITS &amp; DASHBOARDS)</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ARCHITECTURE COCKPITS</w:t>
      </w:r>
    </w:p>
    <w:p>
      <w:pPr>
        <w:pStyle w:val="Heading2"/>
        <w:spacing w:before="280" w:after="100"/>
      </w:pPr>
      <w:r>
        <w:rPr>
          <w:rFonts w:ascii="Arial" w:cs="Arial" w:eastAsia="Arial" w:hAnsi="Arial"/>
          <w:b/>
          <w:bCs/>
          <w:color w:val="1B6B6B"/>
          <w:sz w:val="26"/>
          <w:szCs w:val="26"/>
        </w:rPr>
        <w:t xml:space="preserve">Principe de fonctionnement</w:t>
      </w:r>
    </w:p>
    <w:p>
      <w:pPr>
        <w:spacing w:after="100"/>
      </w:pPr>
      <w:r>
        <w:rPr>
          <w:rFonts w:ascii="Arial" w:cs="Arial" w:eastAsia="Arial" w:hAnsi="Arial"/>
          <w:color w:val="1A1A1A"/>
          <w:sz w:val="22"/>
          <w:szCs w:val="22"/>
        </w:rPr>
        <w:t xml:space="preserve">La Section 6.1 est organisée en deux niveaux : la bibliothèque de cockpits (liste des dashboards) et l’éditeur de cockpit (la page du dashboard lui-même). Chaque cockpit est une collection de widgets KPI configurés librement par l’utilisateur. La plateforme propose une bibliothèque de cockpits pré-configurés par profil utilisateur.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Principe de design : le revenu est toujours la métrique reine. Tous les cockpits plaçent une métrique révénu en position haute gauche (« above the fold »). Les autres métriques s’organisent en soutien. C’est une contrainte UX non contournable, conformément aux meilleures pratiques Salesforce.</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Vue liste des cockpits</w:t>
      </w:r>
    </w:p>
    <w:p>
      <w:pPr>
        <w:pStyle w:val="ListParagraph"/>
        <w:numPr>
          <w:ilvl w:val="0"/>
          <w:numId w:val="2"/>
        </w:numPr>
        <w:spacing w:after="80"/>
      </w:pPr>
      <w:r>
        <w:rPr>
          <w:rFonts w:ascii="Arial" w:cs="Arial" w:eastAsia="Arial" w:hAnsi="Arial"/>
          <w:color w:val="1A1A1A"/>
          <w:sz w:val="22"/>
          <w:szCs w:val="22"/>
        </w:rPr>
        <w:t xml:space="preserve">Chaque cockpit affiche : nom, description, profil cible (Directeur / Manager / SDR / Solo), nombre de widgets, dernière mise à jour, bouton Voir.</w:t>
      </w:r>
    </w:p>
    <w:p>
      <w:pPr>
        <w:pStyle w:val="ListParagraph"/>
        <w:numPr>
          <w:ilvl w:val="0"/>
          <w:numId w:val="2"/>
        </w:numPr>
        <w:spacing w:after="80"/>
      </w:pPr>
      <w:r>
        <w:rPr>
          <w:rFonts w:ascii="Arial" w:cs="Arial" w:eastAsia="Arial" w:hAnsi="Arial"/>
          <w:color w:val="1A1A1A"/>
          <w:sz w:val="22"/>
          <w:szCs w:val="22"/>
        </w:rPr>
        <w:t xml:space="preserve">Actions : + Nouveau cockpit, Dupliquer, Partager (avec un ou plusieurs membres), Exporter (PDF / CSV), Archiver.</w:t>
      </w:r>
    </w:p>
    <w:p>
      <w:pPr>
        <w:pStyle w:val="ListParagraph"/>
        <w:numPr>
          <w:ilvl w:val="0"/>
          <w:numId w:val="2"/>
        </w:numPr>
        <w:spacing w:after="80"/>
      </w:pPr>
      <w:r>
        <w:rPr>
          <w:rFonts w:ascii="Arial" w:cs="Arial" w:eastAsia="Arial" w:hAnsi="Arial"/>
          <w:color w:val="1A1A1A"/>
          <w:sz w:val="22"/>
          <w:szCs w:val="22"/>
        </w:rPr>
        <w:t xml:space="preserve">Cockpits partagés : badge « Partagé avec vous par [Prénom] ». Accessibles en lecture seule par défaut.</w:t>
      </w:r>
    </w:p>
    <w:p>
      <w:pPr>
        <w:pStyle w:val="ListParagraph"/>
        <w:numPr>
          <w:ilvl w:val="0"/>
          <w:numId w:val="2"/>
        </w:numPr>
        <w:spacing w:after="80"/>
      </w:pPr>
      <w:r>
        <w:rPr>
          <w:rFonts w:ascii="Arial" w:cs="Arial" w:eastAsia="Arial" w:hAnsi="Arial"/>
          <w:color w:val="1A1A1A"/>
          <w:sz w:val="22"/>
          <w:szCs w:val="22"/>
        </w:rPr>
        <w:t xml:space="preserve">Cockpits par défaut : 5 cockpits pré-configurés sont proposés dès l’accès à la section.</w:t>
      </w:r>
    </w:p>
    <w:p>
      <w:pPr>
        <w:spacing w:after="0"/>
      </w:pPr>
      <w:r>
        <w:t xml:space="preserve"/>
      </w:r>
    </w:p>
    <w:p>
      <w:pPr>
        <w:pStyle w:val="Heading2"/>
        <w:spacing w:before="280" w:after="100"/>
      </w:pPr>
      <w:r>
        <w:rPr>
          <w:rFonts w:ascii="Arial" w:cs="Arial" w:eastAsia="Arial" w:hAnsi="Arial"/>
          <w:b/>
          <w:bCs/>
          <w:color w:val="1B6B6B"/>
          <w:sz w:val="26"/>
          <w:szCs w:val="26"/>
        </w:rPr>
        <w:t xml:space="preserve">Cockpits pré-configurés par défaut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Cockpit</w:t>
            </w:r>
          </w:p>
        </w:tc>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Profil cible</w:t>
            </w:r>
          </w:p>
        </w:tc>
        <w:tc>
          <w:tcPr>
            <w:tcW w:type="dxa" w:w="5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KPIs et visualisations inclus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Revenue Command Center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Directeur / CEO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généré (mois en cours vs objectif) · Deals fermés · ROI global campagnes · Pipeline valeur totale · Prévision de fin de mois · Répartition CA par campagne · Comparaison vs période précédente.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Performance Équipe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Sales Manager</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Meetings bookés par commercial · Taux de conversion par commercial · Score moyen des leads assignés · Activité quotidienne (messages envoyés) · Classement commercial · Leads en retard de relance.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Pipeline &amp; Funnel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Manager / RevOps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Funnel de conversion (Nouveau → Contacté → Qualifié → Meeting → Deal) · Vitesse moyenne du cycle · Taux de chute par étape · Leads par statut pipeline · Vélocité pipeline.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Performance Campagnes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Manager / Ops</w:t>
            </w:r>
          </w:p>
        </w:tc>
        <w:tc>
          <w:tcPr>
            <w:tcW w:type="dxa" w:w="5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Taux de réponse par campagne · Taux d’ouverture par canal · Budget consommé vs objectif · Leads générés par source · Comparaison A/B Testing · Coût par lead qualifié.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Tableau de bord SDR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 (SDR)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Mes leads prioritaires aujourd’hui · Objectif du mois (progress bar) · Meetings bookés ce mois · Prospects à relancer · Taux de réponse perso · Derniers messages envoyés.</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DFAF1" w:val="clear"/>
            <w:tcMar>
              <w:top w:type="dxa" w:w="100"/>
              <w:left w:type="dxa" w:w="160"/>
              <w:bottom w:type="dxa" w:w="100"/>
              <w:right w:type="dxa" w:w="160"/>
            </w:tcMar>
          </w:tcPr>
          <w:p>
            <w:pPr>
              <w:spacing w:after="0"/>
            </w:pPr>
            <w:r>
              <w:rPr>
                <w:rFonts w:ascii="Arial" w:cs="Arial" w:eastAsia="Arial" w:hAnsi="Arial"/>
                <w:color w:val="1A5E2A"/>
                <w:sz w:val="20"/>
                <w:szCs w:val="20"/>
              </w:rPr>
              <w:t xml:space="preserve">✓  Cockpit Revenue Command Center : la métrique principale (CA généré vs objectif) occupe toujours la position haute gauche, affichée en grand avec la progression en pourcentage et une flèche directionnelle (verte/rouge). C’est non configurable pour ce cockpit, conformément au principe « revenu en haut ».</w:t>
            </w:r>
          </w:p>
        </w:tc>
      </w:tr>
    </w:tbl>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ÉDITEUR DE COCKPIT</w:t>
      </w:r>
    </w:p>
    <w:p>
      <w:pPr>
        <w:pStyle w:val="Heading2"/>
        <w:spacing w:before="280" w:after="100"/>
      </w:pPr>
      <w:r>
        <w:rPr>
          <w:rFonts w:ascii="Arial" w:cs="Arial" w:eastAsia="Arial" w:hAnsi="Arial"/>
          <w:b/>
          <w:bCs/>
          <w:color w:val="1B6B6B"/>
          <w:sz w:val="26"/>
          <w:szCs w:val="26"/>
        </w:rPr>
        <w:t xml:space="preserve">Interface de l’éditeur</w:t>
      </w:r>
    </w:p>
    <w:p>
      <w:pPr>
        <w:spacing w:after="100"/>
      </w:pPr>
      <w:r>
        <w:rPr>
          <w:rFonts w:ascii="Arial" w:cs="Arial" w:eastAsia="Arial" w:hAnsi="Arial"/>
          <w:color w:val="1A1A1A"/>
          <w:sz w:val="22"/>
          <w:szCs w:val="22"/>
        </w:rPr>
        <w:t xml:space="preserve">L’éditeur de cockpit est un canvas en drag-and-drop inspiré de Salesforce CRM Analytics et Looker Studio. L’utilisateur ajoute, configure, déplace et redimensionne des widgets librement sur une grille responsive.</w:t>
      </w:r>
    </w:p>
    <w:p>
      <w:pPr>
        <w:spacing w:after="0"/>
      </w:pPr>
      <w:r>
        <w:t xml:space="preserve"/>
      </w:r>
    </w:p>
    <w:p>
      <w:pPr>
        <w:pStyle w:val="ListParagraph"/>
        <w:numPr>
          <w:ilvl w:val="0"/>
          <w:numId w:val="2"/>
        </w:numPr>
        <w:spacing w:after="80"/>
      </w:pPr>
      <w:r>
        <w:rPr>
          <w:rFonts w:ascii="Arial" w:cs="Arial" w:eastAsia="Arial" w:hAnsi="Arial"/>
          <w:color w:val="1A1A1A"/>
          <w:sz w:val="22"/>
          <w:szCs w:val="22"/>
        </w:rPr>
        <w:t xml:space="preserve">Grille responsivée 12 colonnes. Chaque widget occupe de 2 à 12 colonnes et de 1 à 4 lignes.</w:t>
      </w:r>
    </w:p>
    <w:p>
      <w:pPr>
        <w:pStyle w:val="ListParagraph"/>
        <w:numPr>
          <w:ilvl w:val="0"/>
          <w:numId w:val="2"/>
        </w:numPr>
        <w:spacing w:after="80"/>
      </w:pPr>
      <w:r>
        <w:rPr>
          <w:rFonts w:ascii="Arial" w:cs="Arial" w:eastAsia="Arial" w:hAnsi="Arial"/>
          <w:color w:val="1A1A1A"/>
          <w:sz w:val="22"/>
          <w:szCs w:val="22"/>
        </w:rPr>
        <w:t xml:space="preserve">Palette de widgets : panneau latéral droite avec tous les widgets disponibles, rangés par catégorie. Drag-and-drop vers le canvas.</w:t>
      </w:r>
    </w:p>
    <w:p>
      <w:pPr>
        <w:pStyle w:val="ListParagraph"/>
        <w:numPr>
          <w:ilvl w:val="0"/>
          <w:numId w:val="2"/>
        </w:numPr>
        <w:spacing w:after="80"/>
      </w:pPr>
      <w:r>
        <w:rPr>
          <w:rFonts w:ascii="Arial" w:cs="Arial" w:eastAsia="Arial" w:hAnsi="Arial"/>
          <w:color w:val="1A1A1A"/>
          <w:sz w:val="22"/>
          <w:szCs w:val="22"/>
        </w:rPr>
        <w:t xml:space="preserve">Chaque widget a un « état de configuration » : dimension principale + dimension de comparaison + filtre + période.</w:t>
      </w:r>
    </w:p>
    <w:p>
      <w:pPr>
        <w:pStyle w:val="ListParagraph"/>
        <w:numPr>
          <w:ilvl w:val="0"/>
          <w:numId w:val="2"/>
        </w:numPr>
        <w:spacing w:after="80"/>
      </w:pPr>
      <w:r>
        <w:rPr>
          <w:rFonts w:ascii="Arial" w:cs="Arial" w:eastAsia="Arial" w:hAnsi="Arial"/>
          <w:color w:val="1A1A1A"/>
          <w:sz w:val="22"/>
          <w:szCs w:val="22"/>
        </w:rPr>
        <w:t xml:space="preserve">Barre du haut : Titre du cockpit + Filtres globaux (période, campagne, commercial) + Sauvegarder + Partager + Exporter.</w:t>
      </w:r>
    </w:p>
    <w:p>
      <w:pPr>
        <w:pStyle w:val="ListParagraph"/>
        <w:numPr>
          <w:ilvl w:val="0"/>
          <w:numId w:val="2"/>
        </w:numPr>
        <w:spacing w:after="80"/>
      </w:pPr>
      <w:r>
        <w:rPr>
          <w:rFonts w:ascii="Arial" w:cs="Arial" w:eastAsia="Arial" w:hAnsi="Arial"/>
          <w:color w:val="1A1A1A"/>
          <w:sz w:val="22"/>
          <w:szCs w:val="22"/>
        </w:rPr>
        <w:t xml:space="preserve">Filtres globaux : s’appliquent à tous les widgets du cockpit simultanément. Peuvent être surchargés par le filtre local du widget.</w:t>
      </w:r>
    </w:p>
    <w:p>
      <w:pPr>
        <w:pStyle w:val="ListParagraph"/>
        <w:numPr>
          <w:ilvl w:val="0"/>
          <w:numId w:val="2"/>
        </w:numPr>
        <w:spacing w:after="80"/>
      </w:pPr>
      <w:r>
        <w:rPr>
          <w:rFonts w:ascii="Arial" w:cs="Arial" w:eastAsia="Arial" w:hAnsi="Arial"/>
          <w:color w:val="1A1A1A"/>
          <w:sz w:val="22"/>
          <w:szCs w:val="22"/>
        </w:rPr>
        <w:t xml:space="preserve">Mode lecture / édition : en mode lecture le cockpit est affiché proprement. En mode édition la grille et les handles de redimensionnement apparaissent.</w:t>
      </w:r>
    </w:p>
    <w:p>
      <w:pPr>
        <w:spacing w:after="0"/>
      </w:pPr>
      <w:r>
        <w:t xml:space="preserve"/>
      </w:r>
    </w:p>
    <w:p>
      <w:pPr>
        <w:pStyle w:val="Heading2"/>
        <w:spacing w:before="280" w:after="100"/>
      </w:pPr>
      <w:r>
        <w:rPr>
          <w:rFonts w:ascii="Arial" w:cs="Arial" w:eastAsia="Arial" w:hAnsi="Arial"/>
          <w:b/>
          <w:bCs/>
          <w:color w:val="1B6B6B"/>
          <w:sz w:val="26"/>
          <w:szCs w:val="26"/>
        </w:rPr>
        <w:t xml:space="preserve">Catalogue complet des widgets</w:t>
      </w:r>
    </w:p>
    <w:p>
      <w:pPr>
        <w:pStyle w:val="Heading3"/>
        <w:spacing w:before="200" w:after="80"/>
      </w:pPr>
      <w:r>
        <w:rPr>
          <w:rFonts w:ascii="Arial" w:cs="Arial" w:eastAsia="Arial" w:hAnsi="Arial"/>
          <w:b/>
          <w:bCs/>
          <w:color w:val="4A4A4A"/>
          <w:sz w:val="22"/>
          <w:szCs w:val="22"/>
        </w:rPr>
        <w:t xml:space="preserve">Catégorie 1 — Widgets KPI (métrique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Widget</w:t>
            </w:r>
          </w:p>
        </w:tc>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Visualisation</w:t>
            </w:r>
          </w:p>
        </w:tc>
        <w:tc>
          <w:tcPr>
            <w:tcW w:type="dxa" w:w="49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Métriques disponibles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KPI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Valeur + delta vs période précédente + flèche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généré · Deals fermés · Meetings bookés · Taux de réponse · Leads générés · Score moyen · Budget consommé · Coût par lead · ROI · + toute métrique du modèle de données S3.2.</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KPI Progress Bar</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Valeur réalisée vs objectif en barre de progression</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Mêmes métriques que KPI Card. Objectif défini manuellement ou depuis la campagne.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Gauge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Jauge circulaire (speedometer)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Taux de réponse · Taux de conversion · Quota attainment · Budget consommé.</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Compteur temps réel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Valeur animée + rafraîchissement live</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Messages envoyés aujourd’hui · Réponses reçues (24h) · Meetings bookés (semaine).</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Catégorie 2 — Widgets graphiques (séries temporelles &amp; répartitions)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Widget</w:t>
            </w:r>
          </w:p>
        </w:tc>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Visualisation</w:t>
            </w:r>
          </w:p>
        </w:tc>
        <w:tc>
          <w:tcPr>
            <w:tcW w:type="dxa" w:w="49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Usages typiques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Line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Graphe linéaire avec zones ombreuses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Évolution des leads sur 30/90j · Trends de réponse · Comparaison 2 séries (ex : leads générés vs convertis).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Bar Chart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Barres verticales ou horizontales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Performance par campagne · Comparaison commerciaux · Messages par canal.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Donut / Pie 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Graphe circulaire avec légende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Répartition par statut prospect · Distribution par canal · Sources de leads · Types d’objections.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Funnel Chart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Entonnoir de conversion étape par étape</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Funnel pipeline (Nouveau → Contacté → Qualifié → Meeting → Deal) avec taux de chute à chaque étape.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Heatmap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Matrice couleur jour/heure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Meilleurs jours/heures de réponse · Volume d’activité par jour de la semaine.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Scatter Plot</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Nuage de points 2 axes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Corrélation score lead vs taux de conversion · Durée cycle vs taille deal.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Sankey Diagram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Flux de conversion entre noeuds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Chemins de conversion optimaux dans les scénarios · Distribution des sorties du flow.</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Area Chart stacké</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Aires empilées multicolor</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Évolution multi-campagnes sur même axe temporel · Répartition canaux dans le temps.</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Catégorie 3 — Widgets tabulaires &amp; classements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Widget</w:t>
            </w:r>
          </w:p>
        </w:tc>
        <w:tc>
          <w:tcPr>
            <w:tcW w:type="dxa" w:w="2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Visualisation</w:t>
            </w:r>
          </w:p>
        </w:tc>
        <w:tc>
          <w:tcPr>
            <w:tcW w:type="dxa" w:w="49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Usages typiques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Table de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Tableau trié avec colonnes configurables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Performance par campagne (Objectif / Réalisé / Progression) · Performance par commercial · Performance par persona.</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Leaderboard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Classement avec badges de rang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Top commerciaux par CA · Top campagnes par ROI · Top scénarios par taux de réponse.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Pipeline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Vue pipeline type CRM avec statuts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Valeur du pipeline par étape · Déal en cours avec probabilité et date de clôture estimée.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Feed d’activité</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Liste chronologique des événements</w:t>
            </w:r>
          </w:p>
        </w:tc>
        <w:tc>
          <w:tcPr>
            <w:tcW w:type="dxa" w:w="4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Dernières réponses reçues · Dernièrs meetings bookés · Dernièrs opt-outs.</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Catalogue de métriques disponibles (KPI Universe)</w:t>
      </w:r>
    </w:p>
    <w:p>
      <w:pPr>
        <w:spacing w:after="100"/>
      </w:pPr>
      <w:r>
        <w:rPr>
          <w:rFonts w:ascii="Arial" w:cs="Arial" w:eastAsia="Arial" w:hAnsi="Arial"/>
          <w:color w:val="1A1A1A"/>
          <w:sz w:val="22"/>
          <w:szCs w:val="22"/>
        </w:rPr>
        <w:t xml:space="preserve">Toutes les métriques disponibles dans les widgets sont calculées depuis le modèle d’événements de la Section 3.2. Elles sont organisées en 5 domaines.</w:t>
      </w:r>
    </w:p>
    <w:p>
      <w:pPr>
        <w:spacing w:after="0"/>
      </w:pPr>
      <w:r>
        <w:t xml:space="preserve"/>
      </w:r>
    </w:p>
    <w:p>
      <w:pPr>
        <w:pStyle w:val="Heading3"/>
        <w:spacing w:before="200" w:after="80"/>
      </w:pPr>
      <w:r>
        <w:rPr>
          <w:rFonts w:ascii="Arial" w:cs="Arial" w:eastAsia="Arial" w:hAnsi="Arial"/>
          <w:b/>
          <w:bCs/>
          <w:color w:val="4A4A4A"/>
          <w:sz w:val="22"/>
          <w:szCs w:val="22"/>
        </w:rPr>
        <w:t xml:space="preserve">Domaine 1 — Revenue &amp; Deals (métriques reine)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c>
          <w:tcPr>
            <w:tcW w:type="dxa" w:w="3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 de filtrage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généré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Somme des deal_closed.valeur_eur.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 · Commercial · Scénario · Persona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prévisionnel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Somme des deals en cours pondérée par probabilité de clôture estimée.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Commercial · Campagne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Deals fermés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d’événements deal_closed.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 · Commercial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ROI campagne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généré / budget consommé.</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campagne · Par type campagne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Coût par lead qualifié (€/QL)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Budget consommé / nb leads qualifiés.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campagne · Par canal · Par source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Coût par meeting (€/meeting)</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Budget consommé / nb meetings bookés.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campagne · Par canal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Durée moyenne cycle de vente (j)</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Moyenne(deal_closed.durée_cycle_vente_j).</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type campagne · Par persona · Par commercial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Deal size moyen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généré / nb deals fermés.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 · Commercial</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Domaine 2 — Engagement &amp;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c>
          <w:tcPr>
            <w:tcW w:type="dxa" w:w="3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 de filtrage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délivrance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msg delivrés / msg envoyés.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 Campagne · Période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d’ouverture email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emails ouverts / emails délivrés.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Noeud · Variante A/B · Heure envoi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d’acceptation LinkedIn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invites acceptées / invites envoyées.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 Persona · Secteur</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réponse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réponses / messages envoyés.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 Noeud · Persona · Secteur · Heure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Délai moyen de réponse (h)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Moyenne(délai_réponse_h).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 Heure envoi</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conversion meeting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meetings bookés / réponses intéressées.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 Commercial · Persona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Taux de show-rate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meetings tenus / meetings bookés.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 · Canal booking</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d’opt-out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opt-outs / messages envoyés.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 Noeud · Scénario · Campagne</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Domaine 3 — Pipeline &amp; Prospects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c>
          <w:tcPr>
            <w:tcW w:type="dxa" w:w="3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Total leads en 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prospects dans Section 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Groupe · Statut · Source · Score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entrants (période)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leads créés sur la période.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Source · Batch · Campagne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Score moyen du portefeuille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Moyenne des scores actuels.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Groupe · Campagne · Commercial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Répartition par statut pipeline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leads par statut (Nouveau → Client).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 Commercial · Période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Vélocité pipeline (jours)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Durée moyenne entre chaque étape du 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étape · Par commercial · Par persona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chute par étape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Leads perdus à chaque transition du funnel.</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 étape · Par campagne · Par scénario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Sources de leads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Répartition des leads par canal d’entrée.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Domaine 4 — Performance des scénarios &amp; canaux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c>
          <w:tcPr>
            <w:tcW w:type="dxa" w:w="3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réponse par noeud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Réponses depuis ce noeud / messages envoyés depuis ce noeud.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 Canal · Variante A/B</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Chemins de conversion (Sankey)</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Séquences de noeuds menant à meeting_booked.</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 Persona · Canal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Noeuds à faible performance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Noeuds avec taux de réponse &lt; 3 % ou taux d’opt-out &gt; 5 %.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 · Campagne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Comparaison A/B (toutes variantes)</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Stats side-by-side pour chaque variante testée.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Noeud · Scénario · Campagne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Performance par canal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Taux réponse + taux opt-out + coût par message pour chaque canal.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Campagne · Période · Persona</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Heatmap heure / jour</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Matrice réponses par heure et jour de la semaine.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 Persona · Secteur</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Domaine 5 — Performance équipe commerciale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Métrique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Définition</w:t>
            </w:r>
          </w:p>
        </w:tc>
        <w:tc>
          <w:tcPr>
            <w:tcW w:type="dxa" w:w="32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par commercial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Somme des deals clôturés par commercial.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 · Type deal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Quota attainment (%)</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réalisé / objectif période.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 · Période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Taux de conversion personnel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Deals fermés / leads assignés.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 · Période · Campagne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Meetings bookés par commercial</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Nb meeting_booked sur la période.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 · Période · Campagne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Délai de prise en charge (h)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Temps entre human_transfer_triggered et première réponse humaine.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Leads en retard de relance</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Leads avec statut Relàncer assignés à ce commercial non traités depuis &gt; 2 jours.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Commercial</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Filtres globaux du cockpit</w:t>
      </w:r>
    </w:p>
    <w:p>
      <w:pPr>
        <w:spacing w:after="100"/>
      </w:pPr>
      <w:r>
        <w:rPr>
          <w:rFonts w:ascii="Arial" w:cs="Arial" w:eastAsia="Arial" w:hAnsi="Arial"/>
          <w:color w:val="1A1A1A"/>
          <w:sz w:val="22"/>
          <w:szCs w:val="22"/>
        </w:rPr>
        <w:t xml:space="preserve">Tous les widgets d’un cockpit peuvent être filtrés simultanément via la barre de filtres globaux en haut du cockpit.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Filtre</w:t>
            </w:r>
          </w:p>
        </w:tc>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4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Valeurs disponibles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Période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Date range pré-défini ou personnalisé</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Aujourd’hui · 7 derniers jours · Ce mois · Mois dernier · Trimestre en cours · Année en cours · Plage custom.</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Comparaison</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Toggle + sélecteur de période de référence</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précédente identique · Même période année précédente.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Campagne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 ou « Toutes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Toutes les campagnes actives et archivées.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Commercial</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 ou « Toute l’équipe »</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commerciaux de la Section 1E.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Email · LinkedIn · SMS · WhatsApp · Téléphone.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Scénario</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scénarios de la Section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Persona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personas de la Section 4.3.</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Groupe de leads</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4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groupes de la Section 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Secteur prospect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Multi-select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les secteurs renseignés dans la base.</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Export et partage</w:t>
      </w:r>
    </w:p>
    <w:p>
      <w:pPr>
        <w:pStyle w:val="ListParagraph"/>
        <w:numPr>
          <w:ilvl w:val="0"/>
          <w:numId w:val="2"/>
        </w:numPr>
        <w:spacing w:after="80"/>
      </w:pPr>
      <w:r>
        <w:rPr>
          <w:rFonts w:ascii="Arial" w:cs="Arial" w:eastAsia="Arial" w:hAnsi="Arial"/>
          <w:color w:val="1A1A1A"/>
          <w:sz w:val="22"/>
          <w:szCs w:val="22"/>
        </w:rPr>
        <w:t xml:space="preserve">Export PDF : génération d’un rapport PDF du cockpit avec tous les widgets et filtres actifs. Disponible à la demande ou automatisé (envoi hebdomadaire par email).</w:t>
      </w:r>
    </w:p>
    <w:p>
      <w:pPr>
        <w:pStyle w:val="ListParagraph"/>
        <w:numPr>
          <w:ilvl w:val="0"/>
          <w:numId w:val="2"/>
        </w:numPr>
        <w:spacing w:after="80"/>
      </w:pPr>
      <w:r>
        <w:rPr>
          <w:rFonts w:ascii="Arial" w:cs="Arial" w:eastAsia="Arial" w:hAnsi="Arial"/>
          <w:color w:val="1A1A1A"/>
          <w:sz w:val="22"/>
          <w:szCs w:val="22"/>
        </w:rPr>
        <w:t xml:space="preserve">Export CSV : export des données brutes de chaque widget en CSV. Utilisé pour des analyses externes (Excel, Python).</w:t>
      </w:r>
    </w:p>
    <w:p>
      <w:pPr>
        <w:pStyle w:val="ListParagraph"/>
        <w:numPr>
          <w:ilvl w:val="0"/>
          <w:numId w:val="2"/>
        </w:numPr>
        <w:spacing w:after="80"/>
      </w:pPr>
      <w:r>
        <w:rPr>
          <w:rFonts w:ascii="Arial" w:cs="Arial" w:eastAsia="Arial" w:hAnsi="Arial"/>
          <w:color w:val="1A1A1A"/>
          <w:sz w:val="22"/>
          <w:szCs w:val="22"/>
        </w:rPr>
        <w:t xml:space="preserve">Partage interne : partage du cockpit avec des membres de l’équipe en lecture ou édition. Notification email automatique.</w:t>
      </w:r>
    </w:p>
    <w:p>
      <w:pPr>
        <w:pStyle w:val="ListParagraph"/>
        <w:numPr>
          <w:ilvl w:val="0"/>
          <w:numId w:val="2"/>
        </w:numPr>
        <w:spacing w:after="80"/>
      </w:pPr>
      <w:r>
        <w:rPr>
          <w:rFonts w:ascii="Arial" w:cs="Arial" w:eastAsia="Arial" w:hAnsi="Arial"/>
          <w:color w:val="1A1A1A"/>
          <w:sz w:val="22"/>
          <w:szCs w:val="22"/>
        </w:rPr>
        <w:t xml:space="preserve">Lien public : génération d’un lien de vue lecture seule partagé avec des parties extérieures (clients, investisseurs). Valide 30 jours par défaut.</w:t>
      </w:r>
    </w:p>
    <w:p>
      <w:pPr>
        <w:pStyle w:val="ListParagraph"/>
        <w:numPr>
          <w:ilvl w:val="0"/>
          <w:numId w:val="2"/>
        </w:numPr>
        <w:spacing w:after="80"/>
      </w:pPr>
      <w:r>
        <w:rPr>
          <w:rFonts w:ascii="Arial" w:cs="Arial" w:eastAsia="Arial" w:hAnsi="Arial"/>
          <w:color w:val="1A1A1A"/>
          <w:sz w:val="22"/>
          <w:szCs w:val="22"/>
        </w:rPr>
        <w:t xml:space="preserve">Alertes automatiques : notification configurable si une métrique passe sous/au-dessus d’un seuil défini. Ex. : « M’alerter si le taux de réponse passe sous 5 % sur une campagne active. »</w:t>
      </w:r>
    </w:p>
    <w:p>
      <w:pPr>
        <w:spacing w:after="0"/>
      </w:pPr>
      <w:r>
        <w:t xml:space="preserve"/>
      </w:r>
    </w:p>
    <w:p>
      <w:r>
        <w:br w:type="page"/>
      </w:r>
    </w:p>
    <w:p>
      <w:pPr>
        <w:pBdr>
          <w:top w:val="single" w:color="1B6B6B" w:sz="4" w:space="1"/>
          <w:bottom w:val="single" w:color="1B6B6B" w:sz="4" w:space="1"/>
        </w:pBdr>
        <w:spacing w:before="400" w:after="160"/>
      </w:pPr>
      <w:r>
        <w:rPr>
          <w:rFonts w:ascii="Arial" w:cs="Arial" w:eastAsia="Arial" w:hAnsi="Arial"/>
          <w:b/>
          <w:bCs/>
          <w:color w:val="1B6B6B"/>
          <w:sz w:val="28"/>
          <w:szCs w:val="28"/>
        </w:rPr>
        <w:t xml:space="preserve">SECTION 6.2 — INSIGHTS IA</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CONCEPT</w:t>
      </w:r>
    </w:p>
    <w:p>
      <w:pPr>
        <w:pStyle w:val="Heading2"/>
        <w:spacing w:before="280" w:after="100"/>
      </w:pPr>
      <w:r>
        <w:rPr>
          <w:rFonts w:ascii="Arial" w:cs="Arial" w:eastAsia="Arial" w:hAnsi="Arial"/>
          <w:b/>
          <w:bCs/>
          <w:color w:val="1B6B6B"/>
          <w:sz w:val="26"/>
          <w:szCs w:val="26"/>
        </w:rPr>
        <w:t xml:space="preserve">Objectif et positionnement</w:t>
      </w:r>
    </w:p>
    <w:p>
      <w:pPr>
        <w:spacing w:after="100"/>
      </w:pPr>
      <w:r>
        <w:rPr>
          <w:rFonts w:ascii="Arial" w:cs="Arial" w:eastAsia="Arial" w:hAnsi="Arial"/>
          <w:color w:val="1A1A1A"/>
          <w:sz w:val="22"/>
          <w:szCs w:val="22"/>
        </w:rPr>
        <w:t xml:space="preserve">La Section 6.2 est la couche d’intelligence artificielle managériale. Là où la Section 6.1 présente des données visuelles statiques, la Section 6.2 permet d’interroger ces données en langage naturel, de recevoir des analyses proactives générées automatiquement, et de piloter l’équipe commerciale avec une intelligence comparatiste.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0FF" w:val="clear"/>
            <w:tcMar>
              <w:top w:type="dxa" w:w="100"/>
              <w:left w:type="dxa" w:w="160"/>
              <w:bottom w:type="dxa" w:w="100"/>
              <w:right w:type="dxa" w:w="160"/>
            </w:tcMar>
          </w:tcPr>
          <w:p>
            <w:pPr>
              <w:spacing w:after="0"/>
            </w:pPr>
            <w:r>
              <w:rPr>
                <w:rFonts w:ascii="Arial" w:cs="Arial" w:eastAsia="Arial" w:hAnsi="Arial"/>
                <w:color w:val="4C1D95"/>
                <w:sz w:val="20"/>
                <w:szCs w:val="20"/>
              </w:rPr>
              <w:t xml:space="preserve">★  Positionnement marché : Gong génère 77 % plus de revenus par commercial pour les équipes qui l’utilisent (Gong State of Sales Productivity 2024). Les entreprises utilisant l’IA pour le forecasting et le coaching voient une amélioration de 25 % de la précision des prévisions et une réduction de 56 % de la durée des cycles de vente (Gartner 2024). Growly applique ces mêmes principes à la prospection IA, en étendant l’analyse aux conversations écrites multi-canal plutôt qu’aux appels téléphoniques.</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Architecture à 3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Module</w:t>
            </w:r>
          </w:p>
        </w:tc>
        <w:tc>
          <w:tcPr>
            <w:tcW w:type="dxa" w:w="31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Fonction</w:t>
            </w:r>
          </w:p>
        </w:tc>
        <w:tc>
          <w:tcPr>
            <w:tcW w:type="dxa" w:w="44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Inspiration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Ask Analytics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Chat IA pour interroger les données en langage naturel.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Salesforce Einstein AI · Tableau Ask Data · Looker Explore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Briefing Managarial</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Résumés automatiques périodiques et alertes anomélies.</w:t>
            </w:r>
          </w:p>
        </w:tc>
        <w:tc>
          <w:tcPr>
            <w:tcW w:type="dxa" w:w="4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Gong Digest · Clari Weekly Summary · Outreach Insights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Coaching Commercial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Analyse comparative des commerciaux · patterns de top performers.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Gong Enable · Salesloft Rhythm AI · Clari Copilot</w:t>
            </w:r>
          </w:p>
        </w:tc>
      </w:tr>
    </w:tbl>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MODULE 1 — ASK ANALYTICS</w:t>
      </w:r>
    </w:p>
    <w:p>
      <w:pPr>
        <w:pStyle w:val="Heading2"/>
        <w:spacing w:before="280" w:after="100"/>
      </w:pPr>
      <w:r>
        <w:rPr>
          <w:rFonts w:ascii="Arial" w:cs="Arial" w:eastAsia="Arial" w:hAnsi="Arial"/>
          <w:b/>
          <w:bCs/>
          <w:color w:val="1B6B6B"/>
          <w:sz w:val="26"/>
          <w:szCs w:val="26"/>
        </w:rPr>
        <w:t xml:space="preserve">Interface de chat analytique</w:t>
      </w:r>
    </w:p>
    <w:p>
      <w:pPr>
        <w:spacing w:after="100"/>
      </w:pPr>
      <w:r>
        <w:rPr>
          <w:rFonts w:ascii="Arial" w:cs="Arial" w:eastAsia="Arial" w:hAnsi="Arial"/>
          <w:color w:val="1A1A1A"/>
          <w:sz w:val="22"/>
          <w:szCs w:val="22"/>
        </w:rPr>
        <w:t xml:space="preserve">Ask Analytics est une interface de chat en langage naturel permettant à l’utilisateur d’interroger toutes les données de la plateforme sans passer par les cockpits. L’IA interprète la question, exécute la requête sur le modèle de données et retourne une réponse structurée avec une visualisation adaptée.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Question exemple</w:t>
            </w:r>
          </w:p>
        </w:tc>
        <w:tc>
          <w:tcPr>
            <w:tcW w:type="dxa" w:w="5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Réponse IA typée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Quelle campagne a généré le plus de CA ce trimestre ?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Bar chart des campagnes tripr par CA avec badge « Gagnante » + delta vs trimestre précédent.</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À quelle heure faut-il envoyer nos emails pour maximiser les réponses ? »</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Heatmap heure/jour filtrée sur Email avec les 3 meilleures fenêtres en vert.</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Quel commercial est le plus proche de son objectif ce mois ?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Tableau quota attainment par commercial + classement + écart à l’objectif.</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Pourquoi la campagne X a un taux de réponse aussi bas ? »</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Analyse comparative : taux réponse campagne X vs moyenne + détail par noeud + objections détectées.</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Quels sont les 3 personas qui convertissent le mieux ?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Bar chart taux de conversion par persona + recommandation de ciblage.</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Combien va-t-on faire ce mois si on continue à ce rythme ? »</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Prévision de CA fin de mois basée sur la tendance actuelle + intervalle de confiance.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Quel scénario performe le mieux pour les prospects C-Level ? »</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Tableau croisé Scénario x Persona (C-Level) avec taux de conversion + recommandation.</w:t>
            </w:r>
          </w:p>
        </w:tc>
      </w:tr>
      <w:tr>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iCs/>
                <w:color w:val="1A1A1A"/>
                <w:sz w:val="20"/>
                <w:szCs w:val="20"/>
              </w:rPr>
              <w:t xml:space="preserve">« Montre-moi les leads les plus chauds cette semaine. »</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Liste des top 10 leads par score avec progression score sur 7 jours et action recommandée.</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6B" w:sz="1"/>
              <w:left w:val="single" w:color="1B6B6B" w:sz="1"/>
              <w:bottom w:val="single" w:color="1B6B6B" w:sz="1"/>
              <w:right w:val="single" w:color="1B6B6B" w:sz="1"/>
            </w:tcBorders>
            <w:shd w:fill="E8F4F4" w:val="clear"/>
            <w:tcMar>
              <w:top w:type="dxa" w:w="100"/>
              <w:left w:type="dxa" w:w="160"/>
              <w:bottom w:type="dxa" w:w="100"/>
              <w:right w:type="dxa" w:w="160"/>
            </w:tcMar>
          </w:tcPr>
          <w:p>
            <w:pPr>
              <w:spacing w:after="0"/>
            </w:pPr>
            <w:r>
              <w:rPr>
                <w:rFonts w:ascii="Arial" w:cs="Arial" w:eastAsia="Arial" w:hAnsi="Arial"/>
                <w:color w:val="1B5E5E"/>
                <w:sz w:val="20"/>
                <w:szCs w:val="20"/>
              </w:rPr>
              <w:t xml:space="preserve">i  Capacités d’Ask Analytics : l’IA comprend les questions temporelles (« ce trimestre », « vs l’année dernière »), les entités métier (nom de commercial, nom de campagne, persona), les comparaisons (« le mieux », « pourquoi ») et les prévisions. Les questions hors périmètre (ex. : « Écris-moi un email ») redirigent vers l’agent concerné.</w:t>
            </w:r>
          </w:p>
        </w:tc>
      </w:tr>
    </w:tbl>
    <w:p>
      <w:pPr>
        <w:spacing w:after="0"/>
      </w:pPr>
      <w:r>
        <w:t xml:space="preserve"/>
      </w:r>
    </w:p>
    <w:p>
      <w:pPr>
        <w:pStyle w:val="ListParagraph"/>
        <w:numPr>
          <w:ilvl w:val="0"/>
          <w:numId w:val="2"/>
        </w:numPr>
        <w:spacing w:after="80"/>
      </w:pPr>
      <w:r>
        <w:rPr>
          <w:rFonts w:ascii="Arial" w:cs="Arial" w:eastAsia="Arial" w:hAnsi="Arial"/>
          <w:color w:val="1A1A1A"/>
          <w:sz w:val="22"/>
          <w:szCs w:val="22"/>
        </w:rPr>
        <w:t xml:space="preserve">Historique des questions : toutes les questions posées par l’utilisateur sont sauvegardées et réaccessibles. Les réponses peuvent être « pinned » sur un cockpit.</w:t>
      </w:r>
    </w:p>
    <w:p>
      <w:pPr>
        <w:pStyle w:val="ListParagraph"/>
        <w:numPr>
          <w:ilvl w:val="0"/>
          <w:numId w:val="2"/>
        </w:numPr>
        <w:spacing w:after="80"/>
      </w:pPr>
      <w:r>
        <w:rPr>
          <w:rFonts w:ascii="Arial" w:cs="Arial" w:eastAsia="Arial" w:hAnsi="Arial"/>
          <w:color w:val="1A1A1A"/>
          <w:sz w:val="22"/>
          <w:szCs w:val="22"/>
        </w:rPr>
        <w:t xml:space="preserve">Partage de réponse : chaque réponse peut être partagée par lien ou ajoutée à un cockpit comme widget.</w:t>
      </w:r>
    </w:p>
    <w:p>
      <w:pPr>
        <w:pStyle w:val="ListParagraph"/>
        <w:numPr>
          <w:ilvl w:val="0"/>
          <w:numId w:val="2"/>
        </w:numPr>
        <w:spacing w:after="80"/>
      </w:pPr>
      <w:r>
        <w:rPr>
          <w:rFonts w:ascii="Arial" w:cs="Arial" w:eastAsia="Arial" w:hAnsi="Arial"/>
          <w:color w:val="1A1A1A"/>
          <w:sz w:val="22"/>
          <w:szCs w:val="22"/>
        </w:rPr>
        <w:t xml:space="preserve">Questions suggérées : l’IA propose 5 questions contextuelles à l’ouverture, basées sur les événements récents.</w:t>
      </w:r>
    </w:p>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MODULE 2 — BRIEFING MANAGARIAL</w:t>
      </w:r>
    </w:p>
    <w:p>
      <w:pPr>
        <w:pStyle w:val="Heading2"/>
        <w:spacing w:before="280" w:after="100"/>
      </w:pPr>
      <w:r>
        <w:rPr>
          <w:rFonts w:ascii="Arial" w:cs="Arial" w:eastAsia="Arial" w:hAnsi="Arial"/>
          <w:b/>
          <w:bCs/>
          <w:color w:val="1B6B6B"/>
          <w:sz w:val="26"/>
          <w:szCs w:val="26"/>
        </w:rPr>
        <w:t xml:space="preserve">Rapports automatiques périodiques</w:t>
      </w:r>
    </w:p>
    <w:p>
      <w:pPr>
        <w:spacing w:after="100"/>
      </w:pPr>
      <w:r>
        <w:rPr>
          <w:rFonts w:ascii="Arial" w:cs="Arial" w:eastAsia="Arial" w:hAnsi="Arial"/>
          <w:color w:val="1A1A1A"/>
          <w:sz w:val="22"/>
          <w:szCs w:val="22"/>
        </w:rPr>
        <w:t xml:space="preserve">Le Briefing Managarial est un résumé IA généré automatiquement à fréquence configurable (Quotidien / Hebdomadaire / Mensuel). Il est accessible dans la Section 6.2 et peut être envoyé par email aux managers concernés.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 de briefing</w:t>
            </w:r>
          </w:p>
        </w:tc>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Fréquence</w:t>
            </w:r>
          </w:p>
        </w:tc>
        <w:tc>
          <w:tcPr>
            <w:tcW w:type="dxa" w:w="47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 généré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Flash Quotidien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Chaque matin à l’heure configurée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Leads contactés hier · Réponses reçues · Meetings bookés · Budget consommé 24h · Alertes (anomalie ou campagne en erreur).</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Rapport Hebdomadaire</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Chaque lundi matin</w:t>
            </w:r>
          </w:p>
        </w:tc>
        <w:tc>
          <w:tcPr>
            <w:tcW w:type="dxa" w:w="4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Performance semaine vs semaine précédente · Top et bottom performers · Campagnes en décrochage · Objectifs traquage (progression semaine). Recommandations IA (3 actions prioritaires).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Bilan Mensuel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1er du mois suivant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généré vs objectif · ROI toutes campagnes · Funnel global du mois · Analyse comparative mois/mois et vs N-1 · Tendances sectorielles détectées · Recommandations stratégiques.</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Système d’alertes proactives</w:t>
      </w:r>
    </w:p>
    <w:p>
      <w:pPr>
        <w:spacing w:after="100"/>
      </w:pPr>
      <w:r>
        <w:rPr>
          <w:rFonts w:ascii="Arial" w:cs="Arial" w:eastAsia="Arial" w:hAnsi="Arial"/>
          <w:color w:val="1A1A1A"/>
          <w:sz w:val="22"/>
          <w:szCs w:val="22"/>
        </w:rPr>
        <w:t xml:space="preserve">En dehors des briefings réguliers, la plateforme envoie des alertes en temps réel dès que des anomalies significatives sont détectées.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 d’alerte</w:t>
            </w:r>
          </w:p>
        </w:tc>
        <w:tc>
          <w:tcPr>
            <w:tcW w:type="dxa" w:w="2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Seuil de déclenchement</w:t>
            </w:r>
          </w:p>
        </w:tc>
        <w:tc>
          <w:tcPr>
            <w:tcW w:type="dxa" w:w="4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Message IA proposé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Chute du taux de réponse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Baisse &gt; 30 % sur 3 jours consécutifs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Le taux de réponse de la campagne X a chuté de 15 % à 8 % en 3 jours. Noeud concerné : J+3. Je suggère de tester une variante de message.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Budget proche du seuil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&gt; 80 % du budget campagne consommé</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La campagne X a consommé X€ sur Y€ alloués. À ce rythme, le budget sera épuisé dans 3 jours. Augmenter le budget ?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Commercial en décrochage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Quota attainment &lt; 50 % à mi-période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[Prénom] est à 38 % de son objectif mensuel. Son délai de prise en charge moyen (4h) est le plus élevé de l’équipe.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Campagne en anomalie technique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Erreur de livraison &gt; 10 % ou 0 message envoyé depuis 24h</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La campagne X n’a envoyé aucun message depuis 8h. Canal SMS : erreur de crédential Twilio détectée. Action requise.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Pipeline en risque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Deals en statut Qualifié/Meeting sans activité depuis &gt; X jours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5 prospects qualifiés n’ont eu aucune activité depuis &gt; 7 jours. Risque de perte. Je suggère une relance immédiate.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Objection en hausse</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Même type d’objection détecté &gt; 5 fois cette semaine</w:t>
            </w:r>
          </w:p>
        </w:tc>
        <w:tc>
          <w:tcPr>
            <w:tcW w:type="dxa" w:w="4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 L’objection ‘Prix trop élevé’ a été détectée 12 fois cette semaine (vs 3 la semaine précédente). Souhaitez-vous enrichir la KB avec une réponse adaptée ?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FF8E7" w:val="clear"/>
            <w:tcMar>
              <w:top w:type="dxa" w:w="100"/>
              <w:left w:type="dxa" w:w="160"/>
              <w:bottom w:type="dxa" w:w="100"/>
              <w:right w:type="dxa" w:w="160"/>
            </w:tcMar>
          </w:tcPr>
          <w:p>
            <w:pPr>
              <w:spacing w:after="0"/>
            </w:pPr>
            <w:r>
              <w:rPr>
                <w:rFonts w:ascii="Arial" w:cs="Arial" w:eastAsia="Arial" w:hAnsi="Arial"/>
                <w:color w:val="7A5200"/>
                <w:sz w:val="20"/>
                <w:szCs w:val="20"/>
              </w:rPr>
              <w:t xml:space="preserve">▶  Décision d’architecture : toutes les alertes sont classées en 3 niveaux de priorité : Critique (rouge — action immédiate, canal + email), Importante (orange — notif plateforme + email), Informative (bleu — notif plateforme seule). L’utilisateur peut configurer les seuils et les canaux de notification pour chaque type d’alerte.</w:t>
            </w:r>
          </w:p>
        </w:tc>
      </w:tr>
    </w:tbl>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MODULE 3 — COACHING COMMERCIAL</w:t>
      </w:r>
    </w:p>
    <w:p>
      <w:pPr>
        <w:pStyle w:val="Heading2"/>
        <w:spacing w:before="280" w:after="100"/>
      </w:pPr>
      <w:r>
        <w:rPr>
          <w:rFonts w:ascii="Arial" w:cs="Arial" w:eastAsia="Arial" w:hAnsi="Arial"/>
          <w:b/>
          <w:bCs/>
          <w:color w:val="1B6B6B"/>
          <w:sz w:val="26"/>
          <w:szCs w:val="26"/>
        </w:rPr>
        <w:t xml:space="preserve">Intelligence comparative de l’équipe</w:t>
      </w:r>
    </w:p>
    <w:p>
      <w:pPr>
        <w:spacing w:after="100"/>
      </w:pPr>
      <w:r>
        <w:rPr>
          <w:rFonts w:ascii="Arial" w:cs="Arial" w:eastAsia="Arial" w:hAnsi="Arial"/>
          <w:color w:val="1A1A1A"/>
          <w:sz w:val="22"/>
          <w:szCs w:val="22"/>
        </w:rPr>
        <w:t xml:space="preserve">Le module Coaching Commercial est la fonctionnalité managariale la plus avancée de la Section 6.2. Inspirée de Gong Enable et Salesloft Rhythm AI, elle permet au manager de comprendre pourquoi certains commerciaux convertissent mieux que d’autres et de transposer les comportements gagnants.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5F0FF" w:val="clear"/>
            <w:tcMar>
              <w:top w:type="dxa" w:w="100"/>
              <w:left w:type="dxa" w:w="160"/>
              <w:bottom w:type="dxa" w:w="100"/>
              <w:right w:type="dxa" w:w="160"/>
            </w:tcMar>
          </w:tcPr>
          <w:p>
            <w:pPr>
              <w:spacing w:after="0"/>
            </w:pPr>
            <w:r>
              <w:rPr>
                <w:rFonts w:ascii="Arial" w:cs="Arial" w:eastAsia="Arial" w:hAnsi="Arial"/>
                <w:color w:val="4C1D95"/>
                <w:sz w:val="20"/>
                <w:szCs w:val="20"/>
              </w:rPr>
              <w:t xml:space="preserve">★  Différenciateur clé : là où Gong analyse les appels téléphoniques, Growly analyse les conversations écrites multi-canal. C’est une extension native du même concept, avec l’avantage que toutes les conversations écrites sont déjà textées et disponibles sans transcription.</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Tableau de bord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6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Classement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Leaderboard des commerciaux sur CA généré + quota attainment + taux de conversion + meetings bookés. Comparaison vs période précédente avec flèches directionnelles.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Profil comportemental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Pour chaque commercial : délai moyen de prise en charge (h) · Taux de réponse obtenu · Taux de show-rate · Nombre de leads en retard.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Patterns des top performers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L’IA identifie les comportements qui différencient les top performers : heures de prise en charge, formulations les plus utilisées, personas les mieux gérés, téléphones vs messages.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Lacunes identifiées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Pour chaque commercial en sous-performance : l’IA identifie 3 lacunes principales (délai de prise en charge trop long / faible taux de relance / objections non gérées / périme des leads).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Recommandations de coaching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Pour chaque lacune détectée : une recommandation concrète. Ex. : « Manon: délai moyen de prise en charge = 4h8 vs 1h2 pour le top performer. Recommandation : activer les notifications push pour les transferts prioritaires.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Exemples de conversations gagnantes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L’IA sélectionne 3 conversations ayant abouti à un meeting ou un deal et les partage avec le commercial en coaching. Format : extrait du fil + annotation IA (« Ce qui a bien fonctionné ici : »).</w:t>
            </w:r>
          </w:p>
        </w:tc>
      </w:tr>
    </w:tbl>
    <w:p>
      <w:pPr>
        <w:spacing w:after="0"/>
      </w:pPr>
      <w:r>
        <w:t xml:space="preserve"/>
      </w:r>
    </w:p>
    <w:p>
      <w:pPr>
        <w:pStyle w:val="Heading3"/>
        <w:spacing w:before="200" w:after="80"/>
      </w:pPr>
      <w:r>
        <w:rPr>
          <w:rFonts w:ascii="Arial" w:cs="Arial" w:eastAsia="Arial" w:hAnsi="Arial"/>
          <w:b/>
          <w:bCs/>
          <w:color w:val="4A4A4A"/>
          <w:sz w:val="22"/>
          <w:szCs w:val="22"/>
        </w:rPr>
        <w:t xml:space="preserve">Analyse « Pourquoi on perd » (Win/Loss Analysis)</w:t>
      </w:r>
    </w:p>
    <w:p>
      <w:pPr>
        <w:spacing w:after="100"/>
      </w:pPr>
      <w:r>
        <w:rPr>
          <w:rFonts w:ascii="Arial" w:cs="Arial" w:eastAsia="Arial" w:hAnsi="Arial"/>
          <w:color w:val="1A1A1A"/>
          <w:sz w:val="22"/>
          <w:szCs w:val="22"/>
        </w:rPr>
        <w:t xml:space="preserve">C’est l’analyse managariale la plus stratégique. Elle répond à la question : pourquoi les prospects ne convertissent-ils pas ?</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Dimension analyisée</w:t>
            </w:r>
          </w:p>
        </w:tc>
        <w:tc>
          <w:tcPr>
            <w:tcW w:type="dxa" w:w="6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Insight IA produit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Objections les plus fréquentes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Top 5 objections détectées dans les conversations terminées Perdu. Classement par volume + tendance semaine/semaine.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Noeuds de sortie du funnel</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Identification du noeud du scénario où le plus de prospects ont opt-outé ou abandonné. « 35 % des prospects sortent après le noeud J+7.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Profil des prospects perdus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Analyse des données firmographiques des prospects perdus vs gagnants. « Les PME de moins de 20 salariés ont un taux de conversion 3× inférieur aux ETI. »</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Canaux à forte abrasion</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Canal avec le plus haut taux d’opt-out par rapport aux autres. « Le SMS génère 2× plus d’opt-outs que l’email sur la campagne Y.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Analyse comparative 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Pour les tests A/B en cours ou terminés : verdict clair (« La variante B est statistiquement gagnante ») + explication en 2 lignes.</w:t>
            </w:r>
          </w:p>
        </w:tc>
      </w:tr>
    </w:tbl>
    <w:p>
      <w:pPr>
        <w:spacing w:after="0"/>
      </w:pPr>
      <w:r>
        <w:t xml:space="preserve"/>
      </w:r>
    </w:p>
    <w:p>
      <w:pPr>
        <w:pStyle w:val="Heading2"/>
        <w:spacing w:before="280" w:after="100"/>
      </w:pPr>
      <w:r>
        <w:rPr>
          <w:rFonts w:ascii="Arial" w:cs="Arial" w:eastAsia="Arial" w:hAnsi="Arial"/>
          <w:b/>
          <w:bCs/>
          <w:color w:val="1B6B6B"/>
          <w:sz w:val="26"/>
          <w:szCs w:val="26"/>
        </w:rPr>
        <w:t xml:space="preserve">Forecasting &amp; Prévision de revenu</w:t>
      </w:r>
    </w:p>
    <w:p>
      <w:pPr>
        <w:spacing w:after="100"/>
      </w:pPr>
      <w:r>
        <w:rPr>
          <w:rFonts w:ascii="Arial" w:cs="Arial" w:eastAsia="Arial" w:hAnsi="Arial"/>
          <w:color w:val="1A1A1A"/>
          <w:sz w:val="22"/>
          <w:szCs w:val="22"/>
        </w:rPr>
        <w:t xml:space="preserve">Le module de forecasting combine les données du pipeline actif (statuts, scores, vitesse) avec les tendances historiques pour produire une estimation de CA de fin de mois ou de trimestre.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Élément</w:t>
            </w:r>
          </w:p>
        </w:tc>
        <w:tc>
          <w:tcPr>
            <w:tcW w:type="dxa" w:w="73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réalisé</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Somme des deals fermés sur la période. Source : deal_closed.</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probable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Deals en statut Proposition + Négociation pondérés par le taux de conversion historique sur ces statuts.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CA en risque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Deals en statut Qualifié + Meeting sans activité depuis &gt; 7j. Réduit la prévision si non traités.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Prévision totale</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CA réalisé + CA probable. Affichée avec un intervalle de confiance (bas/moyen/haut) basé sur la variance historique.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Trajectoire vs objectif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Graphe de progression CA réalisé vs courbe objectif sur le mois. Point d’intersection prédit si l’objectif sera atteint ou non.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Actions suggérées</w:t>
            </w:r>
          </w:p>
        </w:tc>
        <w:tc>
          <w:tcPr>
            <w:tcW w:type="dxa" w:w="7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Si la prévision est inférieure à l’objectif : l’IA suggère des actions concrètes pour combler l’écart. Ex. : « Accuser les 12 deals Qualifiés inactifs depuis &gt; 5 jours représente un CA potentiel de X€. »</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DFAF1" w:val="clear"/>
            <w:tcMar>
              <w:top w:type="dxa" w:w="100"/>
              <w:left w:type="dxa" w:w="160"/>
              <w:bottom w:type="dxa" w:w="100"/>
              <w:right w:type="dxa" w:w="160"/>
            </w:tcMar>
          </w:tcPr>
          <w:p>
            <w:pPr>
              <w:spacing w:after="0"/>
            </w:pPr>
            <w:r>
              <w:rPr>
                <w:rFonts w:ascii="Arial" w:cs="Arial" w:eastAsia="Arial" w:hAnsi="Arial"/>
                <w:color w:val="1A5E2A"/>
                <w:sz w:val="20"/>
                <w:szCs w:val="20"/>
              </w:rPr>
              <w:t xml:space="preserve">✓  Bonne pratique : le forecasting Growly ne dépend pas de l’entrée manuelle des commerciaux (contrairement à Clari qui requiert un roll-up hebdomadaire). Il est calculé entièrement depuis les événements loggués automatiquement. Aucune saisie manuelle requise pour obtenir une prévision fiable.</w:t>
            </w:r>
          </w:p>
        </w:tc>
      </w:tr>
    </w:tbl>
    <w:p>
      <w:pPr>
        <w:spacing w:after="0"/>
      </w:pPr>
      <w:r>
        <w:t xml:space="preserve"/>
      </w:r>
    </w:p>
    <w:p>
      <w:pPr>
        <w:pStyle w:val="Heading1"/>
        <w:pBdr>
          <w:bottom w:val="single" w:color="1B6B6B" w:sz="6" w:space="1"/>
        </w:pBdr>
        <w:spacing w:before="360" w:after="120"/>
      </w:pPr>
      <w:r>
        <w:rPr>
          <w:rFonts w:ascii="Arial" w:cs="Arial" w:eastAsia="Arial" w:hAnsi="Arial"/>
          <w:b/>
          <w:bCs/>
          <w:color w:val="1B6B6B"/>
          <w:sz w:val="32"/>
          <w:szCs w:val="32"/>
        </w:rPr>
        <w:t xml:space="preserve">PLAN ET LIMITES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2000"/>
        <w:gridCol w:w="2000"/>
      </w:tblGrid>
      <w:tr>
        <w:trPr>
          <w:tblHeader/>
        </w:trPr>
        <w:tc>
          <w:tcPr>
            <w:tcW w:type="dxa" w:w="356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Fonctionnalité</w:t>
            </w:r>
          </w:p>
        </w:tc>
        <w:tc>
          <w:tcPr>
            <w:tcW w:type="dxa" w:w="18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Starter</w:t>
            </w:r>
          </w:p>
        </w:tc>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Growth</w:t>
            </w:r>
          </w:p>
        </w:tc>
        <w:tc>
          <w:tcPr>
            <w:tcW w:type="dxa" w:w="2000"/>
            <w:tcBorders>
              <w:top w:val="single" w:color="1B6B6B" w:sz="1"/>
              <w:left w:val="single" w:color="1B6B6B" w:sz="1"/>
              <w:bottom w:val="single" w:color="1B6B6B" w:sz="1"/>
              <w:right w:val="single" w:color="1B6B6B" w:sz="1"/>
            </w:tcBorders>
            <w:shd w:fill="1B6B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Enterprise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Cockpits pré-configurés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2 (lecture seule)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5 + 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bCs/>
                <w:i w:val="false"/>
                <w:iCs w:val="false"/>
                <w:color w:val="1A1A1A"/>
                <w:sz w:val="20"/>
                <w:szCs w:val="20"/>
              </w:rPr>
              <w:t xml:space="preserve">Illimité</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Cockpits custom</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(5 max)</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Illimité</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Widgets disponibles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KPI Card + Line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widgets cat.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 widgets custom</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Filtres globaux cockpit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Période + Campagne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filtres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Tous + filtres combinés</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Partage de cockpit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(lecture)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(lecture + édition)</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Export PDF / CSV</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 rapport auto</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Alertes automatiques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(3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(tous types + custom)</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Ask Analytics (chat IA)</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 (20 req/mois)</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Illimité</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Briefing managarial automatique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Hebdomadaire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Quotidien + mensuel</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Module Coaching Commercial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Basique (classement)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Complet (coaching IA)</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Win/Loss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Oui</w:t>
            </w:r>
          </w:p>
        </w:tc>
      </w:tr>
      <w:tr>
        <w:tc>
          <w:tcPr>
            <w:tcW w:type="dxa" w:w="3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Forecasting &amp; Prévision revenue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Non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Basique (projection)</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Complet (intervalle confiance)</w:t>
            </w:r>
          </w:p>
        </w:tc>
      </w:tr>
      <w:tr>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Rétention données analytiques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3 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12 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i w:val="false"/>
                <w:iCs w:val="false"/>
                <w:color w:val="1A1A1A"/>
                <w:sz w:val="20"/>
                <w:szCs w:val="20"/>
              </w:rPr>
              <w:t xml:space="preserve">Illimité</w:t>
            </w:r>
          </w:p>
        </w:tc>
      </w:tr>
    </w:tbl>
    <w:p>
      <w:pPr>
        <w:spacing w:after="0"/>
      </w:pPr>
      <w:r>
        <w:t xml:space="preserve"/>
      </w:r>
    </w:p>
    <w:p>
      <w:pPr>
        <w:spacing w:after="0"/>
      </w:pPr>
      <w:r>
        <w:t xml:space="preserve"/>
      </w:r>
    </w:p>
    <w:p>
      <w:pPr>
        <w:spacing w:before="240" w:after="0"/>
        <w:jc w:val="center"/>
      </w:pPr>
      <w:r>
        <w:rPr>
          <w:rFonts w:ascii="Arial" w:cs="Arial" w:eastAsia="Arial" w:hAnsi="Arial"/>
          <w:i/>
          <w:iCs/>
          <w:color w:val="666666"/>
          <w:sz w:val="18"/>
          <w:szCs w:val="18"/>
        </w:rPr>
        <w:t xml:space="preserve">Section 6 — Analytics &amp; Insights · Fin des spécifications fonctionnelles Growly / SAGA MVP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6B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6B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2026-03-14T21:05:57.695Z</dcterms:created>
  <dcterms:modified xsi:type="dcterms:W3CDTF">2026-03-14T21:05:57.696Z</dcterms:modified>
</cp:coreProperties>
</file>

<file path=docProps/custom.xml><?xml version="1.0" encoding="utf-8"?>
<Properties xmlns="http://schemas.openxmlformats.org/officeDocument/2006/custom-properties" xmlns:vt="http://schemas.openxmlformats.org/officeDocument/2006/docPropsVTypes"/>
</file>