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40" w:after="360"/>
        <w:jc w:val="center"/>
      </w:pPr>
      <w:r>
        <w:rPr>
          <w:rFonts w:ascii="Sarasa UI SC" w:hAnsi="Sarasa UI SC" w:eastAsia="更纱黑体 SC" w:cs="Sarasa UI SC"/>
          <w:b/>
          <w:i w:val="0"/>
          <w:color w:val="1A237E"/>
          <w:sz w:val="44"/>
        </w:rPr>
        <w:t>实验室安全事前干预监测系统 - 软件界面设计书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项目名称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：基于双摄协同的实验室安全事前干预监测系统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文档版本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：V1.0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适用赛道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：湖南省大学生计算机程序设计大赛 - 应用开发赛道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设计风格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：Water-Blue Pixel Brutalism（水色海浪像素新粗野主义）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/>
          <w:i w:val="0"/>
          <w:sz w:val="21"/>
        </w:rPr>
        <w:t>依据标准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：GB/T 8567-2006 计算机软件文档编制规范</w:t>
      </w:r>
    </w:p>
    <w:p>
      <w:pPr>
        <w:spacing w:before="120" w:after="120"/>
        <w:jc w:val="center"/>
      </w:pPr>
      <w:r>
        <w:rPr>
          <w:color w:val="BDC3C7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Sarasa UI SC" w:hAnsi="Sarasa UI SC" w:eastAsia="更纱黑体 SC" w:cs="Sarasa UI SC"/>
          <w:b/>
          <w:i w:val="0"/>
          <w:color w:val="283593"/>
          <w:sz w:val="30"/>
        </w:rPr>
        <w:t>1. 界面设计哲学与美学定位</w:t>
      </w: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1.1 摒弃传统工业界面的压迫感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>传统实验室工业监控软件通常采用大面积灰黑、沉闷暗调或简单拼凑的控件，给操作人员和评审专家带来强烈的压迫感与死板感。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本系统独创了 </w:t>
      </w:r>
      <w:r>
        <w:rPr>
          <w:rFonts w:ascii="Sarasa UI SC" w:hAnsi="Sarasa UI SC" w:eastAsia="更纱黑体 SC" w:cs="Sarasa UI SC"/>
          <w:b/>
          <w:i w:val="0"/>
          <w:sz w:val="21"/>
        </w:rPr>
        <w:t>“Water-Blue Pixel Brutalism (水色海浪像素新粗野主义)”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界面体系：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水色温柔基调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：引入马卡龙浅天蓝与柔和靛蓝，象征纯净、安全与冷静的实验环境；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物理机械拟物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：采用 2px~3px 纯黑硬边框、0 模糊半径实心投影、以及按压时物理塌陷位移，带来真实的机械按键触感；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动态数学海浪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：在窗口底层利用正弦波算法绘制双层半透明波动海浪，使静态界面充满生机；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8-bit 复古像素排版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：强制注入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Zpix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像素字体与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NerdFont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图标，呈现如同掌机时代的精致街机质感。</w:t>
      </w:r>
    </w:p>
    <w:p>
      <w:pPr>
        <w:spacing w:before="120" w:after="120"/>
        <w:jc w:val="center"/>
      </w:pPr>
      <w:r>
        <w:rPr>
          <w:color w:val="BDC3C7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Sarasa UI SC" w:hAnsi="Sarasa UI SC" w:eastAsia="更纱黑体 SC" w:cs="Sarasa UI SC"/>
          <w:b/>
          <w:i w:val="0"/>
          <w:color w:val="283593"/>
          <w:sz w:val="30"/>
        </w:rPr>
        <w:t>2. 色彩系统与设计规范 (Design Tokens)</w:t>
      </w: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2.1 调色板定义 (Color Palette)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3949AB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color w:val="FFFFFF"/>
                <w:sz w:val="20"/>
              </w:rPr>
              <w:t>颜色角色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3949AB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color w:val="FFFFFF"/>
                <w:sz w:val="20"/>
              </w:rPr>
              <w:t>色值十六进制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3949AB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color w:val="FFFFFF"/>
                <w:sz w:val="20"/>
              </w:rPr>
              <w:t>语义说明与使用场景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sz w:val="19"/>
              </w:rPr>
              <w:t>主背景水蓝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#E1F5FE 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窗口底层底色，搭配流动正弦海浪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sz w:val="19"/>
              </w:rPr>
              <w:t>主基调靛蓝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#5C6BC0 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核心标题栏、重要按钮、主结构分割线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sz w:val="19"/>
              </w:rPr>
              <w:t>对比警示黄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#FFF59D 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温湿度遥测卡片底色，强调重点遥测参数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sz w:val="19"/>
              </w:rPr>
              <w:t>危险报警红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#FF8A80 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高危干烧报警、未戴口罩警示标记、误报退回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sz w:val="19"/>
              </w:rPr>
              <w:t>安全正常绿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#A5D6A7 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SAFE 正常指示灯、判定正确按钮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sz w:val="19"/>
              </w:rPr>
              <w:t>粗野纯黑边框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#1A1A1A 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FFFFF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全局 2px~3px 纯黑硬边框与机械阴影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/>
                <w:i w:val="0"/>
                <w:sz w:val="19"/>
              </w:rPr>
              <w:t>纯白内容卡底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Fixed SC" w:hAnsi="Sarasa Fixed SC" w:eastAsia="Sarasa Fixed SC" w:cs="Sarasa Fixed SC"/>
                <w:b/>
                <w:i w:val="0"/>
                <w:color w:val="991B1B"/>
                <w:sz w:val="18"/>
              </w:rPr>
              <w:t xml:space="preserve"> #FFFFFF 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60" w:type="dxa"/>
              <w:right w:w="160" w:type="dxa"/>
            </w:tcMar>
            <w:shd w:fill="F3F4F6"/>
          </w:tcPr>
          <w:p>
            <w:pPr>
              <w:spacing w:before="40" w:after="40"/>
            </w:pPr>
            <w:r/>
            <w:r>
              <w:rPr>
                <w:rFonts w:ascii="Sarasa UI SC" w:hAnsi="Sarasa UI SC" w:eastAsia="更纱黑体 SC" w:cs="Sarasa UI SC"/>
                <w:b w:val="0"/>
                <w:i w:val="0"/>
                <w:sz w:val="19"/>
              </w:rPr>
              <w:t>视频流渲染框背景、右侧评审卡片底色</w:t>
            </w:r>
          </w:p>
        </w:tc>
      </w:tr>
    </w:tbl>
    <w:p>
      <w:pPr>
        <w:spacing w:after="120"/>
      </w:pP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2.2 物理硬阴影 (Hard Shadow) 规范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>不使用现代流行的半透明模糊高斯阴影，统一采用物理实心偏移投影：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arasa Fixed SC" w:hAnsi="Sarasa Fixed SC" w:eastAsia="Sarasa Fixed SC" w:cs="Sarasa Fixed SC"/>
                <w:b w:val="0"/>
                <w:i w:val="0"/>
                <w:color w:val="1E293B"/>
                <w:sz w:val="18"/>
              </w:rPr>
              <w:t>/* 纯黑硬阴影 CSS / QSS 规范 */</w:t>
              <w:br/>
              <w:t>border: 2px solid #1A1A1A;</w:t>
              <w:br/>
              <w:t>box-shadow: 4px 4px 0px #1A1A1A; /* X 偏移 4px, Y 偏移 4px, 模糊 0px */</w:t>
            </w:r>
          </w:p>
        </w:tc>
      </w:tr>
    </w:tbl>
    <w:p>
      <w:pPr>
        <w:spacing w:after="80"/>
      </w:pP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在 Qt 代码中由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apply_hard_shadow(widget, offset_x=4, offset_y=4, color="#1A1A1A")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统一渲染。</w:t>
      </w: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2.3 机械按键塌陷物理反馈 (Tactile Press Feedback)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>当用户鼠标悬停与按下时，按键产生精确的坐标平移与阴影收缩：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arasa Fixed SC" w:hAnsi="Sarasa Fixed SC" w:eastAsia="Sarasa Fixed SC" w:cs="Sarasa Fixed SC"/>
                <w:b w:val="0"/>
                <w:i w:val="0"/>
                <w:color w:val="1E293B"/>
                <w:sz w:val="18"/>
              </w:rPr>
              <w:t>/* 正常态 */</w:t>
              <w:br/>
              <w:t>QPushButton {</w:t>
              <w:br/>
              <w:t xml:space="preserve">    background-color: #5C6BC0;</w:t>
              <w:br/>
              <w:t xml:space="preserve">    border: 2px solid #1A1A1A;</w:t>
              <w:br/>
              <w:t xml:space="preserve">    margin-right: 4px;</w:t>
              <w:br/>
              <w:t xml:space="preserve">    margin-bottom: 4px;</w:t>
              <w:br/>
              <w:t>}</w:t>
              <w:br/>
              <w:t>/* 悬停态 */</w:t>
              <w:br/>
              <w:t>QPushButton:hover {</w:t>
              <w:br/>
              <w:t xml:space="preserve">    background-color: #7986CB;</w:t>
              <w:br/>
              <w:t>}</w:t>
              <w:br/>
              <w:t>/* 按下态 (物理硬塌陷) */</w:t>
              <w:br/>
              <w:t>QPushButton:pressed {</w:t>
              <w:br/>
              <w:t xml:space="preserve">    margin-left: 4px;</w:t>
              <w:br/>
              <w:t xml:space="preserve">    margin-top: 4px;</w:t>
              <w:br/>
              <w:t xml:space="preserve">    margin-right: 0px;</w:t>
              <w:br/>
              <w:t xml:space="preserve">    margin-bottom: 0px;</w:t>
              <w:br/>
              <w:t>}</w:t>
            </w:r>
          </w:p>
        </w:tc>
      </w:tr>
    </w:tbl>
    <w:p>
      <w:pPr>
        <w:spacing w:after="80"/>
      </w:pPr>
    </w:p>
    <w:p>
      <w:pPr>
        <w:spacing w:before="120" w:after="120"/>
        <w:jc w:val="center"/>
      </w:pPr>
      <w:r>
        <w:rPr>
          <w:color w:val="BDC3C7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Sarasa UI SC" w:hAnsi="Sarasa UI SC" w:eastAsia="更纱黑体 SC" w:cs="Sarasa UI SC"/>
          <w:b/>
          <w:i w:val="0"/>
          <w:color w:val="283593"/>
          <w:sz w:val="30"/>
        </w:rPr>
        <w:t>3. 界面布局与功能分区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>主界面采用</w:t>
      </w:r>
      <w:r>
        <w:rPr>
          <w:rFonts w:ascii="Sarasa UI SC" w:hAnsi="Sarasa UI SC" w:eastAsia="更纱黑体 SC" w:cs="Sarasa UI SC"/>
          <w:b/>
          <w:i w:val="0"/>
          <w:sz w:val="21"/>
        </w:rPr>
        <w:t>宽屏黄金分割三栏式响应布局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Sarasa Fixed SC" w:hAnsi="Sarasa Fixed SC" w:eastAsia="Sarasa Fixed SC" w:cs="Sarasa Fixed SC"/>
                <w:b w:val="0"/>
                <w:i w:val="0"/>
                <w:color w:val="1E293B"/>
                <w:sz w:val="18"/>
              </w:rPr>
              <w:t>graph TD</w:t>
              <w:br/>
              <w:t xml:space="preserve">    subgraph 主窗口全屏布局</w:t>
              <w:br/>
              <w:t xml:space="preserve">        TOP[顶部状态栏: 系统标题 + 运行时间 + 8-bit像素状态标语]</w:t>
              <w:br/>
              <w:t xml:space="preserve">        </w:t>
              <w:br/>
              <w:t xml:space="preserve">        subgraph 中间核心区域</w:t>
              <w:br/>
              <w:t xml:space="preserve">            subgraph 左侧: 双路多媒体监控中心 [占 65% 宽]</w:t>
              <w:br/>
              <w:t xml:space="preserve">                LEFT_VIDEO[双摄拼接主画面 / 宏观视角 + 微观特写]</w:t>
              <w:br/>
              <w:t xml:space="preserve">                LEFT_CTRL[媒体控制条: 暂停/播放 + 拖拽进度条 + 视频导入按钮]</w:t>
              <w:br/>
              <w:t xml:space="preserve">            end</w:t>
              <w:br/>
              <w:t xml:space="preserve">            </w:t>
              <w:br/>
              <w:t xml:space="preserve">            subgraph 右侧: 工业遥测与专家评审面板 [占 35% 宽]</w:t>
              <w:br/>
              <w:t xml:space="preserve">                RIGHT_TELEMETRY[环境遥测看板: 温度卡片 + 湿度卡片 + 状态指示]</w:t>
              <w:br/>
              <w:t xml:space="preserve">                RIGHT_CARDS[异常事件评审卡片动态流 QScrollArea]</w:t>
              <w:br/>
              <w:t xml:space="preserve">                RIGHT_SCORE[评审计分看板: TOTAL SCORE 0.00 / 35.00]</w:t>
              <w:br/>
              <w:t xml:space="preserve">            end</w:t>
              <w:br/>
              <w:t xml:space="preserve">        end</w:t>
              <w:br/>
              <w:t xml:space="preserve">    end</w:t>
            </w:r>
          </w:p>
        </w:tc>
      </w:tr>
    </w:tbl>
    <w:p>
      <w:pPr>
        <w:spacing w:after="80"/>
      </w:pP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3.1 左侧双摄监控与媒体控制区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主画面渲染视窗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支持宏观与微观画面的左右无缝并排展示；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目标检测标注框使用醒目的纯色像素线绘制，并在左上角显示类名与置信度（如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mask: 0.92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,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beaker: 0.88 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）；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画面中央下方显示姿态与状态（如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[UNATTENDED 5.2s]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,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[NORMAL] 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）。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像素机械控制面板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</w:p>
    <w:p>
      <w:pPr>
        <w:pStyle w:val="ListBullet"/>
        <w:spacing w:before="20" w:after="40"/>
      </w:pP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[ 📁 导入宏观视频 ] </w:t>
      </w:r>
      <w:r>
        <w:rPr>
          <w:rFonts w:ascii="Sarasa UI SC" w:hAnsi="Sarasa UI SC" w:eastAsia="更纱黑体 SC" w:cs="Sarasa UI SC"/>
          <w:b w:val="0"/>
          <w:i w:val="0"/>
          <w:sz w:val="21"/>
        </w:rPr>
        <w:t>、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[ 📁 导入微观视频 ] 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像素化播放/暂停按键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[ ⏯ 播放/暂停 ] 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物理滑块进度条：支持毫秒级精准定位拖拽。</w:t>
      </w:r>
    </w:p>
    <w:p>
      <w:pPr>
        <w:pStyle w:val="Heading2"/>
        <w:spacing w:before="200" w:after="80"/>
      </w:pPr>
      <w:r>
        <w:rPr>
          <w:rFonts w:ascii="Sarasa UI SC" w:hAnsi="Sarasa UI SC" w:eastAsia="更纱黑体 SC" w:cs="Sarasa UI SC"/>
          <w:b/>
          <w:i w:val="0"/>
          <w:color w:val="3949AB"/>
          <w:sz w:val="25"/>
        </w:rPr>
        <w:t>3.2 右侧工业遥测与专家评审流水线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遥测卡片区 (`TelemetryCard`)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采用亮黄色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#FFF59D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实心底色，大字号呈现实时温度（如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26.8 ℃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）与湿度（如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58.2 % 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）；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带有动态状态徽标（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[ SAFE ]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/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[ ALERT ]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/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[ SIMULATED ] 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）。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评审流水线卡片 (`ReviewCard`)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每次发生违规时，在列表顶部插入卡片，带触发时间、事件名和现场截图；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卡片底部嵌入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[ ✅ 判定正确 ]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和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[ ❌ 误报标记 ] </w:t>
      </w:r>
      <w:r>
        <w:rPr>
          <w:rFonts w:ascii="Sarasa UI SC" w:hAnsi="Sarasa UI SC" w:eastAsia="更纱黑体 SC" w:cs="Sarasa UI SC"/>
          <w:b w:val="0"/>
          <w:i w:val="0"/>
          <w:sz w:val="21"/>
        </w:rPr>
        <w:t>。</w:t>
      </w:r>
    </w:p>
    <w:p>
      <w:pPr>
        <w:pStyle w:val="ListNumber"/>
        <w:spacing w:before="20" w:after="40"/>
      </w:pPr>
      <w:r>
        <w:rPr>
          <w:rFonts w:ascii="Sarasa UI SC" w:hAnsi="Sarasa UI SC" w:eastAsia="更纱黑体 SC" w:cs="Sarasa UI SC"/>
          <w:b/>
          <w:i w:val="0"/>
          <w:sz w:val="21"/>
        </w:rPr>
        <w:t>专家计分板 (`ScoreBoard`)</w:t>
      </w:r>
      <w:r>
        <w:rPr>
          <w:rFonts w:ascii="Sarasa UI SC" w:hAnsi="Sarasa UI SC" w:eastAsia="更纱黑体 SC" w:cs="Sarasa UI SC"/>
          <w:b w:val="0"/>
          <w:i w:val="0"/>
          <w:sz w:val="21"/>
        </w:rPr>
        <w:t>：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呈现类似街机游戏厅的高分排行榜，评委点击验证正确后动态累加分数，增强现场路演互动的参与感与说服力。</w:t>
      </w:r>
    </w:p>
    <w:p>
      <w:pPr>
        <w:spacing w:before="120" w:after="120"/>
        <w:jc w:val="center"/>
      </w:pPr>
      <w:r>
        <w:rPr>
          <w:color w:val="BDC3C7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Sarasa UI SC" w:hAnsi="Sarasa UI SC" w:eastAsia="更纱黑体 SC" w:cs="Sarasa UI SC"/>
          <w:b/>
          <w:i w:val="0"/>
          <w:color w:val="283593"/>
          <w:sz w:val="30"/>
        </w:rPr>
        <w:t>4. 底层动态海浪算法设计 (`WaveBackgroundWidget`)</w:t>
      </w:r>
    </w:p>
    <w:p>
      <w:pPr>
        <w:spacing w:before="40" w:after="80" w:line="300" w:lineRule="auto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为了提供生动、解压的视觉体验，背景不是静态图片，而是通过继承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QWidget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并重写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paintEvent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实时绘制：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Sarasa UI SC" w:hAnsi="Sarasa UI SC" w:eastAsia="更纱黑体 SC" w:cs="Sarasa UI SC"/>
                <w:b/>
                <w:i/>
                <w:color w:val="0D47A1"/>
                <w:sz w:val="22"/>
              </w:rPr>
              <w:t>y₁(x, t) = A₁ sin≤ft(2π / λ_1 x + ω_1 t) + h₁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spacing w:before="80" w:after="80"/>
              <w:jc w:val="center"/>
            </w:pPr>
            <w:r>
              <w:rPr>
                <w:rFonts w:ascii="Sarasa UI SC" w:hAnsi="Sarasa UI SC" w:eastAsia="更纱黑体 SC" w:cs="Sarasa UI SC"/>
                <w:b/>
                <w:i/>
                <w:color w:val="0D47A1"/>
                <w:sz w:val="22"/>
              </w:rPr>
              <w:t>y₂(x, t) = A₂ cos≤ft(2π / λ_2 x + ω_2 t) + h₂</w:t>
            </w:r>
          </w:p>
        </w:tc>
      </w:tr>
    </w:tbl>
    <w:p>
      <w:pPr>
        <w:spacing w:after="80"/>
      </w:pP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>双波叠加、相位差位移产生深浅两层半透明水蓝波浪；</w:t>
      </w:r>
    </w:p>
    <w:p>
      <w:pPr>
        <w:pStyle w:val="ListBullet"/>
        <w:spacing w:before="20" w:after="40"/>
      </w:pP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使用 </w:t>
      </w:r>
      <w:r>
        <w:rPr>
          <w:rFonts w:ascii="Sarasa Fixed SC" w:hAnsi="Sarasa Fixed SC" w:eastAsia="Sarasa Fixed SC" w:cs="Sarasa Fixed SC"/>
          <w:b/>
          <w:i w:val="0"/>
          <w:color w:val="991B1B"/>
          <w:sz w:val="19"/>
        </w:rPr>
        <w:t xml:space="preserve"> QPainterPath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 填充多边形闭合区域，刷新间隔控制在 </w:t>
      </w:r>
      <w:r>
        <w:rPr>
          <w:rFonts w:ascii="Sarasa UI SC" w:hAnsi="Sarasa UI SC" w:eastAsia="更纱黑体 SC" w:cs="Sarasa UI SC"/>
          <w:b w:val="0"/>
          <w:i/>
          <w:color w:val="1565C0"/>
          <w:sz w:val="21"/>
        </w:rPr>
        <w:t xml:space="preserve"> 30ms </w:t>
      </w:r>
      <w:r>
        <w:rPr>
          <w:rFonts w:ascii="Sarasa UI SC" w:hAnsi="Sarasa UI SC" w:eastAsia="更纱黑体 SC" w:cs="Sarasa UI SC"/>
          <w:b w:val="0"/>
          <w:i w:val="0"/>
          <w:sz w:val="21"/>
        </w:rPr>
        <w:t xml:space="preserve">，CPU 占用低于 </w:t>
      </w:r>
      <w:r>
        <w:rPr>
          <w:rFonts w:ascii="Sarasa UI SC" w:hAnsi="Sarasa UI SC" w:eastAsia="更纱黑体 SC" w:cs="Sarasa UI SC"/>
          <w:b w:val="0"/>
          <w:i/>
          <w:color w:val="1565C0"/>
          <w:sz w:val="21"/>
        </w:rPr>
        <w:t xml:space="preserve"> 1% </w:t>
      </w:r>
      <w:r>
        <w:rPr>
          <w:rFonts w:ascii="Sarasa UI SC" w:hAnsi="Sarasa UI SC" w:eastAsia="更纱黑体 SC" w:cs="Sarasa UI SC"/>
          <w:b w:val="0"/>
          <w:i w:val="0"/>
          <w:sz w:val="21"/>
        </w:rPr>
        <w:t>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rasa UI SC" w:hAnsi="Sarasa UI SC" w:eastAsia="更纱黑体 S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