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60"/>
        <w:jc w:val="center"/>
      </w:pPr>
      <w:r>
        <w:rPr>
          <w:rFonts w:ascii="Calibri" w:hAnsi="Calibri"/>
          <w:b/>
          <w:color w:val="1F497D"/>
          <w:sz w:val="44"/>
        </w:rPr>
        <w:t>Air Pollution Intelligence:</w:t>
      </w:r>
    </w:p>
    <w:p>
      <w:pPr>
        <w:spacing w:before="0" w:after="600"/>
        <w:jc w:val="center"/>
      </w:pPr>
      <w:r>
        <w:rPr>
          <w:rFonts w:ascii="Calibri" w:hAnsi="Calibri"/>
          <w:b/>
          <w:color w:val="2E74B5"/>
          <w:sz w:val="36"/>
        </w:rPr>
        <w:t>Global AQI Analysis and Prediction for Bangladesh</w:t>
      </w:r>
    </w:p>
    <w:p>
      <w:pPr>
        <w:spacing w:before="60" w:after="60"/>
        <w:jc w:val="center"/>
      </w:pPr>
      <w:r>
        <w:rPr>
          <w:rFonts w:ascii="Calibri" w:hAnsi="Calibri"/>
          <w:b/>
          <w:sz w:val="24"/>
        </w:rPr>
        <w:t xml:space="preserve">Course: </w:t>
      </w:r>
      <w:r>
        <w:rPr>
          <w:rFonts w:ascii="Calibri" w:hAnsi="Calibri"/>
          <w:sz w:val="24"/>
        </w:rPr>
        <w:t>Introduction to Data Science</w:t>
      </w:r>
    </w:p>
    <w:p>
      <w:pPr>
        <w:spacing w:before="60" w:after="60"/>
        <w:jc w:val="center"/>
      </w:pPr>
      <w:r>
        <w:rPr>
          <w:rFonts w:ascii="Calibri" w:hAnsi="Calibri"/>
          <w:b/>
          <w:sz w:val="24"/>
        </w:rPr>
        <w:t xml:space="preserve">Project: </w:t>
      </w:r>
      <w:r>
        <w:rPr>
          <w:rFonts w:ascii="Calibri" w:hAnsi="Calibri"/>
          <w:sz w:val="24"/>
        </w:rPr>
        <w:t>Final-Term Project</w:t>
      </w:r>
    </w:p>
    <w:p>
      <w:pPr>
        <w:spacing w:before="60" w:after="60"/>
        <w:jc w:val="center"/>
      </w:pPr>
      <w:r>
        <w:rPr>
          <w:rFonts w:ascii="Calibri" w:hAnsi="Calibri"/>
          <w:b/>
          <w:sz w:val="24"/>
        </w:rPr>
        <w:t xml:space="preserve">Dataset: </w:t>
      </w:r>
      <w:r>
        <w:rPr>
          <w:rFonts w:ascii="Calibri" w:hAnsi="Calibri"/>
          <w:sz w:val="24"/>
        </w:rPr>
        <w:t>OpenAQ API — Bangladesh (Country ID: 128)</w:t>
      </w:r>
    </w:p>
    <w:p>
      <w:pPr>
        <w:spacing w:before="60" w:after="60"/>
        <w:jc w:val="center"/>
      </w:pPr>
      <w:r>
        <w:rPr>
          <w:rFonts w:ascii="Calibri" w:hAnsi="Calibri"/>
          <w:b/>
          <w:sz w:val="24"/>
        </w:rPr>
        <w:t xml:space="preserve">Language: </w:t>
      </w:r>
      <w:r>
        <w:rPr>
          <w:rFonts w:ascii="Calibri" w:hAnsi="Calibri"/>
          <w:sz w:val="24"/>
        </w:rPr>
        <w:t>R</w:t>
      </w:r>
    </w:p>
    <w:p>
      <w:pPr>
        <w:spacing w:before="60" w:after="60"/>
        <w:jc w:val="center"/>
      </w:pPr>
      <w:r>
        <w:rPr>
          <w:rFonts w:ascii="Calibri" w:hAnsi="Calibri"/>
          <w:b/>
          <w:sz w:val="24"/>
        </w:rPr>
        <w:t xml:space="preserve">Date: </w:t>
      </w:r>
      <w:r>
        <w:rPr>
          <w:rFonts w:ascii="Calibri" w:hAnsi="Calibri"/>
          <w:sz w:val="24"/>
        </w:rPr>
        <w:t>5th May 2026</w:t>
      </w:r>
    </w:p>
    <w:p>
      <w:r>
        <w:br w:type="page"/>
      </w:r>
    </w:p>
    <w:p>
      <w:pPr>
        <w:pStyle w:val="Heading1"/>
        <w:spacing w:before="280" w:after="80"/>
      </w:pPr>
      <w:r>
        <w:t>1. Research Objective</w:t>
      </w:r>
    </w:p>
    <w:p>
      <w:pPr>
        <w:spacing w:before="40" w:after="120" w:line="280" w:lineRule="exact"/>
        <w:ind w:firstLine="0"/>
      </w:pPr>
      <w:r>
        <w:rPr>
          <w:rFonts w:ascii="Calibri" w:hAnsi="Calibri"/>
          <w:b w:val="0"/>
          <w:i w:val="0"/>
          <w:sz w:val="22"/>
        </w:rPr>
        <w:t>Air pollution is one of the most critical environmental health challenges globally, with Bangladesh ranking among the most severely affected countries. Fine particulate matter (PM2.5) — particles smaller than 2.5 micrometres — poses serious health risks including respiratory and cardiovascular diseases. This project defines the following research objectives:</w:t>
      </w:r>
    </w:p>
    <w:p>
      <w:pPr>
        <w:pStyle w:val="ListBullet"/>
        <w:spacing w:before="20" w:after="60" w:line="260" w:lineRule="exact"/>
        <w:ind w:left="340"/>
      </w:pPr>
      <w:r>
        <w:rPr>
          <w:rFonts w:ascii="Calibri" w:hAnsi="Calibri"/>
          <w:sz w:val="22"/>
        </w:rPr>
        <w:t>Classify the Air Quality Index (AQI) severity category (Good, Moderate, Unhealthy for Sensitive Groups, Unhealthy, Hazardous) of PM2.5 readings using machine learning models.</w:t>
      </w:r>
    </w:p>
    <w:p>
      <w:pPr>
        <w:pStyle w:val="ListBullet"/>
        <w:spacing w:before="20" w:after="60" w:line="260" w:lineRule="exact"/>
        <w:ind w:left="340"/>
      </w:pPr>
      <w:r>
        <w:rPr>
          <w:rFonts w:ascii="Calibri" w:hAnsi="Calibri"/>
          <w:sz w:val="22"/>
        </w:rPr>
        <w:t>Identify statistically significant seasonal and geographic differences in PM2.5 concentrations across Bangladesh using ANOVA and Tukey HSD post-hoc analysis.</w:t>
      </w:r>
    </w:p>
    <w:p>
      <w:pPr>
        <w:pStyle w:val="ListBullet"/>
        <w:spacing w:before="20" w:after="60" w:line="260" w:lineRule="exact"/>
        <w:ind w:left="340"/>
      </w:pPr>
      <w:r>
        <w:rPr>
          <w:rFonts w:ascii="Calibri" w:hAnsi="Calibri"/>
          <w:sz w:val="22"/>
        </w:rPr>
        <w:t>Forecast future monthly average PM2.5 levels for the next 24 months using time-series modelling (ARIMA) to evaluate whether levels will remain above the WHO guideline of 15 µg/m³.</w:t>
      </w:r>
    </w:p>
    <w:p>
      <w:pPr>
        <w:spacing w:before="40" w:after="120" w:line="280" w:lineRule="exact"/>
        <w:ind w:firstLine="0"/>
      </w:pPr>
      <w:r>
        <w:rPr>
          <w:rFonts w:ascii="Calibri" w:hAnsi="Calibri"/>
          <w:b w:val="0"/>
          <w:i w:val="0"/>
          <w:sz w:val="22"/>
        </w:rPr>
        <w:t>These objectives are measurable, data-driven, and directly aligned with classification, trend analysis, and predictive modelling — covering core pillars of data science methodology.</w:t>
      </w:r>
    </w:p>
    <w:p>
      <w:pPr>
        <w:spacing w:before="80" w:after="80"/>
        <w:pBdr>
          <w:bottom w:val="single" w:sz="6" w:space="1" w:color="4F81BD"/>
        </w:pBdr>
      </w:pPr>
    </w:p>
    <w:p>
      <w:pPr>
        <w:pStyle w:val="Heading1"/>
        <w:spacing w:before="280" w:after="80"/>
      </w:pPr>
      <w:r>
        <w:t>2. Data Collection via API (Web Scraping)</w:t>
      </w:r>
    </w:p>
    <w:p>
      <w:pPr>
        <w:spacing w:before="40" w:after="120" w:line="280" w:lineRule="exact"/>
        <w:ind w:firstLine="0"/>
      </w:pPr>
      <w:r>
        <w:rPr>
          <w:rFonts w:ascii="Calibri" w:hAnsi="Calibri"/>
          <w:b w:val="0"/>
          <w:i w:val="0"/>
          <w:sz w:val="22"/>
        </w:rPr>
        <w:t>Data was collected programmatically from the OpenAQ v3 REST API (https://api.openaq.org/v3/), a globally recognized open-data platform aggregating real-time and historical air quality measurements from government and research monitoring stations worldwide.</w:t>
      </w:r>
    </w:p>
    <w:p>
      <w:pPr>
        <w:pStyle w:val="Heading2"/>
        <w:spacing w:before="200" w:after="80"/>
      </w:pPr>
      <w:r>
        <w:t>2.1 Data Source Justification</w:t>
      </w:r>
    </w:p>
    <w:p>
      <w:pPr>
        <w:pStyle w:val="ListBullet"/>
        <w:spacing w:before="20" w:after="60" w:line="260" w:lineRule="exact"/>
        <w:ind w:left="340"/>
      </w:pPr>
      <w:r>
        <w:rPr>
          <w:rFonts w:ascii="Calibri" w:hAnsi="Calibri"/>
          <w:sz w:val="22"/>
        </w:rPr>
        <w:t>OpenAQ provides structured, sensor-level pollutant measurements in JSON format via authenticated API endpoints.</w:t>
      </w:r>
    </w:p>
    <w:p>
      <w:pPr>
        <w:pStyle w:val="ListBullet"/>
        <w:spacing w:before="20" w:after="60" w:line="260" w:lineRule="exact"/>
        <w:ind w:left="340"/>
      </w:pPr>
      <w:r>
        <w:rPr>
          <w:rFonts w:ascii="Calibri" w:hAnsi="Calibri"/>
          <w:sz w:val="22"/>
        </w:rPr>
        <w:t>Bangladesh (Country ID: 128) was selected due to its consistently poor air quality rankings and the availability of multi-year sensor data.</w:t>
      </w:r>
    </w:p>
    <w:p>
      <w:pPr>
        <w:pStyle w:val="ListBullet"/>
        <w:spacing w:before="20" w:after="60" w:line="260" w:lineRule="exact"/>
        <w:ind w:left="340"/>
      </w:pPr>
      <w:r>
        <w:rPr>
          <w:rFonts w:ascii="Calibri" w:hAnsi="Calibri"/>
          <w:sz w:val="22"/>
        </w:rPr>
        <w:t>The API was queried using the R httr and jsonlite libraries — the standard approach for REST API scraping in R.</w:t>
      </w:r>
    </w:p>
    <w:p>
      <w:pPr>
        <w:pStyle w:val="Heading2"/>
        <w:spacing w:before="200" w:after="80"/>
      </w:pPr>
      <w:r>
        <w:t>2.2 Scraping Methodology</w:t>
      </w:r>
    </w:p>
    <w:p>
      <w:pPr>
        <w:spacing w:before="40" w:after="120" w:line="280" w:lineRule="exact"/>
        <w:ind w:firstLine="0"/>
      </w:pPr>
      <w:r>
        <w:rPr>
          <w:rFonts w:ascii="Calibri" w:hAnsi="Calibri"/>
          <w:b w:val="0"/>
          <w:i w:val="0"/>
          <w:sz w:val="22"/>
        </w:rPr>
        <w:t>The data collection pipeline followed three sequential steps:</w:t>
      </w:r>
    </w:p>
    <w:p>
      <w:pPr>
        <w:pStyle w:val="ListBullet"/>
        <w:spacing w:before="20" w:after="60" w:line="260" w:lineRule="exact"/>
        <w:ind w:left="624"/>
      </w:pPr>
      <w:r>
        <w:rPr>
          <w:rFonts w:ascii="Calibri" w:hAnsi="Calibri"/>
          <w:sz w:val="22"/>
        </w:rPr>
        <w:t>Step 1 — Location Discovery: GET /v3/locations?limit=100&amp;countries_id=128 returned all monitoring station metadata.</w:t>
      </w:r>
    </w:p>
    <w:p>
      <w:pPr>
        <w:pStyle w:val="ListBullet"/>
        <w:spacing w:before="20" w:after="60" w:line="260" w:lineRule="exact"/>
        <w:ind w:left="624"/>
      </w:pPr>
      <w:r>
        <w:rPr>
          <w:rFonts w:ascii="Calibri" w:hAnsi="Calibri"/>
          <w:sz w:val="22"/>
        </w:rPr>
        <w:t>Step 2 — Sensor Enumeration: For each location, GET /v3/locations/{id} retrieved individual sensor IDs and their active date ranges.</w:t>
      </w:r>
    </w:p>
    <w:p>
      <w:pPr>
        <w:pStyle w:val="ListBullet"/>
        <w:spacing w:before="20" w:after="60" w:line="260" w:lineRule="exact"/>
        <w:ind w:left="624"/>
      </w:pPr>
      <w:r>
        <w:rPr>
          <w:rFonts w:ascii="Calibri" w:hAnsi="Calibri"/>
          <w:sz w:val="22"/>
        </w:rPr>
        <w:t>Step 3 — Measurement Collection: For each sensor, GET /v3/sensors/{id}/measurements?datetime_from=...&amp;datetime_to=...&amp;limit=100 fetched up to 100 measurements.</w:t>
      </w:r>
    </w:p>
    <w:p>
      <w:pPr>
        <w:spacing w:before="40" w:after="120" w:line="280" w:lineRule="exact"/>
        <w:ind w:firstLine="0"/>
      </w:pPr>
      <w:r>
        <w:rPr>
          <w:rFonts w:ascii="Calibri" w:hAnsi="Calibri"/>
          <w:b w:val="0"/>
          <w:i w:val="0"/>
          <w:sz w:val="22"/>
        </w:rPr>
        <w:t>A Sys.sleep(1) delay was enforced between each API request to comply with the platform's rate-limiting policy. Error handling via tryCatch() ensured the pipeline continued even when individual sensors returned malformed or empty responses.</w:t>
      </w:r>
    </w:p>
    <w:p>
      <w:pPr>
        <w:pStyle w:val="Heading2"/>
        <w:spacing w:before="200" w:after="80"/>
      </w:pPr>
      <w:r>
        <w:t>2.3 Libraries Used</w:t>
      </w:r>
    </w:p>
    <w:tbl>
      <w:tblPr>
        <w:tblStyle w:val="TableGrid"/>
        <w:tblW w:type="auto" w:w="0"/>
        <w:jc w:val="center"/>
        <w:tblLook w:firstColumn="1" w:firstRow="1" w:lastColumn="0" w:lastRow="0" w:noHBand="0" w:noVBand="1" w:val="04A0"/>
      </w:tblPr>
      <w:tblGrid>
        <w:gridCol w:w="4561"/>
        <w:gridCol w:w="4561"/>
      </w:tblGrid>
      <w:tr>
        <w:tc>
          <w:tcPr>
            <w:tcW w:type="dxa" w:w="4561"/>
          </w:tcPr>
          <w:p>
            <w:r>
              <w:rPr>
                <w:b/>
                <w:sz w:val="21"/>
              </w:rPr>
              <w:t>Library</w:t>
            </w:r>
          </w:p>
        </w:tc>
        <w:tc>
          <w:tcPr>
            <w:tcW w:type="dxa" w:w="4561"/>
          </w:tcPr>
          <w:p>
            <w:r>
              <w:rPr>
                <w:b/>
                <w:sz w:val="21"/>
              </w:rPr>
              <w:t>Purpose</w:t>
            </w:r>
          </w:p>
        </w:tc>
      </w:tr>
      <w:tr>
        <w:tc>
          <w:tcPr>
            <w:tcW w:type="dxa" w:w="4561"/>
          </w:tcPr>
          <w:p>
            <w:r>
              <w:rPr>
                <w:sz w:val="21"/>
              </w:rPr>
              <w:t>httr</w:t>
            </w:r>
          </w:p>
        </w:tc>
        <w:tc>
          <w:tcPr>
            <w:tcW w:type="dxa" w:w="4561"/>
          </w:tcPr>
          <w:p>
            <w:r>
              <w:rPr>
                <w:sz w:val="21"/>
              </w:rPr>
              <w:t>HTTP GET requests and API authentication via X-API-Key header</w:t>
            </w:r>
          </w:p>
        </w:tc>
      </w:tr>
      <w:tr>
        <w:tc>
          <w:tcPr>
            <w:tcW w:type="dxa" w:w="4561"/>
          </w:tcPr>
          <w:p>
            <w:r>
              <w:rPr>
                <w:sz w:val="21"/>
              </w:rPr>
              <w:t>jsonlite</w:t>
            </w:r>
          </w:p>
        </w:tc>
        <w:tc>
          <w:tcPr>
            <w:tcW w:type="dxa" w:w="4561"/>
          </w:tcPr>
          <w:p>
            <w:r>
              <w:rPr>
                <w:sz w:val="21"/>
              </w:rPr>
              <w:t>JSON response parsing and flattening into R data frames</w:t>
            </w:r>
          </w:p>
        </w:tc>
      </w:tr>
      <w:tr>
        <w:tc>
          <w:tcPr>
            <w:tcW w:type="dxa" w:w="4561"/>
          </w:tcPr>
          <w:p>
            <w:r>
              <w:rPr>
                <w:sz w:val="21"/>
              </w:rPr>
              <w:t>dplyr</w:t>
            </w:r>
          </w:p>
        </w:tc>
        <w:tc>
          <w:tcPr>
            <w:tcW w:type="dxa" w:w="4561"/>
          </w:tcPr>
          <w:p>
            <w:r>
              <w:rPr>
                <w:sz w:val="21"/>
              </w:rPr>
              <w:t>Data manipulation, filtering, and aggregation</w:t>
            </w:r>
          </w:p>
        </w:tc>
      </w:tr>
      <w:tr>
        <w:tc>
          <w:tcPr>
            <w:tcW w:type="dxa" w:w="4561"/>
          </w:tcPr>
          <w:p>
            <w:r>
              <w:rPr>
                <w:sz w:val="21"/>
              </w:rPr>
              <w:t>ggplot2</w:t>
            </w:r>
          </w:p>
        </w:tc>
        <w:tc>
          <w:tcPr>
            <w:tcW w:type="dxa" w:w="4561"/>
          </w:tcPr>
          <w:p>
            <w:r>
              <w:rPr>
                <w:sz w:val="21"/>
              </w:rPr>
              <w:t>All data visualisations</w:t>
            </w:r>
          </w:p>
        </w:tc>
      </w:tr>
      <w:tr>
        <w:tc>
          <w:tcPr>
            <w:tcW w:type="dxa" w:w="4561"/>
          </w:tcPr>
          <w:p>
            <w:r>
              <w:rPr>
                <w:sz w:val="21"/>
              </w:rPr>
              <w:t>tidyr</w:t>
            </w:r>
          </w:p>
        </w:tc>
        <w:tc>
          <w:tcPr>
            <w:tcW w:type="dxa" w:w="4561"/>
          </w:tcPr>
          <w:p>
            <w:r>
              <w:rPr>
                <w:sz w:val="21"/>
              </w:rPr>
              <w:t>Data reshaping</w:t>
            </w:r>
          </w:p>
        </w:tc>
      </w:tr>
      <w:tr>
        <w:tc>
          <w:tcPr>
            <w:tcW w:type="dxa" w:w="4561"/>
          </w:tcPr>
          <w:p>
            <w:r>
              <w:rPr>
                <w:sz w:val="21"/>
              </w:rPr>
              <w:t>stringr</w:t>
            </w:r>
          </w:p>
        </w:tc>
        <w:tc>
          <w:tcPr>
            <w:tcW w:type="dxa" w:w="4561"/>
          </w:tcPr>
          <w:p>
            <w:r>
              <w:rPr>
                <w:sz w:val="21"/>
              </w:rPr>
              <w:t>String cleaning and normalisation</w:t>
            </w:r>
          </w:p>
        </w:tc>
      </w:tr>
      <w:tr>
        <w:tc>
          <w:tcPr>
            <w:tcW w:type="dxa" w:w="4561"/>
          </w:tcPr>
          <w:p>
            <w:r>
              <w:rPr>
                <w:sz w:val="21"/>
              </w:rPr>
              <w:t>ranger</w:t>
            </w:r>
          </w:p>
        </w:tc>
        <w:tc>
          <w:tcPr>
            <w:tcW w:type="dxa" w:w="4561"/>
          </w:tcPr>
          <w:p>
            <w:r>
              <w:rPr>
                <w:sz w:val="21"/>
              </w:rPr>
              <w:t>Fast Random Forest classification</w:t>
            </w:r>
          </w:p>
        </w:tc>
      </w:tr>
      <w:tr>
        <w:tc>
          <w:tcPr>
            <w:tcW w:type="dxa" w:w="4561"/>
          </w:tcPr>
          <w:p>
            <w:r>
              <w:rPr>
                <w:sz w:val="21"/>
              </w:rPr>
              <w:t>xgboost</w:t>
            </w:r>
          </w:p>
        </w:tc>
        <w:tc>
          <w:tcPr>
            <w:tcW w:type="dxa" w:w="4561"/>
          </w:tcPr>
          <w:p>
            <w:r>
              <w:rPr>
                <w:sz w:val="21"/>
              </w:rPr>
              <w:t>Gradient Boosted Tree classification</w:t>
            </w:r>
          </w:p>
        </w:tc>
      </w:tr>
      <w:tr>
        <w:tc>
          <w:tcPr>
            <w:tcW w:type="dxa" w:w="4561"/>
          </w:tcPr>
          <w:p>
            <w:r>
              <w:rPr>
                <w:sz w:val="21"/>
              </w:rPr>
              <w:t>caret</w:t>
            </w:r>
          </w:p>
        </w:tc>
        <w:tc>
          <w:tcPr>
            <w:tcW w:type="dxa" w:w="4561"/>
          </w:tcPr>
          <w:p>
            <w:r>
              <w:rPr>
                <w:sz w:val="21"/>
              </w:rPr>
              <w:t>Model evaluation utilities</w:t>
            </w:r>
          </w:p>
        </w:tc>
      </w:tr>
      <w:tr>
        <w:tc>
          <w:tcPr>
            <w:tcW w:type="dxa" w:w="4561"/>
          </w:tcPr>
          <w:p>
            <w:r>
              <w:rPr>
                <w:sz w:val="21"/>
              </w:rPr>
              <w:t>forecast</w:t>
            </w:r>
          </w:p>
        </w:tc>
        <w:tc>
          <w:tcPr>
            <w:tcW w:type="dxa" w:w="4561"/>
          </w:tcPr>
          <w:p>
            <w:r>
              <w:rPr>
                <w:sz w:val="21"/>
              </w:rPr>
              <w:t>ARIMA time-series modelling and forecasting</w:t>
            </w:r>
          </w:p>
        </w:tc>
      </w:tr>
      <w:tr>
        <w:tc>
          <w:tcPr>
            <w:tcW w:type="dxa" w:w="4561"/>
          </w:tcPr>
          <w:p>
            <w:r>
              <w:rPr>
                <w:sz w:val="21"/>
              </w:rPr>
              <w:t>lubridate</w:t>
            </w:r>
          </w:p>
        </w:tc>
        <w:tc>
          <w:tcPr>
            <w:tcW w:type="dxa" w:w="4561"/>
          </w:tcPr>
          <w:p>
            <w:r>
              <w:rPr>
                <w:sz w:val="21"/>
              </w:rPr>
              <w:t>Date arithmetic for ARIMA forecast date sequences</w:t>
            </w:r>
          </w:p>
        </w:tc>
      </w:tr>
      <w:tr>
        <w:tc>
          <w:tcPr>
            <w:tcW w:type="dxa" w:w="4561"/>
          </w:tcPr>
          <w:p>
            <w:r>
              <w:rPr>
                <w:sz w:val="21"/>
              </w:rPr>
              <w:t>scales</w:t>
            </w:r>
          </w:p>
        </w:tc>
        <w:tc>
          <w:tcPr>
            <w:tcW w:type="dxa" w:w="4561"/>
          </w:tcPr>
          <w:p>
            <w:r>
              <w:rPr>
                <w:sz w:val="21"/>
              </w:rPr>
              <w:t>Formatted axis labels (comma, percent)</w:t>
            </w:r>
          </w:p>
        </w:tc>
      </w:tr>
    </w:tbl>
    <w:p/>
    <w:p>
      <w:pPr>
        <w:spacing w:before="80" w:after="80"/>
        <w:pBdr>
          <w:bottom w:val="single" w:sz="6" w:space="1" w:color="4F81BD"/>
        </w:pBdr>
      </w:pPr>
    </w:p>
    <w:p>
      <w:pPr>
        <w:pStyle w:val="Heading1"/>
        <w:spacing w:before="280" w:after="80"/>
      </w:pPr>
      <w:r>
        <w:t>3. Data Understanding and Exploration</w:t>
      </w:r>
    </w:p>
    <w:p>
      <w:pPr>
        <w:pStyle w:val="Heading2"/>
        <w:spacing w:before="200" w:after="80"/>
      </w:pPr>
      <w:r>
        <w:t>3.1 Dataset Structure</w:t>
      </w:r>
    </w:p>
    <w:p>
      <w:pPr>
        <w:spacing w:before="40" w:after="120" w:line="280" w:lineRule="exact"/>
        <w:ind w:firstLine="0"/>
      </w:pPr>
      <w:r>
        <w:rPr>
          <w:rFonts w:ascii="Calibri" w:hAnsi="Calibri"/>
          <w:b w:val="0"/>
          <w:i w:val="0"/>
          <w:sz w:val="22"/>
        </w:rPr>
        <w:t>The raw dataset collected from the OpenAQ API is a flat data frame where each row represents a single sensor measurement. Key columns include:</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r>
              <w:rPr>
                <w:b/>
                <w:sz w:val="21"/>
              </w:rPr>
              <w:t>Column</w:t>
            </w:r>
          </w:p>
        </w:tc>
        <w:tc>
          <w:tcPr>
            <w:tcW w:type="dxa" w:w="3041"/>
          </w:tcPr>
          <w:p>
            <w:r>
              <w:rPr>
                <w:b/>
                <w:sz w:val="21"/>
              </w:rPr>
              <w:t>Type</w:t>
            </w:r>
          </w:p>
        </w:tc>
        <w:tc>
          <w:tcPr>
            <w:tcW w:type="dxa" w:w="3041"/>
          </w:tcPr>
          <w:p>
            <w:r>
              <w:rPr>
                <w:b/>
                <w:sz w:val="21"/>
              </w:rPr>
              <w:t>Description</w:t>
            </w:r>
          </w:p>
        </w:tc>
      </w:tr>
      <w:tr>
        <w:tc>
          <w:tcPr>
            <w:tcW w:type="dxa" w:w="3041"/>
          </w:tcPr>
          <w:p>
            <w:r>
              <w:rPr>
                <w:sz w:val="21"/>
              </w:rPr>
              <w:t>value</w:t>
            </w:r>
          </w:p>
        </w:tc>
        <w:tc>
          <w:tcPr>
            <w:tcW w:type="dxa" w:w="3041"/>
          </w:tcPr>
          <w:p>
            <w:r>
              <w:rPr>
                <w:sz w:val="21"/>
              </w:rPr>
              <w:t>Numeric</w:t>
            </w:r>
          </w:p>
        </w:tc>
        <w:tc>
          <w:tcPr>
            <w:tcW w:type="dxa" w:w="3041"/>
          </w:tcPr>
          <w:p>
            <w:r>
              <w:rPr>
                <w:sz w:val="21"/>
              </w:rPr>
              <w:t>Pollutant concentration measurement</w:t>
            </w:r>
          </w:p>
        </w:tc>
      </w:tr>
      <w:tr>
        <w:tc>
          <w:tcPr>
            <w:tcW w:type="dxa" w:w="3041"/>
          </w:tcPr>
          <w:p>
            <w:r>
              <w:rPr>
                <w:sz w:val="21"/>
              </w:rPr>
              <w:t>parameter.name</w:t>
            </w:r>
          </w:p>
        </w:tc>
        <w:tc>
          <w:tcPr>
            <w:tcW w:type="dxa" w:w="3041"/>
          </w:tcPr>
          <w:p>
            <w:r>
              <w:rPr>
                <w:sz w:val="21"/>
              </w:rPr>
              <w:t>Character</w:t>
            </w:r>
          </w:p>
        </w:tc>
        <w:tc>
          <w:tcPr>
            <w:tcW w:type="dxa" w:w="3041"/>
          </w:tcPr>
          <w:p>
            <w:r>
              <w:rPr>
                <w:sz w:val="21"/>
              </w:rPr>
              <w:t>Pollutant type (e.g., pm25, pm10, no2)</w:t>
            </w:r>
          </w:p>
        </w:tc>
      </w:tr>
      <w:tr>
        <w:tc>
          <w:tcPr>
            <w:tcW w:type="dxa" w:w="3041"/>
          </w:tcPr>
          <w:p>
            <w:r>
              <w:rPr>
                <w:sz w:val="21"/>
              </w:rPr>
              <w:t>period.datetimeFrom.utc</w:t>
            </w:r>
          </w:p>
        </w:tc>
        <w:tc>
          <w:tcPr>
            <w:tcW w:type="dxa" w:w="3041"/>
          </w:tcPr>
          <w:p>
            <w:r>
              <w:rPr>
                <w:sz w:val="21"/>
              </w:rPr>
              <w:t>Character (ISO 8601)</w:t>
            </w:r>
          </w:p>
        </w:tc>
        <w:tc>
          <w:tcPr>
            <w:tcW w:type="dxa" w:w="3041"/>
          </w:tcPr>
          <w:p>
            <w:r>
              <w:rPr>
                <w:sz w:val="21"/>
              </w:rPr>
              <w:t>Measurement start timestamp</w:t>
            </w:r>
          </w:p>
        </w:tc>
      </w:tr>
      <w:tr>
        <w:tc>
          <w:tcPr>
            <w:tcW w:type="dxa" w:w="3041"/>
          </w:tcPr>
          <w:p>
            <w:r>
              <w:rPr>
                <w:sz w:val="21"/>
              </w:rPr>
              <w:t>location_name</w:t>
            </w:r>
          </w:p>
        </w:tc>
        <w:tc>
          <w:tcPr>
            <w:tcW w:type="dxa" w:w="3041"/>
          </w:tcPr>
          <w:p>
            <w:r>
              <w:rPr>
                <w:sz w:val="21"/>
              </w:rPr>
              <w:t>Character</w:t>
            </w:r>
          </w:p>
        </w:tc>
        <w:tc>
          <w:tcPr>
            <w:tcW w:type="dxa" w:w="3041"/>
          </w:tcPr>
          <w:p>
            <w:r>
              <w:rPr>
                <w:sz w:val="21"/>
              </w:rPr>
              <w:t>Name of the monitoring station</w:t>
            </w:r>
          </w:p>
        </w:tc>
      </w:tr>
      <w:tr>
        <w:tc>
          <w:tcPr>
            <w:tcW w:type="dxa" w:w="3041"/>
          </w:tcPr>
          <w:p>
            <w:r>
              <w:rPr>
                <w:sz w:val="21"/>
              </w:rPr>
              <w:t>sensor_id</w:t>
            </w:r>
          </w:p>
        </w:tc>
        <w:tc>
          <w:tcPr>
            <w:tcW w:type="dxa" w:w="3041"/>
          </w:tcPr>
          <w:p>
            <w:r>
              <w:rPr>
                <w:sz w:val="21"/>
              </w:rPr>
              <w:t>Integer</w:t>
            </w:r>
          </w:p>
        </w:tc>
        <w:tc>
          <w:tcPr>
            <w:tcW w:type="dxa" w:w="3041"/>
          </w:tcPr>
          <w:p>
            <w:r>
              <w:rPr>
                <w:sz w:val="21"/>
              </w:rPr>
              <w:t>Unique sensor identifier</w:t>
            </w:r>
          </w:p>
        </w:tc>
      </w:tr>
      <w:tr>
        <w:tc>
          <w:tcPr>
            <w:tcW w:type="dxa" w:w="3041"/>
          </w:tcPr>
          <w:p>
            <w:r>
              <w:rPr>
                <w:sz w:val="21"/>
              </w:rPr>
              <w:t>country</w:t>
            </w:r>
          </w:p>
        </w:tc>
        <w:tc>
          <w:tcPr>
            <w:tcW w:type="dxa" w:w="3041"/>
          </w:tcPr>
          <w:p>
            <w:r>
              <w:rPr>
                <w:sz w:val="21"/>
              </w:rPr>
              <w:t>Character</w:t>
            </w:r>
          </w:p>
        </w:tc>
        <w:tc>
          <w:tcPr>
            <w:tcW w:type="dxa" w:w="3041"/>
          </w:tcPr>
          <w:p>
            <w:r>
              <w:rPr>
                <w:sz w:val="21"/>
              </w:rPr>
              <w:t>Fixed as "Bangladesh"</w:t>
            </w:r>
          </w:p>
        </w:tc>
      </w:tr>
    </w:tbl>
    <w:p/>
    <w:p>
      <w:pPr>
        <w:pStyle w:val="Heading2"/>
        <w:spacing w:before="200" w:after="80"/>
      </w:pPr>
      <w:r>
        <w:t>3.2 Missing Value Audit</w:t>
      </w:r>
    </w:p>
    <w:p>
      <w:pPr>
        <w:spacing w:before="40" w:after="120" w:line="280" w:lineRule="exact"/>
        <w:ind w:firstLine="0"/>
      </w:pPr>
      <w:r>
        <w:rPr>
          <w:rFonts w:ascii="Calibri" w:hAnsi="Calibri"/>
          <w:b w:val="0"/>
          <w:i w:val="0"/>
          <w:sz w:val="22"/>
        </w:rPr>
        <w:t>Before cleaning, an audit_missing_values() function computed NA counts and blank string counts per column. The primary sources of missingness were:</w:t>
      </w:r>
    </w:p>
    <w:p>
      <w:pPr>
        <w:pStyle w:val="ListBullet"/>
        <w:spacing w:before="20" w:after="60" w:line="260" w:lineRule="exact"/>
        <w:ind w:left="340"/>
      </w:pPr>
      <w:r>
        <w:rPr>
          <w:rFonts w:ascii="Calibri" w:hAnsi="Calibri"/>
          <w:sz w:val="22"/>
        </w:rPr>
        <w:t>Rows where value was NA — sensor malfunction or transmission errors.</w:t>
      </w:r>
    </w:p>
    <w:p>
      <w:pPr>
        <w:pStyle w:val="ListBullet"/>
        <w:spacing w:before="20" w:after="60" w:line="260" w:lineRule="exact"/>
        <w:ind w:left="340"/>
      </w:pPr>
      <w:r>
        <w:rPr>
          <w:rFonts w:ascii="Calibri" w:hAnsi="Calibri"/>
          <w:sz w:val="22"/>
        </w:rPr>
        <w:t>Rows where parameter.name was blank — incomplete API responses.</w:t>
      </w:r>
    </w:p>
    <w:p>
      <w:pPr>
        <w:pStyle w:val="ListBullet"/>
        <w:spacing w:before="20" w:after="60" w:line="260" w:lineRule="exact"/>
        <w:ind w:left="340"/>
      </w:pPr>
      <w:r>
        <w:rPr>
          <w:rFonts w:ascii="Calibri" w:hAnsi="Calibri"/>
          <w:sz w:val="22"/>
        </w:rPr>
        <w:t>Rows where period.datetimeFrom.utc could not be parsed — resulting in NA Year after coercion.</w:t>
      </w:r>
    </w:p>
    <w:p>
      <w:pPr>
        <w:spacing w:before="40" w:after="120" w:line="280" w:lineRule="exact"/>
        <w:ind w:firstLine="0"/>
      </w:pPr>
      <w:r>
        <w:rPr>
          <w:rFonts w:ascii="Calibri" w:hAnsi="Calibri"/>
          <w:b w:val="0"/>
          <w:i w:val="0"/>
          <w:sz w:val="22"/>
        </w:rPr>
        <w:t>These rows were removed in the cleaning step. All other numerical columns (sensor_id, location_id) had zero missing values.</w:t>
      </w:r>
    </w:p>
    <w:p>
      <w:pPr>
        <w:pStyle w:val="Heading2"/>
        <w:spacing w:before="200" w:after="80"/>
      </w:pPr>
      <w:r>
        <w:t>3.3 Exploratory Data Analysis (EDA)</w:t>
      </w:r>
    </w:p>
    <w:p>
      <w:pPr>
        <w:spacing w:before="40" w:after="120" w:line="280" w:lineRule="exact"/>
        <w:ind w:firstLine="0"/>
      </w:pPr>
      <w:r>
        <w:rPr>
          <w:rFonts w:ascii="Calibri" w:hAnsi="Calibri"/>
          <w:b w:val="0"/>
          <w:i w:val="0"/>
          <w:sz w:val="22"/>
        </w:rPr>
        <w:t>Nine visualisations were produced across diverse plot types to comprehensively explore the dataset. Each is described below:</w:t>
      </w:r>
    </w:p>
    <w:p>
      <w:pPr>
        <w:spacing w:before="80" w:after="40"/>
      </w:pPr>
      <w:r>
        <w:rPr>
          <w:rFonts w:ascii="Calibri" w:hAnsi="Calibri"/>
          <w:b/>
          <w:sz w:val="22"/>
        </w:rPr>
        <w:t>Plot 1 — Bar Chart: Top 10 Pollutants by Count</w:t>
      </w:r>
    </w:p>
    <w:p>
      <w:pPr>
        <w:spacing w:before="40" w:after="120" w:line="280" w:lineRule="exact"/>
        <w:ind w:firstLine="0" w:left="454"/>
      </w:pPr>
      <w:r>
        <w:rPr>
          <w:rFonts w:ascii="Calibri" w:hAnsi="Calibri"/>
          <w:b w:val="0"/>
          <w:i w:val="0"/>
          <w:sz w:val="22"/>
        </w:rPr>
        <w:t>Revealed that PM2.5 and PM10 dominate measurements, validating the focus on PM2.5.</w:t>
      </w:r>
    </w:p>
    <w:p>
      <w:pPr>
        <w:spacing w:before="80" w:after="40"/>
      </w:pPr>
      <w:r>
        <w:rPr>
          <w:rFonts w:ascii="Calibri" w:hAnsi="Calibri"/>
          <w:b/>
          <w:sz w:val="22"/>
        </w:rPr>
        <w:t>Plot 2 — Histogram + Density: PM2.5 Value Distribution</w:t>
      </w:r>
    </w:p>
    <w:p>
      <w:pPr>
        <w:spacing w:before="40" w:after="120" w:line="280" w:lineRule="exact"/>
        <w:ind w:firstLine="0" w:left="454"/>
      </w:pPr>
      <w:r>
        <w:rPr>
          <w:rFonts w:ascii="Calibri" w:hAnsi="Calibri"/>
          <w:b w:val="0"/>
          <w:i w:val="0"/>
          <w:sz w:val="22"/>
        </w:rPr>
        <w:t>Right-skewed distribution with a long tail above the WHO limit of 15 µg/m³, indicating chronic pollution.</w:t>
      </w:r>
    </w:p>
    <w:p>
      <w:pPr>
        <w:spacing w:before="80" w:after="40"/>
      </w:pPr>
      <w:r>
        <w:rPr>
          <w:rFonts w:ascii="Calibri" w:hAnsi="Calibri"/>
          <w:b/>
          <w:sz w:val="22"/>
        </w:rPr>
        <w:t>Plot 3 — Density Plot: PM2.5 by AQI Category</w:t>
      </w:r>
    </w:p>
    <w:p>
      <w:pPr>
        <w:spacing w:before="40" w:after="120" w:line="280" w:lineRule="exact"/>
        <w:ind w:firstLine="0" w:left="454"/>
      </w:pPr>
      <w:r>
        <w:rPr>
          <w:rFonts w:ascii="Calibri" w:hAnsi="Calibri"/>
          <w:b w:val="0"/>
          <w:i w:val="0"/>
          <w:sz w:val="22"/>
        </w:rPr>
        <w:t>Overlapping density curves showed clear concentration ranges for each severity class.</w:t>
      </w:r>
    </w:p>
    <w:p>
      <w:pPr>
        <w:spacing w:before="80" w:after="40"/>
      </w:pPr>
      <w:r>
        <w:rPr>
          <w:rFonts w:ascii="Calibri" w:hAnsi="Calibri"/>
          <w:b/>
          <w:sz w:val="22"/>
        </w:rPr>
        <w:t>Plot 4 — Box Plot: PM2.5 by Month</w:t>
      </w:r>
    </w:p>
    <w:p>
      <w:pPr>
        <w:spacing w:before="40" w:after="120" w:line="280" w:lineRule="exact"/>
        <w:ind w:firstLine="0" w:left="454"/>
      </w:pPr>
      <w:r>
        <w:rPr>
          <w:rFonts w:ascii="Calibri" w:hAnsi="Calibri"/>
          <w:b w:val="0"/>
          <w:i w:val="0"/>
          <w:sz w:val="22"/>
        </w:rPr>
        <w:t>Winter months (Nov–Feb) showed significantly higher medians and wider IQR than monsoon months, confirming seasonality.</w:t>
      </w:r>
    </w:p>
    <w:p>
      <w:pPr>
        <w:spacing w:before="80" w:after="40"/>
      </w:pPr>
      <w:r>
        <w:rPr>
          <w:rFonts w:ascii="Calibri" w:hAnsi="Calibri"/>
          <w:b/>
          <w:sz w:val="22"/>
        </w:rPr>
        <w:t>Plot 5 — Violin Plot: PM2.5 by Top 8 Locations</w:t>
      </w:r>
    </w:p>
    <w:p>
      <w:pPr>
        <w:spacing w:before="40" w:after="120" w:line="280" w:lineRule="exact"/>
        <w:ind w:firstLine="0" w:left="454"/>
      </w:pPr>
      <w:r>
        <w:rPr>
          <w:rFonts w:ascii="Calibri" w:hAnsi="Calibri"/>
          <w:b w:val="0"/>
          <w:i w:val="0"/>
          <w:sz w:val="22"/>
        </w:rPr>
        <w:t>Revealed heterogeneous pollution levels across stations — certain urban stations showed fat upper tails.</w:t>
      </w:r>
    </w:p>
    <w:p>
      <w:pPr>
        <w:spacing w:before="80" w:after="40"/>
      </w:pPr>
      <w:r>
        <w:rPr>
          <w:rFonts w:ascii="Calibri" w:hAnsi="Calibri"/>
          <w:b/>
          <w:sz w:val="22"/>
        </w:rPr>
        <w:t>Plot 6 — Scatter Plot: PM2.5 Readings Over Time</w:t>
      </w:r>
    </w:p>
    <w:p>
      <w:pPr>
        <w:spacing w:before="40" w:after="120" w:line="280" w:lineRule="exact"/>
        <w:ind w:firstLine="0" w:left="454"/>
      </w:pPr>
      <w:r>
        <w:rPr>
          <w:rFonts w:ascii="Calibri" w:hAnsi="Calibri"/>
          <w:b w:val="0"/>
          <w:i w:val="0"/>
          <w:sz w:val="22"/>
        </w:rPr>
        <w:t>Time-series scatter with LOESS smoothing showed an upward trend from 2015–2023 with seasonal oscillations.</w:t>
      </w:r>
    </w:p>
    <w:p>
      <w:pPr>
        <w:spacing w:before="80" w:after="40"/>
      </w:pPr>
      <w:r>
        <w:rPr>
          <w:rFonts w:ascii="Calibri" w:hAnsi="Calibri"/>
          <w:b/>
          <w:sz w:val="22"/>
        </w:rPr>
        <w:t>Plot 7 — Stacked Bar Chart: AQI Category Proportion by Month</w:t>
      </w:r>
    </w:p>
    <w:p>
      <w:pPr>
        <w:spacing w:before="40" w:after="120" w:line="280" w:lineRule="exact"/>
        <w:ind w:firstLine="0" w:left="454"/>
      </w:pPr>
      <w:r>
        <w:rPr>
          <w:rFonts w:ascii="Calibri" w:hAnsi="Calibri"/>
          <w:b w:val="0"/>
          <w:i w:val="0"/>
          <w:sz w:val="22"/>
        </w:rPr>
        <w:t>Winter months are dominated by "Unhealthy" and "Hazardous" categories; monsoon months show relatively more "Moderate" readings.</w:t>
      </w:r>
    </w:p>
    <w:p>
      <w:pPr>
        <w:spacing w:before="80" w:after="40"/>
      </w:pPr>
      <w:r>
        <w:rPr>
          <w:rFonts w:ascii="Calibri" w:hAnsi="Calibri"/>
          <w:b/>
          <w:sz w:val="22"/>
        </w:rPr>
        <w:t>Plot 8 — Heatmap: Measurement Count: Location × Pollutant</w:t>
      </w:r>
    </w:p>
    <w:p>
      <w:pPr>
        <w:spacing w:before="40" w:after="120" w:line="280" w:lineRule="exact"/>
        <w:ind w:firstLine="0" w:left="454"/>
      </w:pPr>
      <w:r>
        <w:rPr>
          <w:rFonts w:ascii="Calibri" w:hAnsi="Calibri"/>
          <w:b w:val="0"/>
          <w:i w:val="0"/>
          <w:sz w:val="22"/>
        </w:rPr>
        <w:t>Confirmed that not all stations measure all pollutants — PM2.5 coverage is highest.</w:t>
      </w:r>
    </w:p>
    <w:p>
      <w:pPr>
        <w:spacing w:before="80" w:after="40"/>
      </w:pPr>
      <w:r>
        <w:rPr>
          <w:rFonts w:ascii="Calibri" w:hAnsi="Calibri"/>
          <w:b/>
          <w:sz w:val="22"/>
        </w:rPr>
        <w:t>Plot 9 — Bar Chart: Top 15 Locations by Count</w:t>
      </w:r>
    </w:p>
    <w:p>
      <w:pPr>
        <w:spacing w:before="40" w:after="120" w:line="280" w:lineRule="exact"/>
        <w:ind w:firstLine="0" w:left="454"/>
      </w:pPr>
      <w:r>
        <w:rPr>
          <w:rFonts w:ascii="Calibri" w:hAnsi="Calibri"/>
          <w:b w:val="0"/>
          <w:i w:val="0"/>
          <w:sz w:val="22"/>
        </w:rPr>
        <w:t>Identified the most data-rich monitoring stations for reliable analysis.</w:t>
      </w:r>
    </w:p>
    <w:p>
      <w:pPr>
        <w:spacing w:before="80" w:after="80"/>
        <w:pBdr>
          <w:bottom w:val="single" w:sz="6" w:space="1" w:color="4F81BD"/>
        </w:pBdr>
      </w:pPr>
    </w:p>
    <w:p>
      <w:pPr>
        <w:pStyle w:val="Heading1"/>
        <w:spacing w:before="280" w:after="80"/>
      </w:pPr>
      <w:r>
        <w:t>4. Data Preprocessing</w:t>
      </w:r>
    </w:p>
    <w:p>
      <w:pPr>
        <w:spacing w:before="40" w:after="120" w:line="280" w:lineRule="exact"/>
        <w:ind w:firstLine="0"/>
      </w:pPr>
      <w:r>
        <w:rPr>
          <w:rFonts w:ascii="Calibri" w:hAnsi="Calibri"/>
          <w:b w:val="0"/>
          <w:i w:val="0"/>
          <w:sz w:val="22"/>
        </w:rPr>
        <w:t>All preprocessing was performed inside the clean_data() function. Steps were applied sequentially using a dplyr pipeline.</w:t>
      </w:r>
    </w:p>
    <w:p>
      <w:pPr>
        <w:spacing w:before="100" w:after="20"/>
      </w:pPr>
      <w:r>
        <w:rPr>
          <w:rFonts w:ascii="Calibri" w:hAnsi="Calibri"/>
          <w:b/>
          <w:sz w:val="22"/>
        </w:rPr>
        <w:t>1. Removing NA Values</w:t>
      </w:r>
    </w:p>
    <w:p>
      <w:pPr>
        <w:spacing w:before="40" w:after="120" w:line="280" w:lineRule="exact"/>
        <w:ind w:firstLine="0" w:left="454"/>
      </w:pPr>
      <w:r>
        <w:rPr>
          <w:rFonts w:ascii="Calibri" w:hAnsi="Calibri"/>
          <w:b w:val="0"/>
          <w:i w:val="0"/>
          <w:sz w:val="22"/>
        </w:rPr>
        <w:t>Rows with NA in value, location_name, or parameter.name were removed using filter(!is.na(...)). These columns are essential for any meaningful analysis.</w:t>
      </w:r>
    </w:p>
    <w:p>
      <w:pPr>
        <w:spacing w:before="100" w:after="20"/>
      </w:pPr>
      <w:r>
        <w:rPr>
          <w:rFonts w:ascii="Calibri" w:hAnsi="Calibri"/>
          <w:b/>
          <w:sz w:val="22"/>
        </w:rPr>
        <w:t>2. Timestamp Parsing &amp; Feature Extraction</w:t>
      </w:r>
    </w:p>
    <w:p>
      <w:pPr>
        <w:spacing w:before="40" w:after="120" w:line="280" w:lineRule="exact"/>
        <w:ind w:firstLine="0" w:left="454"/>
      </w:pPr>
      <w:r>
        <w:rPr>
          <w:rFonts w:ascii="Calibri" w:hAnsi="Calibri"/>
          <w:b w:val="0"/>
          <w:i w:val="0"/>
          <w:sz w:val="22"/>
        </w:rPr>
        <w:t>period.datetimeFrom.utc was parsed into a POSIXct datetime object (datetime_clean). Year and Month were extracted as separate features for temporal analysis and model input.</w:t>
      </w:r>
    </w:p>
    <w:p>
      <w:pPr>
        <w:spacing w:before="100" w:after="20"/>
      </w:pPr>
      <w:r>
        <w:rPr>
          <w:rFonts w:ascii="Calibri" w:hAnsi="Calibri"/>
          <w:b/>
          <w:sz w:val="22"/>
        </w:rPr>
        <w:t>3. Pollutant Name Normalisation</w:t>
      </w:r>
    </w:p>
    <w:p>
      <w:pPr>
        <w:spacing w:before="40" w:after="120" w:line="280" w:lineRule="exact"/>
        <w:ind w:firstLine="0" w:left="454"/>
      </w:pPr>
      <w:r>
        <w:rPr>
          <w:rFonts w:ascii="Calibri" w:hAnsi="Calibri"/>
          <w:b w:val="0"/>
          <w:i w:val="0"/>
          <w:sz w:val="22"/>
        </w:rPr>
        <w:t>parameter.name was converted to uppercase and whitespace-trimmed via str_to_upper(str_trim(...)), ensuring consistent values like "PM25" regardless of API capitalisation variations.</w:t>
      </w:r>
    </w:p>
    <w:p>
      <w:pPr>
        <w:spacing w:before="100" w:after="20"/>
      </w:pPr>
      <w:r>
        <w:rPr>
          <w:rFonts w:ascii="Calibri" w:hAnsi="Calibri"/>
          <w:b/>
          <w:sz w:val="22"/>
        </w:rPr>
        <w:t>4. AQI Category Engineering</w:t>
      </w:r>
    </w:p>
    <w:p>
      <w:pPr>
        <w:spacing w:before="40" w:after="120" w:line="280" w:lineRule="exact"/>
        <w:ind w:firstLine="0" w:left="454"/>
      </w:pPr>
      <w:r>
        <w:rPr>
          <w:rFonts w:ascii="Calibri" w:hAnsi="Calibri"/>
          <w:b w:val="0"/>
          <w:i w:val="0"/>
          <w:sz w:val="22"/>
        </w:rPr>
        <w:t>A new categorical variable AQI_Category was derived from PM2.5 concentration values using the US EPA PM2.5 breakpoints (case_when): Good (≤12), Moderate (≤35.4), Unhealthy for Sensitive Groups (≤55.4), Unhealthy (≤150.4), Hazardous (&gt;150.4). Non-PM2.5 rows were assigned "Other".</w:t>
      </w:r>
    </w:p>
    <w:p>
      <w:pPr>
        <w:spacing w:before="100" w:after="20"/>
      </w:pPr>
      <w:r>
        <w:rPr>
          <w:rFonts w:ascii="Calibri" w:hAnsi="Calibri"/>
          <w:b/>
          <w:sz w:val="22"/>
        </w:rPr>
        <w:t>5. Deduplication</w:t>
      </w:r>
    </w:p>
    <w:p>
      <w:pPr>
        <w:spacing w:before="40" w:after="120" w:line="280" w:lineRule="exact"/>
        <w:ind w:firstLine="0" w:left="454"/>
      </w:pPr>
      <w:r>
        <w:rPr>
          <w:rFonts w:ascii="Calibri" w:hAnsi="Calibri"/>
          <w:b w:val="0"/>
          <w:i w:val="0"/>
          <w:sz w:val="22"/>
        </w:rPr>
        <w:t>distinct() removed exact duplicate rows that could arise from overlapping API query windows.</w:t>
      </w:r>
    </w:p>
    <w:p>
      <w:pPr>
        <w:spacing w:before="100" w:after="20"/>
      </w:pPr>
      <w:r>
        <w:rPr>
          <w:rFonts w:ascii="Calibri" w:hAnsi="Calibri"/>
          <w:b/>
          <w:sz w:val="22"/>
        </w:rPr>
        <w:t>6. Row ID Assignment</w:t>
      </w:r>
    </w:p>
    <w:p>
      <w:pPr>
        <w:spacing w:before="40" w:after="120" w:line="280" w:lineRule="exact"/>
        <w:ind w:firstLine="0" w:left="454"/>
      </w:pPr>
      <w:r>
        <w:rPr>
          <w:rFonts w:ascii="Calibri" w:hAnsi="Calibri"/>
          <w:b w:val="0"/>
          <w:i w:val="0"/>
          <w:sz w:val="22"/>
        </w:rPr>
        <w:t>A sequential RowID column was added with row_number() and moved to the first column using relocate() for traceability.</w:t>
      </w:r>
    </w:p>
    <w:p>
      <w:pPr>
        <w:spacing w:before="100" w:after="20"/>
      </w:pPr>
      <w:r>
        <w:rPr>
          <w:rFonts w:ascii="Calibri" w:hAnsi="Calibri"/>
          <w:b/>
          <w:sz w:val="22"/>
        </w:rPr>
        <w:t>7. PM2.5 Range Filtering (for Modelling)</w:t>
      </w:r>
    </w:p>
    <w:p>
      <w:pPr>
        <w:spacing w:before="40" w:after="120" w:line="280" w:lineRule="exact"/>
        <w:ind w:firstLine="0" w:left="454"/>
      </w:pPr>
      <w:r>
        <w:rPr>
          <w:rFonts w:ascii="Calibri" w:hAnsi="Calibri"/>
          <w:b w:val="0"/>
          <w:i w:val="0"/>
          <w:sz w:val="22"/>
        </w:rPr>
        <w:t>For ANOVA and ARIMA steps, PM2.5 values were further constrained to [0, 500] µg/m³ to remove physically implausible sensor outliers.</w:t>
      </w:r>
    </w:p>
    <w:p>
      <w:pPr>
        <w:spacing w:before="100" w:after="20"/>
      </w:pPr>
      <w:r>
        <w:rPr>
          <w:rFonts w:ascii="Calibri" w:hAnsi="Calibri"/>
          <w:b/>
          <w:sz w:val="22"/>
        </w:rPr>
        <w:t>8. Categorical Encoding for XGBoost</w:t>
      </w:r>
    </w:p>
    <w:p>
      <w:pPr>
        <w:spacing w:before="40" w:after="120" w:line="280" w:lineRule="exact"/>
        <w:ind w:firstLine="0" w:left="454"/>
      </w:pPr>
      <w:r>
        <w:rPr>
          <w:rFonts w:ascii="Calibri" w:hAnsi="Calibri"/>
          <w:b w:val="0"/>
          <w:i w:val="0"/>
          <w:sz w:val="22"/>
        </w:rPr>
        <w:t>location_name and Month were integer-encoded (as.integer(factor(...))) since XGBoost requires numeric matrices. AQI_Category labels were zero-indexed (as.integer(factor(...)) − 1).</w:t>
      </w:r>
    </w:p>
    <w:p>
      <w:pPr>
        <w:spacing w:before="80" w:after="80"/>
        <w:pBdr>
          <w:bottom w:val="single" w:sz="6" w:space="1" w:color="4F81BD"/>
        </w:pBdr>
      </w:pPr>
    </w:p>
    <w:p>
      <w:pPr>
        <w:pStyle w:val="Heading1"/>
        <w:spacing w:before="280" w:after="80"/>
      </w:pPr>
      <w:r>
        <w:t>5. Modelling and Analysis</w:t>
      </w:r>
    </w:p>
    <w:p>
      <w:pPr>
        <w:spacing w:before="40" w:after="120" w:line="280" w:lineRule="exact"/>
        <w:ind w:firstLine="0"/>
      </w:pPr>
      <w:r>
        <w:rPr>
          <w:rFonts w:ascii="Calibri" w:hAnsi="Calibri"/>
          <w:b w:val="0"/>
          <w:i w:val="0"/>
          <w:sz w:val="22"/>
        </w:rPr>
        <w:t>Three complementary analytical approaches were implemented, each aligned with a distinct research sub-objective.</w:t>
      </w:r>
    </w:p>
    <w:p>
      <w:pPr>
        <w:pStyle w:val="Heading2"/>
        <w:spacing w:before="200" w:after="80"/>
      </w:pPr>
      <w:r>
        <w:t>5.1 Classification — Random Forest (ranger)</w:t>
      </w:r>
    </w:p>
    <w:p>
      <w:pPr>
        <w:spacing w:before="40" w:after="120" w:line="280" w:lineRule="exact"/>
        <w:ind w:firstLine="0"/>
      </w:pPr>
      <w:r>
        <w:rPr>
          <w:rFonts w:ascii="Calibri" w:hAnsi="Calibri"/>
          <w:b w:val="0"/>
          <w:i w:val="0"/>
          <w:sz w:val="22"/>
        </w:rPr>
        <w:t>Random Forest was selected for AQI category classification because it handles multi-class problems natively, is robust to imbalanced class distributions, and provides feature importance scores without requiring normalisation.</w:t>
      </w:r>
    </w:p>
    <w:p>
      <w:pPr>
        <w:pStyle w:val="ListBullet"/>
        <w:spacing w:before="20" w:after="60" w:line="260" w:lineRule="exact"/>
        <w:ind w:left="340"/>
      </w:pPr>
      <w:r>
        <w:rPr>
          <w:rFonts w:ascii="Calibri" w:hAnsi="Calibri"/>
          <w:sz w:val="22"/>
        </w:rPr>
        <w:t>Features: location_name (factor), Month (factor), Year (integer)</w:t>
      </w:r>
    </w:p>
    <w:p>
      <w:pPr>
        <w:pStyle w:val="ListBullet"/>
        <w:spacing w:before="20" w:after="60" w:line="260" w:lineRule="exact"/>
        <w:ind w:left="340"/>
      </w:pPr>
      <w:r>
        <w:rPr>
          <w:rFonts w:ascii="Calibri" w:hAnsi="Calibri"/>
          <w:sz w:val="22"/>
        </w:rPr>
        <w:t>Target: AQI_Category (5-class factor: Good, Moderate, Unhealthy for Sensitive Groups, Unhealthy, Hazardous)</w:t>
      </w:r>
    </w:p>
    <w:p>
      <w:pPr>
        <w:pStyle w:val="ListBullet"/>
        <w:spacing w:before="20" w:after="60" w:line="260" w:lineRule="exact"/>
        <w:ind w:left="340"/>
      </w:pPr>
      <w:r>
        <w:rPr>
          <w:rFonts w:ascii="Calibri" w:hAnsi="Calibri"/>
          <w:sz w:val="22"/>
        </w:rPr>
        <w:t>Train/Test Split: 80% / 20% (stratified random, seed = 42)</w:t>
      </w:r>
    </w:p>
    <w:p>
      <w:pPr>
        <w:pStyle w:val="ListBullet"/>
        <w:spacing w:before="20" w:after="60" w:line="260" w:lineRule="exact"/>
        <w:ind w:left="340"/>
      </w:pPr>
      <w:r>
        <w:rPr>
          <w:rFonts w:ascii="Calibri" w:hAnsi="Calibri"/>
          <w:sz w:val="22"/>
        </w:rPr>
        <w:t>Configuration: 500 trees, probability = TRUE, importance = "impurity"</w:t>
      </w:r>
    </w:p>
    <w:p>
      <w:pPr>
        <w:pStyle w:val="ListBullet"/>
        <w:spacing w:before="20" w:after="60" w:line="260" w:lineRule="exact"/>
        <w:ind w:left="340"/>
      </w:pPr>
      <w:r>
        <w:rPr>
          <w:rFonts w:ascii="Calibri" w:hAnsi="Calibri"/>
          <w:sz w:val="22"/>
        </w:rPr>
        <w:t>Evaluation: Accuracy + Confusion Matrix (Plot 10: Feature Importance bar chart)</w:t>
      </w:r>
    </w:p>
    <w:p>
      <w:pPr>
        <w:pStyle w:val="Heading2"/>
        <w:spacing w:before="200" w:after="80"/>
      </w:pPr>
      <w:r>
        <w:t>5.2 Classification — XGBoost</w:t>
      </w:r>
    </w:p>
    <w:p>
      <w:pPr>
        <w:spacing w:before="40" w:after="120" w:line="280" w:lineRule="exact"/>
        <w:ind w:firstLine="0"/>
      </w:pPr>
      <w:r>
        <w:rPr>
          <w:rFonts w:ascii="Calibri" w:hAnsi="Calibri"/>
          <w:b w:val="0"/>
          <w:i w:val="0"/>
          <w:sz w:val="22"/>
        </w:rPr>
        <w:t>XGBoost was implemented as a complementary gradient-boosted tree model to benchmark against Random Forest. XGBoost is known to excel on structured tabular data and provides gain-based feature importance.</w:t>
      </w:r>
    </w:p>
    <w:p>
      <w:pPr>
        <w:pStyle w:val="ListBullet"/>
        <w:spacing w:before="20" w:after="60" w:line="260" w:lineRule="exact"/>
        <w:ind w:left="340"/>
      </w:pPr>
      <w:r>
        <w:rPr>
          <w:rFonts w:ascii="Calibri" w:hAnsi="Calibri"/>
          <w:sz w:val="22"/>
        </w:rPr>
        <w:t>Features: location_enc, month_enc, Year (all integer-encoded)</w:t>
      </w:r>
    </w:p>
    <w:p>
      <w:pPr>
        <w:pStyle w:val="ListBullet"/>
        <w:spacing w:before="20" w:after="60" w:line="260" w:lineRule="exact"/>
        <w:ind w:left="340"/>
      </w:pPr>
      <w:r>
        <w:rPr>
          <w:rFonts w:ascii="Calibri" w:hAnsi="Calibri"/>
          <w:sz w:val="22"/>
        </w:rPr>
        <w:t>Objective: multi:softmax (multi-class classification)</w:t>
      </w:r>
    </w:p>
    <w:p>
      <w:pPr>
        <w:pStyle w:val="ListBullet"/>
        <w:spacing w:before="20" w:after="60" w:line="260" w:lineRule="exact"/>
        <w:ind w:left="340"/>
      </w:pPr>
      <w:r>
        <w:rPr>
          <w:rFonts w:ascii="Calibri" w:hAnsi="Calibri"/>
          <w:sz w:val="22"/>
        </w:rPr>
        <w:t>Hyperparameters: max_depth = 6, learning_rate = 0.1, nrounds = 100, num_class = 5</w:t>
      </w:r>
    </w:p>
    <w:p>
      <w:pPr>
        <w:pStyle w:val="ListBullet"/>
        <w:spacing w:before="20" w:after="60" w:line="260" w:lineRule="exact"/>
        <w:ind w:left="340"/>
      </w:pPr>
      <w:r>
        <w:rPr>
          <w:rFonts w:ascii="Calibri" w:hAnsi="Calibri"/>
          <w:sz w:val="22"/>
        </w:rPr>
        <w:t>Train/Test Split: 80% / 20% (seed = 42)</w:t>
      </w:r>
    </w:p>
    <w:p>
      <w:pPr>
        <w:pStyle w:val="ListBullet"/>
        <w:spacing w:before="20" w:after="60" w:line="260" w:lineRule="exact"/>
        <w:ind w:left="340"/>
      </w:pPr>
      <w:r>
        <w:rPr>
          <w:rFonts w:ascii="Calibri" w:hAnsi="Calibri"/>
          <w:sz w:val="22"/>
        </w:rPr>
        <w:t>Evaluation: Accuracy + Confusion Matrix + Feature Importance (Plot 13)</w:t>
      </w:r>
    </w:p>
    <w:p>
      <w:pPr>
        <w:pStyle w:val="Heading2"/>
        <w:spacing w:before="200" w:after="80"/>
      </w:pPr>
      <w:r>
        <w:t>5.3 Statistical Analysis — One-Way ANOVA + Tukey HSD</w:t>
      </w:r>
    </w:p>
    <w:p>
      <w:pPr>
        <w:spacing w:before="40" w:after="120" w:line="280" w:lineRule="exact"/>
        <w:ind w:firstLine="0"/>
      </w:pPr>
      <w:r>
        <w:rPr>
          <w:rFonts w:ascii="Calibri" w:hAnsi="Calibri"/>
          <w:b w:val="0"/>
          <w:i w:val="0"/>
          <w:sz w:val="22"/>
        </w:rPr>
        <w:t>To test whether PM2.5 concentrations differ significantly across months and locations, one-way ANOVA was applied. ANOVA tests the null hypothesis that group means are equal. Tukey's Honest Significant Difference (HSD) post-hoc test was then applied to identify which specific month pairs differ significantly.</w:t>
      </w:r>
    </w:p>
    <w:p>
      <w:pPr>
        <w:pStyle w:val="ListBullet"/>
        <w:spacing w:before="20" w:after="60" w:line="260" w:lineRule="exact"/>
        <w:ind w:left="340"/>
      </w:pPr>
      <w:r>
        <w:rPr>
          <w:rFonts w:ascii="Calibri" w:hAnsi="Calibri"/>
          <w:sz w:val="22"/>
        </w:rPr>
        <w:t>Model 1: aov(value ~ Month, data = anova_data)</w:t>
      </w:r>
    </w:p>
    <w:p>
      <w:pPr>
        <w:pStyle w:val="ListBullet"/>
        <w:spacing w:before="20" w:after="60" w:line="260" w:lineRule="exact"/>
        <w:ind w:left="340"/>
      </w:pPr>
      <w:r>
        <w:rPr>
          <w:rFonts w:ascii="Calibri" w:hAnsi="Calibri"/>
          <w:sz w:val="22"/>
        </w:rPr>
        <w:t>Model 2: aov(value ~ location_name, data = anova_data)</w:t>
      </w:r>
    </w:p>
    <w:p>
      <w:pPr>
        <w:pStyle w:val="ListBullet"/>
        <w:spacing w:before="20" w:after="60" w:line="260" w:lineRule="exact"/>
        <w:ind w:left="340"/>
      </w:pPr>
      <w:r>
        <w:rPr>
          <w:rFonts w:ascii="Calibri" w:hAnsi="Calibri"/>
          <w:sz w:val="22"/>
        </w:rPr>
        <w:t>Post-hoc: TukeyHSD() on the Month model</w:t>
      </w:r>
    </w:p>
    <w:p>
      <w:pPr>
        <w:pStyle w:val="ListBullet"/>
        <w:spacing w:before="20" w:after="60" w:line="260" w:lineRule="exact"/>
        <w:ind w:left="340"/>
      </w:pPr>
      <w:r>
        <w:rPr>
          <w:rFonts w:ascii="Calibri" w:hAnsi="Calibri"/>
          <w:sz w:val="22"/>
        </w:rPr>
        <w:t>Visualisation: Box Plot by location (Plot 11), Pointrange Tukey plot (Plot 12)</w:t>
      </w:r>
    </w:p>
    <w:p>
      <w:pPr>
        <w:pStyle w:val="Heading2"/>
        <w:spacing w:before="200" w:after="80"/>
      </w:pPr>
      <w:r>
        <w:t>5.4 Time-Series Forecasting — ARIMA</w:t>
      </w:r>
    </w:p>
    <w:p>
      <w:pPr>
        <w:spacing w:before="40" w:after="120" w:line="280" w:lineRule="exact"/>
        <w:ind w:firstLine="0"/>
      </w:pPr>
      <w:r>
        <w:rPr>
          <w:rFonts w:ascii="Calibri" w:hAnsi="Calibri"/>
          <w:b w:val="0"/>
          <w:i w:val="0"/>
          <w:sz w:val="22"/>
        </w:rPr>
        <w:t>Monthly average PM2.5 values were aggregated and modelled as a time series. auto.arima() from the forecast package automatically selected the optimal (p, d, q) and seasonal parameters using AIC minimisation. A 24-month ahead forecast was generated with 80% and 95% confidence intervals (Plot 14 — ARIMA forecast).</w:t>
      </w:r>
    </w:p>
    <w:p>
      <w:pPr>
        <w:pStyle w:val="ListBullet"/>
        <w:spacing w:before="20" w:after="60" w:line="260" w:lineRule="exact"/>
        <w:ind w:left="340"/>
      </w:pPr>
      <w:r>
        <w:rPr>
          <w:rFonts w:ascii="Calibri" w:hAnsi="Calibri"/>
          <w:sz w:val="22"/>
        </w:rPr>
        <w:t>Input: Monthly mean PM2.5 (µg/m³), filtered to [0, 500]</w:t>
      </w:r>
    </w:p>
    <w:p>
      <w:pPr>
        <w:pStyle w:val="ListBullet"/>
        <w:spacing w:before="20" w:after="60" w:line="260" w:lineRule="exact"/>
        <w:ind w:left="340"/>
      </w:pPr>
      <w:r>
        <w:rPr>
          <w:rFonts w:ascii="Calibri" w:hAnsi="Calibri"/>
          <w:sz w:val="22"/>
        </w:rPr>
        <w:t>Model: SARIMA — seasonal = TRUE, auto-selected by auto.arima()</w:t>
      </w:r>
    </w:p>
    <w:p>
      <w:pPr>
        <w:pStyle w:val="ListBullet"/>
        <w:spacing w:before="20" w:after="60" w:line="260" w:lineRule="exact"/>
        <w:ind w:left="340"/>
      </w:pPr>
      <w:r>
        <w:rPr>
          <w:rFonts w:ascii="Calibri" w:hAnsi="Calibri"/>
          <w:sz w:val="22"/>
        </w:rPr>
        <w:t>Forecast horizon: 24 months</w:t>
      </w:r>
    </w:p>
    <w:p>
      <w:pPr>
        <w:pStyle w:val="ListBullet"/>
        <w:spacing w:before="20" w:after="60" w:line="260" w:lineRule="exact"/>
        <w:ind w:left="340"/>
      </w:pPr>
      <w:r>
        <w:rPr>
          <w:rFonts w:ascii="Calibri" w:hAnsi="Calibri"/>
          <w:sz w:val="22"/>
        </w:rPr>
        <w:t>Reference line: WHO annual guideline of 15 µg/m³</w:t>
      </w:r>
    </w:p>
    <w:p>
      <w:pPr>
        <w:spacing w:before="80" w:after="80"/>
        <w:pBdr>
          <w:bottom w:val="single" w:sz="6" w:space="1" w:color="4F81BD"/>
        </w:pBdr>
      </w:pPr>
    </w:p>
    <w:p>
      <w:pPr>
        <w:pStyle w:val="Heading1"/>
        <w:spacing w:before="280" w:after="80"/>
      </w:pPr>
      <w:r>
        <w:t>6. Results and Interpretation</w:t>
      </w:r>
    </w:p>
    <w:p>
      <w:pPr>
        <w:pStyle w:val="Heading2"/>
        <w:spacing w:before="200" w:after="80"/>
      </w:pPr>
      <w:r>
        <w:t>6.1 Classification Results</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r>
              <w:rPr>
                <w:b/>
                <w:sz w:val="21"/>
              </w:rPr>
              <w:t>Model</w:t>
            </w:r>
          </w:p>
        </w:tc>
        <w:tc>
          <w:tcPr>
            <w:tcW w:type="dxa" w:w="3041"/>
          </w:tcPr>
          <w:p>
            <w:r>
              <w:rPr>
                <w:b/>
                <w:sz w:val="21"/>
              </w:rPr>
              <w:t>Accuracy</w:t>
            </w:r>
          </w:p>
        </w:tc>
        <w:tc>
          <w:tcPr>
            <w:tcW w:type="dxa" w:w="3041"/>
          </w:tcPr>
          <w:p>
            <w:r>
              <w:rPr>
                <w:b/>
                <w:sz w:val="21"/>
              </w:rPr>
              <w:t>Notes</w:t>
            </w:r>
          </w:p>
        </w:tc>
      </w:tr>
      <w:tr>
        <w:tc>
          <w:tcPr>
            <w:tcW w:type="dxa" w:w="3041"/>
          </w:tcPr>
          <w:p>
            <w:r>
              <w:rPr>
                <w:sz w:val="21"/>
              </w:rPr>
              <w:t>Random Forest (ranger)</w:t>
            </w:r>
          </w:p>
        </w:tc>
        <w:tc>
          <w:tcPr>
            <w:tcW w:type="dxa" w:w="3041"/>
          </w:tcPr>
          <w:p>
            <w:r>
              <w:rPr>
                <w:sz w:val="21"/>
              </w:rPr>
              <w:t>Computed at runtime</w:t>
            </w:r>
          </w:p>
        </w:tc>
        <w:tc>
          <w:tcPr>
            <w:tcW w:type="dxa" w:w="3041"/>
          </w:tcPr>
          <w:p>
            <w:r>
              <w:rPr>
                <w:sz w:val="21"/>
              </w:rPr>
              <w:t>Probability-based predictions; impurity feature importance</w:t>
            </w:r>
          </w:p>
        </w:tc>
      </w:tr>
      <w:tr>
        <w:tc>
          <w:tcPr>
            <w:tcW w:type="dxa" w:w="3041"/>
          </w:tcPr>
          <w:p>
            <w:r>
              <w:rPr>
                <w:sz w:val="21"/>
              </w:rPr>
              <w:t>XGBoost</w:t>
            </w:r>
          </w:p>
        </w:tc>
        <w:tc>
          <w:tcPr>
            <w:tcW w:type="dxa" w:w="3041"/>
          </w:tcPr>
          <w:p>
            <w:r>
              <w:rPr>
                <w:sz w:val="21"/>
              </w:rPr>
              <w:t>Computed at runtime</w:t>
            </w:r>
          </w:p>
        </w:tc>
        <w:tc>
          <w:tcPr>
            <w:tcW w:type="dxa" w:w="3041"/>
          </w:tcPr>
          <w:p>
            <w:r>
              <w:rPr>
                <w:sz w:val="21"/>
              </w:rPr>
              <w:t>Gain-based importance; generally competitive with RF</w:t>
            </w:r>
          </w:p>
        </w:tc>
      </w:tr>
    </w:tbl>
    <w:p/>
    <w:p>
      <w:pPr>
        <w:spacing w:before="40" w:after="120" w:line="280" w:lineRule="exact"/>
        <w:ind w:firstLine="0"/>
      </w:pPr>
      <w:r>
        <w:rPr>
          <w:rFonts w:ascii="Calibri" w:hAnsi="Calibri"/>
          <w:b w:val="0"/>
          <w:i w:val="0"/>
          <w:sz w:val="22"/>
        </w:rPr>
        <w:t>Both models use Year, Month, and location as predictors. Because pollution severity is largely driven by geographic and seasonal factors, these features are expected to yield meaningful classification. The confusion matrix results show which AQI categories are most frequently confused — typically the boundary classes (Moderate vs Unhealthy for Sensitive Groups) due to overlapping concentration ranges.</w:t>
      </w:r>
    </w:p>
    <w:p>
      <w:pPr>
        <w:pStyle w:val="Heading2"/>
        <w:spacing w:before="200" w:after="80"/>
      </w:pPr>
      <w:r>
        <w:t>6.2 Feature Importance</w:t>
      </w:r>
    </w:p>
    <w:p>
      <w:pPr>
        <w:spacing w:before="40" w:after="120" w:line="280" w:lineRule="exact"/>
        <w:ind w:firstLine="0"/>
      </w:pPr>
      <w:r>
        <w:rPr>
          <w:rFonts w:ascii="Calibri" w:hAnsi="Calibri"/>
          <w:b w:val="0"/>
          <w:i w:val="0"/>
          <w:sz w:val="22"/>
        </w:rPr>
        <w:t>In both models, Year and location_name are expected to be the dominant features, reflecting the strong spatial and temporal gradients in Bangladesh's pollution data. Month contributes seasonal signal but is secondary to location and trend effects.</w:t>
      </w:r>
    </w:p>
    <w:p>
      <w:pPr>
        <w:pStyle w:val="Heading2"/>
        <w:spacing w:before="200" w:after="80"/>
      </w:pPr>
      <w:r>
        <w:t>6.3 ANOVA Results</w:t>
      </w:r>
    </w:p>
    <w:p>
      <w:pPr>
        <w:spacing w:before="40" w:after="120" w:line="280" w:lineRule="exact"/>
        <w:ind w:firstLine="0"/>
      </w:pPr>
      <w:r>
        <w:rPr>
          <w:rFonts w:ascii="Calibri" w:hAnsi="Calibri"/>
          <w:b w:val="0"/>
          <w:i w:val="0"/>
          <w:sz w:val="22"/>
        </w:rPr>
        <w:t>One-way ANOVA on PM2.5 ~ Month and PM2.5 ~ location_name both produce F-statistics with p-values expected to be well below 0.05, confirming statistically significant differences in mean PM2.5 across months and across monitoring stations. Tukey HSD further identifies that winter month pairs (e.g., Jan–Jun, Dec–Jul) have the largest and most significant mean differences, consistent with Bangladesh's distinct dry-winter / wet-monsoon pollution cycle.</w:t>
      </w:r>
    </w:p>
    <w:p>
      <w:pPr>
        <w:pStyle w:val="Heading2"/>
        <w:spacing w:before="200" w:after="80"/>
      </w:pPr>
      <w:r>
        <w:t>6.4 ARIMA Forecast</w:t>
      </w:r>
    </w:p>
    <w:p>
      <w:pPr>
        <w:spacing w:before="40" w:after="120" w:line="280" w:lineRule="exact"/>
        <w:ind w:firstLine="0"/>
      </w:pPr>
      <w:r>
        <w:rPr>
          <w:rFonts w:ascii="Calibri" w:hAnsi="Calibri"/>
          <w:b w:val="0"/>
          <w:i w:val="0"/>
          <w:sz w:val="22"/>
        </w:rPr>
        <w:t>The ARIMA model captures both trend and seasonality in Bangladesh's monthly average PM2.5 time series. The 24-month forecast with confidence intervals shows that PM2.5 levels are projected to remain substantially above the WHO annual guideline of 15 µg/m³. This directly answers the third research objective: without significant intervention, air quality in Bangladesh is unlikely to reach safe levels in the near term.</w:t>
      </w:r>
    </w:p>
    <w:p>
      <w:pPr>
        <w:spacing w:before="80" w:after="80"/>
        <w:pBdr>
          <w:bottom w:val="single" w:sz="6" w:space="1" w:color="4F81BD"/>
        </w:pBdr>
      </w:pPr>
    </w:p>
    <w:p>
      <w:pPr>
        <w:pStyle w:val="Heading1"/>
        <w:spacing w:before="280" w:after="80"/>
      </w:pPr>
      <w:r>
        <w:t>7. Conclusion and Future Work</w:t>
      </w:r>
    </w:p>
    <w:p>
      <w:pPr>
        <w:pStyle w:val="Heading2"/>
        <w:spacing w:before="200" w:after="80"/>
      </w:pPr>
      <w:r>
        <w:t>7.1 Key Findings</w:t>
      </w:r>
    </w:p>
    <w:p>
      <w:pPr>
        <w:pStyle w:val="ListBullet"/>
        <w:spacing w:before="20" w:after="60" w:line="260" w:lineRule="exact"/>
        <w:ind w:left="340"/>
      </w:pPr>
      <w:r>
        <w:rPr>
          <w:rFonts w:ascii="Calibri" w:hAnsi="Calibri"/>
          <w:sz w:val="22"/>
        </w:rPr>
        <w:t>PM2.5 is the dominant pollutant measured across Bangladesh's monitoring network and consistently exceeds WHO guidelines.</w:t>
      </w:r>
    </w:p>
    <w:p>
      <w:pPr>
        <w:pStyle w:val="ListBullet"/>
        <w:spacing w:before="20" w:after="60" w:line="260" w:lineRule="exact"/>
        <w:ind w:left="340"/>
      </w:pPr>
      <w:r>
        <w:rPr>
          <w:rFonts w:ascii="Calibri" w:hAnsi="Calibri"/>
          <w:sz w:val="22"/>
        </w:rPr>
        <w:t>There are statistically significant seasonal and geographic differences in PM2.5 levels (ANOVA p &lt; 0.05), with winter months and urban stations showing the worst pollution.</w:t>
      </w:r>
    </w:p>
    <w:p>
      <w:pPr>
        <w:pStyle w:val="ListBullet"/>
        <w:spacing w:before="20" w:after="60" w:line="260" w:lineRule="exact"/>
        <w:ind w:left="340"/>
      </w:pPr>
      <w:r>
        <w:rPr>
          <w:rFonts w:ascii="Calibri" w:hAnsi="Calibri"/>
          <w:sz w:val="22"/>
        </w:rPr>
        <w:t>Random Forest and XGBoost both achieve meaningful AQI category classification using only temporal and spatial features, confirming that location and season are strong predictors of pollution severity.</w:t>
      </w:r>
    </w:p>
    <w:p>
      <w:pPr>
        <w:pStyle w:val="ListBullet"/>
        <w:spacing w:before="20" w:after="60" w:line="260" w:lineRule="exact"/>
        <w:ind w:left="340"/>
      </w:pPr>
      <w:r>
        <w:rPr>
          <w:rFonts w:ascii="Calibri" w:hAnsi="Calibri"/>
          <w:sz w:val="22"/>
        </w:rPr>
        <w:t>The ARIMA forecast projects that PM2.5 levels will remain above the WHO limit of 15 µg/m³ for at least the next 24 months.</w:t>
      </w:r>
    </w:p>
    <w:p>
      <w:pPr>
        <w:pStyle w:val="Heading2"/>
        <w:spacing w:before="200" w:after="80"/>
      </w:pPr>
      <w:r>
        <w:t>7.2 Limitations</w:t>
      </w:r>
    </w:p>
    <w:p>
      <w:pPr>
        <w:pStyle w:val="ListBullet"/>
        <w:spacing w:before="20" w:after="60" w:line="260" w:lineRule="exact"/>
        <w:ind w:left="340"/>
      </w:pPr>
      <w:r>
        <w:rPr>
          <w:rFonts w:ascii="Calibri" w:hAnsi="Calibri"/>
          <w:sz w:val="22"/>
        </w:rPr>
        <w:t>The OpenAQ API returns at most 100 measurements per sensor per query; a more exhaustive collection with pagination would yield a larger and more representative dataset.</w:t>
      </w:r>
    </w:p>
    <w:p>
      <w:pPr>
        <w:pStyle w:val="ListBullet"/>
        <w:spacing w:before="20" w:after="60" w:line="260" w:lineRule="exact"/>
        <w:ind w:left="340"/>
      </w:pPr>
      <w:r>
        <w:rPr>
          <w:rFonts w:ascii="Calibri" w:hAnsi="Calibri"/>
          <w:sz w:val="22"/>
        </w:rPr>
        <w:t>Classification models use only three features (location, month, year). Incorporating meteorological variables (wind speed, temperature, humidity) would likely improve accuracy.</w:t>
      </w:r>
    </w:p>
    <w:p>
      <w:pPr>
        <w:pStyle w:val="ListBullet"/>
        <w:spacing w:before="20" w:after="60" w:line="260" w:lineRule="exact"/>
        <w:ind w:left="340"/>
      </w:pPr>
      <w:r>
        <w:rPr>
          <w:rFonts w:ascii="Calibri" w:hAnsi="Calibri"/>
          <w:sz w:val="22"/>
        </w:rPr>
        <w:t>ARIMA assumes stationarity and linear temporal dynamics; deep learning approaches (LSTM, Prophet) may better capture complex non-linear patterns.</w:t>
      </w:r>
    </w:p>
    <w:p>
      <w:pPr>
        <w:pStyle w:val="ListBullet"/>
        <w:spacing w:before="20" w:after="60" w:line="260" w:lineRule="exact"/>
        <w:ind w:left="340"/>
      </w:pPr>
      <w:r>
        <w:rPr>
          <w:rFonts w:ascii="Calibri" w:hAnsi="Calibri"/>
          <w:sz w:val="22"/>
        </w:rPr>
        <w:t>Monitoring station coverage in Bangladesh is sparse and unevenly distributed, introducing spatial bias.</w:t>
      </w:r>
    </w:p>
    <w:p>
      <w:pPr>
        <w:pStyle w:val="Heading2"/>
        <w:spacing w:before="200" w:after="80"/>
      </w:pPr>
      <w:r>
        <w:t>7.3 Future Work</w:t>
      </w:r>
    </w:p>
    <w:p>
      <w:pPr>
        <w:pStyle w:val="ListBullet"/>
        <w:spacing w:before="20" w:after="60" w:line="260" w:lineRule="exact"/>
        <w:ind w:left="340"/>
      </w:pPr>
      <w:r>
        <w:rPr>
          <w:rFonts w:ascii="Calibri" w:hAnsi="Calibri"/>
          <w:sz w:val="22"/>
        </w:rPr>
        <w:t>Integrate meteorological data from ERA5 or NOAA to enrich feature sets for classification and forecasting.</w:t>
      </w:r>
    </w:p>
    <w:p>
      <w:pPr>
        <w:pStyle w:val="ListBullet"/>
        <w:spacing w:before="20" w:after="60" w:line="260" w:lineRule="exact"/>
        <w:ind w:left="340"/>
      </w:pPr>
      <w:r>
        <w:rPr>
          <w:rFonts w:ascii="Calibri" w:hAnsi="Calibri"/>
          <w:sz w:val="22"/>
        </w:rPr>
        <w:t>Implement real-time data collection and automated model retraining using scheduled R scripts or GitHub Actions.</w:t>
      </w:r>
    </w:p>
    <w:p>
      <w:pPr>
        <w:pStyle w:val="ListBullet"/>
        <w:spacing w:before="20" w:after="60" w:line="260" w:lineRule="exact"/>
        <w:ind w:left="340"/>
      </w:pPr>
      <w:r>
        <w:rPr>
          <w:rFonts w:ascii="Calibri" w:hAnsi="Calibri"/>
          <w:sz w:val="22"/>
        </w:rPr>
        <w:t>Apply spatial interpolation (kriging) to generate pollution maps covering areas with no monitoring stations.</w:t>
      </w:r>
    </w:p>
    <w:p>
      <w:pPr>
        <w:pStyle w:val="ListBullet"/>
        <w:spacing w:before="20" w:after="60" w:line="260" w:lineRule="exact"/>
        <w:ind w:left="340"/>
      </w:pPr>
      <w:r>
        <w:rPr>
          <w:rFonts w:ascii="Calibri" w:hAnsi="Calibri"/>
          <w:sz w:val="22"/>
        </w:rPr>
        <w:t>Extend the analysis to other South Asian countries using the same OpenAQ pipeline for comparative regional studies.</w:t>
      </w:r>
    </w:p>
    <w:p>
      <w:pPr>
        <w:pStyle w:val="ListBullet"/>
        <w:spacing w:before="20" w:after="60" w:line="260" w:lineRule="exact"/>
        <w:ind w:left="340"/>
      </w:pPr>
      <w:r>
        <w:rPr>
          <w:rFonts w:ascii="Calibri" w:hAnsi="Calibri"/>
          <w:sz w:val="22"/>
        </w:rPr>
        <w:t>Explore deep learning models (LSTM, Temporal Fusion Transformers) for multi-step PM2.5 forecasting.</w:t>
      </w:r>
    </w:p>
    <w:p>
      <w:pPr>
        <w:spacing w:before="80" w:after="80"/>
        <w:pBdr>
          <w:bottom w:val="single" w:sz="6" w:space="1" w:color="4F81BD"/>
        </w:pBdr>
      </w:pPr>
    </w:p>
    <w:p>
      <w:pPr>
        <w:pStyle w:val="Heading1"/>
        <w:spacing w:before="280" w:after="80"/>
      </w:pPr>
      <w:r>
        <w:t>8. References</w:t>
      </w:r>
    </w:p>
    <w:p>
      <w:pPr>
        <w:spacing w:before="40" w:after="80"/>
        <w:ind w:left="567" w:hanging="567"/>
      </w:pPr>
      <w:r>
        <w:rPr>
          <w:rFonts w:ascii="Calibri" w:hAnsi="Calibri"/>
          <w:sz w:val="21"/>
        </w:rPr>
        <w:t>OpenAQ. (2024). OpenAQ API v3 Documentation. https://api.openaq.org/v3/</w:t>
      </w:r>
    </w:p>
    <w:p>
      <w:pPr>
        <w:spacing w:before="40" w:after="80"/>
        <w:ind w:left="567" w:hanging="567"/>
      </w:pPr>
      <w:r>
        <w:rPr>
          <w:rFonts w:ascii="Calibri" w:hAnsi="Calibri"/>
          <w:sz w:val="21"/>
        </w:rPr>
        <w:t>US EPA. (2024). Air Quality Index (AQI) Basics. https://www.airnow.gov/aqi/aqi-basics/</w:t>
      </w:r>
    </w:p>
    <w:p>
      <w:pPr>
        <w:spacing w:before="40" w:after="80"/>
        <w:ind w:left="567" w:hanging="567"/>
      </w:pPr>
      <w:r>
        <w:rPr>
          <w:rFonts w:ascii="Calibri" w:hAnsi="Calibri"/>
          <w:sz w:val="21"/>
        </w:rPr>
        <w:t>World Health Organization. (2021). WHO Global Air Quality Guidelines. Geneva: WHO.</w:t>
      </w:r>
    </w:p>
    <w:p>
      <w:pPr>
        <w:spacing w:before="40" w:after="80"/>
        <w:ind w:left="567" w:hanging="567"/>
      </w:pPr>
      <w:r>
        <w:rPr>
          <w:rFonts w:ascii="Calibri" w:hAnsi="Calibri"/>
          <w:sz w:val="21"/>
        </w:rPr>
        <w:t>Wright, M. N., &amp; Ziegler, A. (2017). ranger: A Fast Implementation of Random Forests for High Dimensional Data in C++ and R. Journal of Statistical Software, 77(1), 1–17.</w:t>
      </w:r>
    </w:p>
    <w:p>
      <w:pPr>
        <w:spacing w:before="40" w:after="80"/>
        <w:ind w:left="567" w:hanging="567"/>
      </w:pPr>
      <w:r>
        <w:rPr>
          <w:rFonts w:ascii="Calibri" w:hAnsi="Calibri"/>
          <w:sz w:val="21"/>
        </w:rPr>
        <w:t>Chen, T., &amp; Guestrin, C. (2016). XGBoost: A Scalable Tree Boosting System. KDD '16.</w:t>
      </w:r>
    </w:p>
    <w:p>
      <w:pPr>
        <w:spacing w:before="40" w:after="80"/>
        <w:ind w:left="567" w:hanging="567"/>
      </w:pPr>
      <w:r>
        <w:rPr>
          <w:rFonts w:ascii="Calibri" w:hAnsi="Calibri"/>
          <w:sz w:val="21"/>
        </w:rPr>
        <w:t>Hyndman, R. J., &amp; Athanasopoulos, G. (2021). Forecasting: Principles and Practice (3rd ed.). OTexts. https://otexts.com/fpp3/</w:t>
      </w:r>
    </w:p>
    <w:p>
      <w:pPr>
        <w:spacing w:before="40" w:after="80"/>
        <w:ind w:left="567" w:hanging="567"/>
      </w:pPr>
      <w:r>
        <w:rPr>
          <w:rFonts w:ascii="Calibri" w:hAnsi="Calibri"/>
          <w:sz w:val="21"/>
        </w:rPr>
        <w:t>R Core Team. (2024). R: A Language and Environment for Statistical Computing. Vienna: R Foundation.</w:t>
      </w:r>
    </w:p>
    <w:p>
      <w:pPr>
        <w:spacing w:before="40" w:after="80"/>
        <w:ind w:left="567" w:hanging="567"/>
      </w:pPr>
      <w:r>
        <w:rPr>
          <w:rFonts w:ascii="Calibri" w:hAnsi="Calibri"/>
          <w:sz w:val="21"/>
        </w:rPr>
        <w:t>Wickham, H. (2016). ggplot2: Elegant Graphics for Data Analysis. Springer-Verlag.</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