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A49D5">
      <w:pPr>
        <w:pStyle w:val="31"/>
        <w:spacing w:before="1040"/>
        <w:jc w:val="center"/>
        <w:rPr>
          <w:rFonts w:eastAsia="微软雅黑"/>
        </w:rPr>
      </w:pPr>
      <w:r>
        <w:rPr>
          <w:rFonts w:ascii="Arial" w:hAnsi="Arial" w:eastAsia="微软雅黑"/>
          <w:b/>
          <w:color w:val="27485D"/>
          <w:sz w:val="50"/>
        </w:rPr>
        <w:t>面向跨条件响应预测的稳健酵母虚拟细胞</w:t>
      </w:r>
    </w:p>
    <w:p w14:paraId="10E73C4D">
      <w:pPr>
        <w:pStyle w:val="26"/>
        <w:jc w:val="center"/>
        <w:rPr>
          <w:rFonts w:eastAsia="微软雅黑"/>
        </w:rPr>
      </w:pPr>
      <w:r>
        <w:rPr>
          <w:rFonts w:ascii="Arial" w:hAnsi="Arial" w:eastAsia="微软雅黑"/>
          <w:b w:val="0"/>
          <w:color w:val="4F7186"/>
          <w:sz w:val="24"/>
        </w:rPr>
        <w:t>GOAI 世界人工智能开源大赛 · AI for Research 前沿探索赛道</w:t>
      </w:r>
      <w:r>
        <w:rPr>
          <w:rFonts w:ascii="Arial" w:hAnsi="Arial" w:eastAsia="微软雅黑"/>
          <w:b w:val="0"/>
          <w:color w:val="4F7186"/>
          <w:sz w:val="24"/>
        </w:rPr>
        <w:br w:type="textWrapping"/>
      </w:r>
      <w:r>
        <w:rPr>
          <w:rFonts w:ascii="Arial" w:hAnsi="Arial" w:eastAsia="微软雅黑"/>
          <w:b w:val="0"/>
          <w:color w:val="4F7186"/>
          <w:sz w:val="24"/>
        </w:rPr>
        <w:t>算法赛初赛方案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7BCBC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E23941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参赛方向</w:t>
            </w:r>
          </w:p>
        </w:tc>
        <w:tc>
          <w:tcPr>
            <w:tcW w:w="49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250328E">
            <w:pPr>
              <w:spacing w:after="0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20"/>
              </w:rPr>
              <w:t>方向一：虚拟细胞（开放知识榜）</w:t>
            </w:r>
          </w:p>
        </w:tc>
      </w:tr>
      <w:tr w14:paraId="357CB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5936B4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研究任务</w:t>
            </w:r>
          </w:p>
        </w:tc>
        <w:tc>
          <w:tcPr>
            <w:tcW w:w="49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01ED0F">
            <w:pPr>
              <w:spacing w:after="0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20"/>
              </w:rPr>
              <w:t>基于酵母扰动蛋白质组数据的条件响应预测</w:t>
            </w:r>
          </w:p>
        </w:tc>
      </w:tr>
      <w:tr w14:paraId="5047A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F71CF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方案结构</w:t>
            </w:r>
          </w:p>
        </w:tc>
        <w:tc>
          <w:tcPr>
            <w:tcW w:w="49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8D51E3B">
            <w:pPr>
              <w:spacing w:after="0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20"/>
              </w:rPr>
              <w:t>对照锚定、分支解耦、条件新颖性路由、双随机种子集成</w:t>
            </w:r>
          </w:p>
        </w:tc>
      </w:tr>
    </w:tbl>
    <w:p w14:paraId="2E742A87">
      <w:pPr>
        <w:rPr>
          <w:rFonts w:eastAsia="微软雅黑"/>
        </w:rPr>
      </w:pPr>
    </w:p>
    <w:p w14:paraId="3C0CED62">
      <w:pPr>
        <w:rPr>
          <w:rFonts w:eastAsia="微软雅黑"/>
        </w:rPr>
      </w:pPr>
    </w:p>
    <w:p w14:paraId="5CB65391">
      <w:pPr>
        <w:rPr>
          <w:rFonts w:eastAsia="微软雅黑"/>
        </w:rPr>
      </w:pPr>
    </w:p>
    <w:p w14:paraId="064D6CB0">
      <w:pPr>
        <w:rPr>
          <w:rFonts w:eastAsia="微软雅黑"/>
        </w:rPr>
      </w:pPr>
    </w:p>
    <w:p w14:paraId="144F44D0">
      <w:pPr>
        <w:rPr>
          <w:rFonts w:eastAsia="微软雅黑"/>
        </w:rPr>
      </w:pPr>
    </w:p>
    <w:p w14:paraId="3FB78AE8">
      <w:pPr>
        <w:rPr>
          <w:rFonts w:eastAsia="微软雅黑"/>
        </w:rPr>
      </w:pPr>
    </w:p>
    <w:p w14:paraId="73DAFBCA">
      <w:pPr>
        <w:rPr>
          <w:rFonts w:eastAsia="微软雅黑"/>
        </w:rPr>
      </w:pPr>
    </w:p>
    <w:p w14:paraId="6EF40550">
      <w:pPr>
        <w:rPr>
          <w:rFonts w:eastAsia="微软雅黑"/>
        </w:rPr>
      </w:pPr>
    </w:p>
    <w:p w14:paraId="5D7149EC">
      <w:pPr>
        <w:rPr>
          <w:rFonts w:eastAsia="微软雅黑"/>
        </w:rPr>
      </w:pPr>
    </w:p>
    <w:p w14:paraId="28751924">
      <w:pPr>
        <w:rPr>
          <w:rFonts w:eastAsia="微软雅黑"/>
        </w:rPr>
      </w:pPr>
    </w:p>
    <w:p w14:paraId="5541C664">
      <w:pPr>
        <w:rPr>
          <w:rFonts w:eastAsia="微软雅黑"/>
        </w:rPr>
      </w:pPr>
    </w:p>
    <w:p w14:paraId="6C93DA83">
      <w:pPr>
        <w:rPr>
          <w:rFonts w:eastAsia="微软雅黑"/>
        </w:rPr>
      </w:pPr>
    </w:p>
    <w:p w14:paraId="39780AD8">
      <w:pPr>
        <w:rPr>
          <w:rFonts w:eastAsia="微软雅黑"/>
        </w:rPr>
      </w:pPr>
    </w:p>
    <w:p w14:paraId="1B76175B">
      <w:pPr>
        <w:rPr>
          <w:rFonts w:eastAsia="微软雅黑"/>
        </w:rPr>
      </w:pPr>
    </w:p>
    <w:p w14:paraId="3DBD1B32">
      <w:pPr>
        <w:rPr>
          <w:rFonts w:eastAsia="微软雅黑"/>
        </w:rPr>
      </w:pPr>
    </w:p>
    <w:p w14:paraId="6D080C2A">
      <w:pPr>
        <w:spacing w:before="360"/>
        <w:jc w:val="center"/>
        <w:rPr>
          <w:rFonts w:eastAsia="微软雅黑"/>
        </w:rPr>
      </w:pPr>
      <w:r>
        <w:rPr>
          <w:rFonts w:ascii="Arial" w:hAnsi="Arial" w:eastAsia="微软雅黑"/>
          <w:b w:val="0"/>
          <w:color w:val="5E7180"/>
          <w:sz w:val="20"/>
        </w:rPr>
        <w:t>2026 年 8 月</w:t>
      </w:r>
    </w:p>
    <w:p w14:paraId="01269B59">
      <w:pPr>
        <w:spacing w:after="0"/>
        <w:rPr>
          <w:rFonts w:eastAsia="微软雅黑"/>
        </w:rPr>
      </w:pPr>
      <w:r>
        <w:rPr>
          <w:rFonts w:eastAsia="微软雅黑"/>
        </w:rPr>
        <w:br w:type="page"/>
      </w:r>
    </w:p>
    <w:p w14:paraId="1904774F">
      <w:pPr>
        <w:pStyle w:val="3"/>
        <w:keepNext/>
        <w:rPr>
          <w:rFonts w:eastAsia="微软雅黑"/>
        </w:rPr>
      </w:pPr>
      <w:r>
        <w:rPr>
          <w:rFonts w:eastAsia="微软雅黑"/>
        </w:rPr>
        <w:t>一、项目概述</w:t>
      </w:r>
    </w:p>
    <w:p w14:paraId="6D543F39">
      <w:pPr>
        <w:pStyle w:val="4"/>
        <w:keepNext/>
        <w:rPr>
          <w:rFonts w:eastAsia="微软雅黑"/>
        </w:rPr>
      </w:pPr>
      <w:r>
        <w:rPr>
          <w:rFonts w:eastAsia="微软雅黑"/>
        </w:rPr>
        <w:t>1.1 项目名称</w:t>
      </w:r>
    </w:p>
    <w:p w14:paraId="261E98D2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面向跨条件响应预测的稳健酵母虚拟细胞。</w:t>
      </w:r>
    </w:p>
    <w:p w14:paraId="2DD4118B">
      <w:pPr>
        <w:pStyle w:val="4"/>
        <w:keepNext/>
        <w:rPr>
          <w:rFonts w:eastAsia="微软雅黑"/>
        </w:rPr>
      </w:pPr>
      <w:r>
        <w:rPr>
          <w:rFonts w:eastAsia="微软雅黑"/>
        </w:rPr>
        <w:t>1.2 参赛方向</w:t>
      </w:r>
    </w:p>
    <w:p w14:paraId="0FA4EEA2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我们参加赛道三·前沿探索 AI for Research 的方向一“虚拟细胞”，研究酵母扰动蛋白质组的条件响应预测。方案使用公开化学结构和酵母基因组特征，因此选择开放知识榜，并完整记录外部资源的来源、版本、许可和处理过程。</w:t>
      </w:r>
    </w:p>
    <w:p w14:paraId="740089DC">
      <w:pPr>
        <w:pStyle w:val="4"/>
        <w:keepNext/>
        <w:rPr>
          <w:rFonts w:eastAsia="微软雅黑"/>
        </w:rPr>
      </w:pPr>
      <w:r>
        <w:rPr>
          <w:rFonts w:eastAsia="微软雅黑"/>
        </w:rPr>
        <w:t>1.3 方案概述</w:t>
      </w:r>
    </w:p>
    <w:p w14:paraId="113C79F3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本赛题要求根据菌株、化合物、培养条件与测量上下文，直接生成完整 log2 蛋白质组，并外推到新化合物、新菌株及双重未知组合。我们将预测分解为基础状态、扰动响应和技术批次偏移，再按条件新颖性固定路由至 D0、S1 C、D2 三个专家，并对两个独立种子等权集成。全流程只用训练集拟合统计量，以 mask-aware 损失、分场景验证和消融实验控制过拟合与信息泄漏。</w:t>
      </w:r>
    </w:p>
    <w:p w14:paraId="3C3A51B8">
      <w:pPr>
        <w:rPr>
          <w:rFonts w:eastAsia="微软雅黑"/>
        </w:rPr>
      </w:pPr>
      <w:r>
        <w:rPr>
          <w:rFonts w:eastAsia="微软雅黑"/>
        </w:rPr>
        <w:drawing>
          <wp:inline distT="0" distB="0" distL="114300" distR="114300">
            <wp:extent cx="6011545" cy="310070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1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70A2">
      <w:pPr>
        <w:spacing w:before="40" w:after="140"/>
        <w:jc w:val="center"/>
        <w:rPr>
          <w:rFonts w:eastAsia="微软雅黑"/>
        </w:rPr>
      </w:pPr>
      <w:r>
        <w:rPr>
          <w:rFonts w:ascii="Arial" w:hAnsi="Arial" w:eastAsia="微软雅黑"/>
          <w:b w:val="0"/>
          <w:color w:val="5E7180"/>
          <w:sz w:val="17"/>
        </w:rPr>
        <w:t>图 1 模型总体架构</w:t>
      </w:r>
    </w:p>
    <w:p w14:paraId="00DB8DED">
      <w:pPr>
        <w:pStyle w:val="3"/>
        <w:keepNext/>
        <w:rPr>
          <w:rFonts w:eastAsia="微软雅黑"/>
        </w:rPr>
      </w:pPr>
      <w:r>
        <w:rPr>
          <w:rFonts w:eastAsia="微软雅黑"/>
        </w:rPr>
        <w:t>二、科学问题理解</w:t>
      </w:r>
    </w:p>
    <w:p w14:paraId="38E8BA18">
      <w:pPr>
        <w:pStyle w:val="4"/>
        <w:keepNext/>
        <w:rPr>
          <w:rFonts w:eastAsia="微软雅黑"/>
        </w:rPr>
      </w:pPr>
      <w:r>
        <w:rPr>
          <w:rFonts w:eastAsia="微软雅黑"/>
        </w:rPr>
        <w:t>2.1 科学问题与研究对象</w:t>
      </w:r>
    </w:p>
    <w:p w14:paraId="2021C861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酿酒酵母是遗传工具成熟、培养成本较低的单细胞真核模式生物</w:t>
      </w:r>
      <w:bookmarkStart w:id="0" w:name="_GoBack"/>
      <w:bookmarkEnd w:id="0"/>
      <w:r>
        <w:rPr>
          <w:rFonts w:ascii="Arial" w:hAnsi="Arial" w:eastAsia="微软雅黑"/>
          <w:b w:val="0"/>
          <w:color w:val="24323B"/>
          <w:sz w:val="20"/>
        </w:rPr>
        <w:t>；蛋白质组比转录组更接近酶活性、代谢状态和应激执行层，适合检验虚拟细胞对功能状态的预测能力。</w:t>
      </w:r>
    </w:p>
    <w:p w14:paraId="4DAEDF0E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任务输入为菌株、化合物、培养基、温度、时间和测量上下文，输出为固定蛋白顺序的 log2 强度向量。模型不接收 matched control 蛋白向量，必须从训练样本学习基础状态与扰动响应；验证按实体可见性划分，因此核心难点是小样本、高维缺失条件下的 OOD 外推。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A362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A2BF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难度边界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E3BB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当前冻结口径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32C55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建模含义</w:t>
            </w:r>
          </w:p>
        </w:tc>
      </w:tr>
      <w:tr w14:paraId="1ACB6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F3F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训练样本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A23E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5,920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1FA4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需要在有限样本上估计高维响应</w:t>
            </w:r>
          </w:p>
        </w:tc>
      </w:tr>
      <w:tr w14:paraId="497E9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983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原始蛋白列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4352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5,243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0B5F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存在大量条件性缺失</w:t>
            </w:r>
          </w:p>
        </w:tc>
      </w:tr>
      <w:tr w14:paraId="3E445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DFD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模型冻结输出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7128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4,422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91F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仅用 train 统计冻结顺序和 mask</w:t>
            </w:r>
          </w:p>
        </w:tc>
      </w:tr>
      <w:tr w14:paraId="6EC11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3857F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公开验证场景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C56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1,065 / 1,547 / 269 / 157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0CF4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分别检验新药、新菌株、双未知和时间外推</w:t>
            </w:r>
          </w:p>
        </w:tc>
      </w:tr>
      <w:tr w14:paraId="3C3A7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77A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评分共同子集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974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981 / 1,313 / 266 / 134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763B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用于 control/FC/残差的同口径诊断</w:t>
            </w:r>
          </w:p>
        </w:tc>
      </w:tr>
      <w:tr w14:paraId="2C342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FCD04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测试 metadata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9AD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4,454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D4C3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仅生成预测；不读取测试蛋白真值</w:t>
            </w:r>
          </w:p>
        </w:tc>
      </w:tr>
      <w:tr w14:paraId="7617C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52CF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最极端场景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46DE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val_both 269</w:t>
            </w:r>
          </w:p>
        </w:tc>
        <w:tc>
          <w:tcPr>
            <w:tcW w:w="470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6D5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新药与新菌株同时未知，样本最少且外推最难</w:t>
            </w:r>
          </w:p>
        </w:tc>
      </w:tr>
    </w:tbl>
    <w:p w14:paraId="787338E2">
      <w:pPr>
        <w:spacing w:after="0"/>
        <w:rPr>
          <w:rFonts w:eastAsia="微软雅黑"/>
        </w:rPr>
      </w:pPr>
    </w:p>
    <w:p w14:paraId="116F3B35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按当前比赛文件执行 train-only 缺失过滤后，模型冻结 4,422 个蛋白及其顺序和哈希。真正瓶颈是实体级零样本泛化与测量偏移解耦，而非高维回归本身。</w:t>
      </w:r>
    </w:p>
    <w:p w14:paraId="31AEA1D4">
      <w:pPr>
        <w:pStyle w:val="4"/>
        <w:keepNext/>
        <w:rPr>
          <w:rFonts w:eastAsia="微软雅黑"/>
        </w:rPr>
      </w:pPr>
      <w:r>
        <w:rPr>
          <w:rFonts w:eastAsia="微软雅黑"/>
        </w:rPr>
        <w:t>2.2 科学意义</w:t>
      </w:r>
    </w:p>
    <w:p w14:paraId="5A7542ED">
      <w:pPr>
        <w:pStyle w:val="5"/>
        <w:keepNext/>
        <w:rPr>
          <w:rFonts w:eastAsia="微软雅黑"/>
        </w:rPr>
      </w:pPr>
      <w:r>
        <w:rPr>
          <w:rFonts w:eastAsia="微软雅黑"/>
        </w:rPr>
        <w:t>应用价值</w:t>
      </w:r>
    </w:p>
    <w:p w14:paraId="06B5D660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可靠的条件响应预测可在湿实验前筛选菌株—化合物—条件组合，把质谱验证集中到信息增益更高的实验，并为工业酵母改造、药物机制筛查和胁迫耐受研究提供候选。高效应蛋白和通路结果还可直接指导靶向验证。</w:t>
      </w:r>
    </w:p>
    <w:p w14:paraId="292603A8">
      <w:pPr>
        <w:pStyle w:val="5"/>
        <w:keepNext/>
        <w:rPr>
          <w:rFonts w:eastAsia="微软雅黑"/>
        </w:rPr>
      </w:pPr>
      <w:r>
        <w:rPr>
          <w:rFonts w:eastAsia="微软雅黑"/>
        </w:rPr>
        <w:t>方法价值与可迁移性</w:t>
      </w:r>
    </w:p>
    <w:p w14:paraId="398AADC4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“生物状态—扰动响应—测量偏移”解耦和分层 OOV 回退不依赖特定蛋白或药物，可迁移到转录组、代谢组等高维扰动预测任务。</w:t>
      </w:r>
    </w:p>
    <w:p w14:paraId="5242821D">
      <w:pPr>
        <w:pStyle w:val="5"/>
        <w:keepNext/>
        <w:rPr>
          <w:rFonts w:eastAsia="微软雅黑"/>
        </w:rPr>
      </w:pPr>
      <w:r>
        <w:rPr>
          <w:rFonts w:eastAsia="微软雅黑"/>
        </w:rPr>
        <w:t>与已有工作的边界</w:t>
      </w:r>
    </w:p>
    <w:p w14:paraId="03464CD6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早期全细胞模型依赖手工反应方程，近年的 AI 虚拟细胞则从组学数据学习状态与扰动规律，相关挑战多聚焦转录组。本赛题进一步面向蛋白质组，并要求跨菌株、化合物和培养条件泛化。我们的贡献是建立可审计的响应预测框架，明确生物信号、批次依赖及失败边界。</w:t>
      </w:r>
    </w:p>
    <w:p w14:paraId="21C5E795">
      <w:pPr>
        <w:pStyle w:val="3"/>
        <w:keepNext/>
        <w:rPr>
          <w:rFonts w:eastAsia="微软雅黑"/>
        </w:rPr>
      </w:pPr>
      <w:r>
        <w:rPr>
          <w:rFonts w:eastAsia="微软雅黑"/>
        </w:rPr>
        <w:t>三、技术方案与预期方法路线</w:t>
      </w:r>
    </w:p>
    <w:p w14:paraId="0E76F6B4">
      <w:pPr>
        <w:pStyle w:val="4"/>
        <w:keepNext/>
        <w:rPr>
          <w:rFonts w:eastAsia="微软雅黑"/>
        </w:rPr>
      </w:pPr>
      <w:r>
        <w:rPr>
          <w:rFonts w:eastAsia="微软雅黑"/>
        </w:rPr>
        <w:t>3.1 技术方案</w:t>
      </w:r>
    </w:p>
    <w:p w14:paraId="327E5297">
      <w:pPr>
        <w:pStyle w:val="5"/>
        <w:keepNext/>
        <w:rPr>
          <w:rFonts w:eastAsia="微软雅黑"/>
        </w:rPr>
      </w:pPr>
      <w:r>
        <w:rPr>
          <w:rFonts w:eastAsia="微软雅黑"/>
        </w:rPr>
        <w:t>任务形式化与数据合同</w:t>
      </w:r>
    </w:p>
    <w:p w14:paraId="434229F5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对样本 i、蛋白 p 预测 ŷᵢₚ，仅在 mᵢₚ=1 的非缺失位置计算损失。metadata 与蛋白矩阵按 sample_ID 对齐；蛋白保留、统计量、scaler、词表和实体可见集合均只由 train 拟合。输出保持 log2 尺度，并遵循冻结的蛋白列顺序。</w:t>
      </w:r>
    </w:p>
    <w:p w14:paraId="36E32010">
      <w:pPr>
        <w:pStyle w:val="5"/>
        <w:keepNext/>
        <w:rPr>
          <w:rFonts w:eastAsia="微软雅黑"/>
        </w:rPr>
      </w:pPr>
      <w:r>
        <w:rPr>
          <w:rFonts w:eastAsia="微软雅黑"/>
        </w:rPr>
        <w:t>单专家的三分支解耦</w:t>
      </w:r>
    </w:p>
    <w:p w14:paraId="1C220822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单个专家采用加性分解：ŷ = ŷbaseline + Δresponse + Δbatch。与全字段端到端 MLP 相比，该结构能区分生物响应与测量偏移，并通过输入白名单保证 control 的响应语义。</w:t>
      </w:r>
    </w:p>
    <w:p w14:paraId="5CE0E9BE">
      <w:pPr>
        <w:rPr>
          <w:rFonts w:eastAsia="微软雅黑"/>
        </w:rPr>
      </w:pPr>
      <w:r>
        <w:rPr>
          <w:rFonts w:eastAsia="微软雅黑"/>
        </w:rPr>
        <w:drawing>
          <wp:inline distT="0" distB="0" distL="114300" distR="114300">
            <wp:extent cx="6011545" cy="325310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F23">
      <w:pPr>
        <w:spacing w:before="40" w:after="140"/>
        <w:jc w:val="center"/>
        <w:rPr>
          <w:rFonts w:ascii="Arial" w:hAnsi="Arial" w:eastAsia="微软雅黑"/>
          <w:b w:val="0"/>
          <w:color w:val="5E7180"/>
          <w:sz w:val="17"/>
        </w:rPr>
      </w:pPr>
      <w:r>
        <w:rPr>
          <w:rFonts w:ascii="Arial" w:hAnsi="Arial" w:eastAsia="微软雅黑"/>
          <w:b w:val="0"/>
          <w:color w:val="5E7180"/>
          <w:sz w:val="17"/>
        </w:rPr>
        <w:t>图 2  单专家结构</w:t>
      </w:r>
    </w:p>
    <w:p w14:paraId="30A7B9D9">
      <w:pPr>
        <w:spacing w:before="40" w:after="140"/>
        <w:jc w:val="center"/>
        <w:rPr>
          <w:rFonts w:ascii="Arial" w:hAnsi="Arial" w:eastAsia="微软雅黑"/>
          <w:b w:val="0"/>
          <w:color w:val="5E7180"/>
          <w:sz w:val="17"/>
        </w:rPr>
      </w:pPr>
    </w:p>
    <w:p w14:paraId="0674BAF8">
      <w:pPr>
        <w:spacing w:before="40" w:after="140"/>
        <w:jc w:val="center"/>
        <w:rPr>
          <w:rFonts w:ascii="Arial" w:hAnsi="Arial" w:eastAsia="微软雅黑"/>
          <w:b w:val="0"/>
          <w:color w:val="5E7180"/>
          <w:sz w:val="17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6DFAC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5CD6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分支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7D85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允许输入</w:t>
            </w:r>
          </w:p>
        </w:tc>
        <w:tc>
          <w:tcPr>
            <w:tcW w:w="30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0A65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禁止输入/约束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78F95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输出语义</w:t>
            </w:r>
          </w:p>
        </w:tc>
      </w:tr>
      <w:tr w14:paraId="667F6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E88E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基础状态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89EC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菌株基因组、培养基、温度、时间</w:t>
            </w:r>
          </w:p>
        </w:tc>
        <w:tc>
          <w:tcPr>
            <w:tcW w:w="30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84DC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不输入化合物和批次字段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879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未施加药物时的条件基础蛋白状态</w:t>
            </w:r>
          </w:p>
        </w:tc>
      </w:tr>
      <w:tr w14:paraId="2EE3D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DF9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扰动响应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5F9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Morgan、菌株特征、化学×菌株交互</w:t>
            </w:r>
          </w:p>
        </w:tc>
        <w:tc>
          <w:tcPr>
            <w:tcW w:w="30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9C3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control/QC 推理时强制为 0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03EB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相对基础状态的生物扰动</w:t>
            </w:r>
          </w:p>
        </w:tc>
      </w:tr>
      <w:tr w14:paraId="53AF2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B7B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批次校准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2910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data_source、instrument、plate</w:t>
            </w:r>
          </w:p>
        </w:tc>
        <w:tc>
          <w:tcPr>
            <w:tcW w:w="30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386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不输入药物、菌株、培养基、温度、时间；正则化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A4E5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测量过程引入的加性偏移</w:t>
            </w:r>
          </w:p>
        </w:tc>
      </w:tr>
      <w:tr w14:paraId="4BD42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1A48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低秩解码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5589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latent_dim=32</w:t>
            </w:r>
          </w:p>
        </w:tc>
        <w:tc>
          <w:tcPr>
            <w:tcW w:w="30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2B5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rank=16，响应 RMS 上限 0.75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9FCC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映射到 4,422 个蛋白</w:t>
            </w:r>
          </w:p>
        </w:tc>
      </w:tr>
    </w:tbl>
    <w:p w14:paraId="7B6801AE">
      <w:pPr>
        <w:spacing w:after="0"/>
        <w:rPr>
          <w:rFonts w:eastAsia="微软雅黑"/>
        </w:rPr>
      </w:pPr>
    </w:p>
    <w:p w14:paraId="5E3CAF2C">
      <w:pPr>
        <w:pStyle w:val="5"/>
        <w:keepNext/>
        <w:rPr>
          <w:rFonts w:eastAsia="微软雅黑"/>
        </w:rPr>
      </w:pPr>
      <w:r>
        <w:rPr>
          <w:rFonts w:eastAsia="微软雅黑"/>
        </w:rPr>
        <w:t>按新颖性路由的三专家系统</w:t>
      </w:r>
    </w:p>
    <w:p w14:paraId="34742C21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消融发现化学特征在部分新药上产生方向相反的负迁移，因此我们按化合物、菌株和技术 tuple 的训练期可见性选择专家。路由规则预先冻结，不使用验证误差或药物名称特例。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09235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46544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专家</w:t>
            </w:r>
          </w:p>
        </w:tc>
        <w:tc>
          <w:tcPr>
            <w:tcW w:w="249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38517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触发条件</w:t>
            </w:r>
          </w:p>
        </w:tc>
        <w:tc>
          <w:tcPr>
            <w:tcW w:w="243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E0D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化学/菌株输入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EB5BB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批次结构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B86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训练损失</w:t>
            </w:r>
          </w:p>
        </w:tc>
      </w:tr>
      <w:tr w14:paraId="0AA40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B343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D0</w:t>
            </w:r>
          </w:p>
        </w:tc>
        <w:tc>
          <w:tcPr>
            <w:tcW w:w="249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2AD0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新化合物；Water/DMSO/QC</w:t>
            </w:r>
          </w:p>
        </w:tc>
        <w:tc>
          <w:tcPr>
            <w:tcW w:w="243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7A2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不使用化学数值特征；保留基础/菌株信息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90FD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层级 batch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985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mask-aware Huber</w:t>
            </w:r>
          </w:p>
        </w:tc>
      </w:tr>
      <w:tr w14:paraId="75EAC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E4C8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S1 C</w:t>
            </w:r>
          </w:p>
        </w:tc>
        <w:tc>
          <w:tcPr>
            <w:tcW w:w="249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7FCD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已见化合物 + 新菌株 + 已见技术 tuple</w:t>
            </w:r>
          </w:p>
        </w:tc>
        <w:tc>
          <w:tcPr>
            <w:tcW w:w="243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54D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Morgan + 24 维菌株特征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6CF2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flat batch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2F45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Huber + FC 监督 + 响应正则</w:t>
            </w:r>
          </w:p>
        </w:tc>
      </w:tr>
      <w:tr w14:paraId="72D58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413B0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D2</w:t>
            </w:r>
          </w:p>
        </w:tc>
        <w:tc>
          <w:tcPr>
            <w:tcW w:w="249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BA5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已见化合物 + 已见菌株；或需层级回退</w:t>
            </w:r>
          </w:p>
        </w:tc>
        <w:tc>
          <w:tcPr>
            <w:tcW w:w="243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407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Morgan + 24 维菌株特征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D490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source→instrument→plate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010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Huber + FC 监督 + 响应正则</w:t>
            </w:r>
          </w:p>
        </w:tc>
      </w:tr>
    </w:tbl>
    <w:p w14:paraId="3ABFE5CD">
      <w:pPr>
        <w:spacing w:after="0"/>
        <w:rPr>
          <w:rFonts w:eastAsia="微软雅黑"/>
        </w:rPr>
      </w:pPr>
    </w:p>
    <w:p w14:paraId="419EE972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每个专家以 seed 20260814、20260815 独立训练并等权平均。测试 metadata 固定路由为 D0 2,997、S1 C 1,322、D2 135 个样本，以降低初始化波动。</w:t>
      </w:r>
    </w:p>
    <w:p w14:paraId="534BD21A">
      <w:pPr>
        <w:pStyle w:val="5"/>
        <w:keepNext/>
        <w:rPr>
          <w:rFonts w:eastAsia="微软雅黑"/>
        </w:rPr>
      </w:pPr>
      <w:r>
        <w:rPr>
          <w:rFonts w:eastAsia="微软雅黑"/>
        </w:rPr>
        <w:t>实体可迁移表征与特征工程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617BD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821A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特征组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5F2FC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构建方式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DB3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实际进入最终模型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8FA3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解决的问题与边界</w:t>
            </w:r>
          </w:p>
        </w:tc>
      </w:tr>
      <w:tr w14:paraId="1965C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9354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化合物结构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CE97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名称→PubChem CID/SMILES；Morgan 2,048 bit；RDKit descriptors 217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D68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S1 C/D2 仅使用 Morgan；D0 关闭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D91D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为已见化合物响应提供结构归纳偏置；尚未证明稳健新药迁移</w:t>
            </w:r>
          </w:p>
        </w:tc>
      </w:tr>
      <w:tr w14:paraId="55482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225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菌株基因组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7AF2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Peter et al. 2018 / 1011 genomes 派生 24 维负担特征；PCA 辅助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F75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全部专家可用，按有效 mask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5032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避免把新菌株都映射为同一 unknown；仅 3 个训练菌株拟合转换</w:t>
            </w:r>
          </w:p>
        </w:tc>
      </w:tr>
      <w:tr w14:paraId="277B7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946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培养条件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046F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培养基类别、温度、时间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E07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基础状态分支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B18C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刻画静态条件和时间变化；不与批次混合</w:t>
            </w:r>
          </w:p>
        </w:tc>
      </w:tr>
      <w:tr w14:paraId="742BF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033C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技术上下文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7A1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source、instrument、plate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7730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独立批次分支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404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吸收测量偏移；OOV 时逐层回退</w:t>
            </w:r>
          </w:p>
        </w:tc>
      </w:tr>
      <w:tr w14:paraId="37890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FFE0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统计锚点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692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751 个 train Water/DMSO control 的逐蛋白均值与观测 mask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FC49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Stage A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962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稳定基础状态；所有统计严格 train-only</w:t>
            </w:r>
          </w:p>
        </w:tc>
      </w:tr>
    </w:tbl>
    <w:p w14:paraId="5622F0FA">
      <w:pPr>
        <w:spacing w:after="0"/>
        <w:rPr>
          <w:rFonts w:eastAsia="微软雅黑"/>
        </w:rPr>
      </w:pPr>
    </w:p>
    <w:p w14:paraId="6C39A466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化学标准化器只在训练化合物上拟合，基因组 scaler/PCA 只使用 BAH、CEK、CGD；BAI、CRD 仅执行冻结转换。DHY210 以 S288C 为代理。映射失败实体使用零特征和有效性 mask，不静默填入结构。</w:t>
      </w:r>
    </w:p>
    <w:p w14:paraId="21B17F82">
      <w:pPr>
        <w:pStyle w:val="5"/>
        <w:keepNext/>
        <w:rPr>
          <w:rFonts w:eastAsia="微软雅黑"/>
        </w:rPr>
      </w:pPr>
      <w:r>
        <w:rPr>
          <w:rFonts w:eastAsia="微软雅黑"/>
        </w:rPr>
        <w:t>损失函数与官方评分模块对齐</w:t>
      </w:r>
    </w:p>
    <w:p w14:paraId="3FFBB86A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基础目标为 mask-aware Huber，以降低极端蛋白对梯度的影响。S1 C、D2 另加入 FC Huber（0.05）、行级 mask-aware Pearson FC loss（0.05）和响应幅度正则（0.01）。FC 仅在 treatment 与 control 共同有效的位置计算，配对覆盖 3,912/4,121 个 Stage B treatment（94.93%）；其余样本只计算绝对 Huber。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1105401A">
        <w:trPr>
          <w:cantSplit/>
          <w:tblHeader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9867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官方评分模块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6ABBA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权重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8925D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适用场景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77C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方案对齐设计</w:t>
            </w:r>
          </w:p>
        </w:tc>
      </w:tr>
      <w:tr w14:paraId="79E5F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F018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绝对保真度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3BD0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20%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37C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全部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79F5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基础状态锚定、Huber、低秩解码、双 seed</w:t>
            </w:r>
          </w:p>
        </w:tc>
      </w:tr>
      <w:tr w14:paraId="7EBCD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B6E8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Matched-control 原始 FC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08D5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25%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1F28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全部 OOD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0ED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显式 Δresponse、FC loss、control/QC 清零</w:t>
            </w:r>
          </w:p>
        </w:tc>
      </w:tr>
      <w:tr w14:paraId="0C57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8B8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上下文均值残差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A75B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20%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8B15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新化合物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F74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D0 保守路由；避免化学负迁移放大</w:t>
            </w:r>
          </w:p>
        </w:tc>
      </w:tr>
      <w:tr w14:paraId="404A4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211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药物均值残差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0BC5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20%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9DA9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新菌株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143F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24 维菌株特征及化学×菌株交互</w:t>
            </w:r>
          </w:p>
        </w:tc>
      </w:tr>
      <w:tr w14:paraId="3418F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87FE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双重未知/时间外推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65F2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10%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5F0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both/time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78F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分场景早停、路由与层级批次回退</w:t>
            </w:r>
          </w:p>
        </w:tc>
      </w:tr>
      <w:tr w14:paraId="34E36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D382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高效应蛋白与 DEP</w:t>
            </w:r>
          </w:p>
        </w:tc>
        <w:tc>
          <w:tcPr>
            <w:tcW w:w="96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4995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5%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8BF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全部</w:t>
            </w:r>
          </w:p>
        </w:tc>
        <w:tc>
          <w:tcPr>
            <w:tcW w:w="425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CB1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响应幅度正则、方向/precision/recall 联合诊断</w:t>
            </w:r>
          </w:p>
        </w:tc>
      </w:tr>
    </w:tbl>
    <w:p w14:paraId="7FCC1706">
      <w:pPr>
        <w:spacing w:after="0"/>
        <w:rPr>
          <w:rFonts w:eastAsia="微软雅黑"/>
        </w:rPr>
      </w:pPr>
    </w:p>
    <w:p w14:paraId="58AFE834">
      <w:pPr>
        <w:spacing w:after="0"/>
        <w:rPr>
          <w:rFonts w:eastAsia="微软雅黑"/>
        </w:rPr>
      </w:pPr>
    </w:p>
    <w:p w14:paraId="4D71B296">
      <w:pPr>
        <w:pStyle w:val="5"/>
        <w:keepNext/>
        <w:rPr>
          <w:rFonts w:eastAsia="微软雅黑"/>
        </w:rPr>
      </w:pPr>
      <w:r>
        <w:rPr>
          <w:rFonts w:eastAsia="微软雅黑"/>
        </w:rPr>
        <w:t>创新设计与消融证据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B38D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198E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创新点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07B7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领域不足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9E26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我们的差异设计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6FD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主要指标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FFDD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消融/反证</w:t>
            </w:r>
          </w:p>
        </w:tc>
      </w:tr>
      <w:tr w14:paraId="65BA2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03431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对照锚定三分支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AAB4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端到端模型易让 batch 吸收药效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38AB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分支输入白名单；control/QC 响应严格为 0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4DE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绝对保真、FC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0E9F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无 batch、分量归因、输入扰动测试</w:t>
            </w:r>
          </w:p>
        </w:tc>
      </w:tr>
      <w:tr w14:paraId="544A8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9E1B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层级批次回退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86AC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flat plate embedding 对新批次不稳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DC84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source→instrument→plate 残差；未知层级逐级清零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D34B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绝对保真、both/time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536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plate/instrument 五折与 OOV 单元测试</w:t>
            </w:r>
          </w:p>
        </w:tc>
      </w:tr>
      <w:tr w14:paraId="1E203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B580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新颖性路由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2A4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同一化学编码对部分新药方向相反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07A0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新药用 D0，已见实体按菌株/批次选择 S1 C/D2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022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context residual、FC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C54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correct/shuffle/zero、逐药方向分析</w:t>
            </w:r>
          </w:p>
        </w:tc>
      </w:tr>
      <w:tr w14:paraId="5B215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C0E4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可复核外部实体管线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BE00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名称、盐型和代理映射易造成假信号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577D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CID/SMILES/InChIKey/证据/置信度/回退全部落盘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FD86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chem/strain OOD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E19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embedding shuffle/zero；映射一致性测试</w:t>
            </w:r>
          </w:p>
        </w:tc>
      </w:tr>
      <w:tr w14:paraId="02C54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371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低秩蛋白响应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8F74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4,422 维直接输出参数多、易过拟合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5D4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rank=16 蛋白基底与响应 RMS 上限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EA66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逐蛋白 R²、高效应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7C10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秩、响应范数与 checkpoint 恢复测试</w:t>
            </w:r>
          </w:p>
        </w:tc>
      </w:tr>
      <w:tr w14:paraId="68671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64A4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双 seed 冻结集成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247B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单 seed 的药物负迁移排序不稳定</w:t>
            </w:r>
          </w:p>
        </w:tc>
        <w:tc>
          <w:tcPr>
            <w:tcW w:w="260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742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两个完整训练种子等权，不搜索权重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AFE4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全部模块</w:t>
            </w:r>
          </w:p>
        </w:tc>
        <w:tc>
          <w:tcPr>
            <w:tcW w:w="215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2D4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单 seed 与双 seed 稳定性复核</w:t>
            </w:r>
          </w:p>
        </w:tc>
      </w:tr>
    </w:tbl>
    <w:p w14:paraId="234A87F5">
      <w:pPr>
        <w:spacing w:after="0"/>
        <w:rPr>
          <w:rFonts w:eastAsia="微软雅黑"/>
        </w:rPr>
      </w:pPr>
    </w:p>
    <w:p w14:paraId="37550D94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各模块边界明确：实体表征只进入生物分支，层级批次只校正测量偏移，新颖性路由控制化学信息的使用范围，双 seed 仅在同专家内平均。</w:t>
      </w:r>
    </w:p>
    <w:p w14:paraId="3FA647CB">
      <w:pPr>
        <w:pStyle w:val="5"/>
        <w:keepNext/>
        <w:rPr>
          <w:rFonts w:eastAsia="微软雅黑"/>
        </w:rPr>
      </w:pPr>
      <w:r>
        <w:rPr>
          <w:rFonts w:eastAsia="微软雅黑"/>
        </w:rPr>
        <w:t>三层稳定性设计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8BA8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B77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510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7829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措施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48E96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失败时回退</w:t>
            </w:r>
          </w:p>
        </w:tc>
      </w:tr>
      <w:tr w14:paraId="39E7F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FB2F4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数据层</w:t>
            </w:r>
          </w:p>
        </w:tc>
        <w:tc>
          <w:tcPr>
            <w:tcW w:w="510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F66A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sample_ID 键对齐；train-only 缺失过滤/标准化；mask-aware；蛋白顺序与哈希合同；测试蛋白访问守卫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859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停止训练并回到冻结数据合同，不修补单个样本</w:t>
            </w:r>
          </w:p>
        </w:tc>
      </w:tr>
      <w:tr w14:paraId="45A85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39F3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模型层</w:t>
            </w:r>
          </w:p>
        </w:tc>
        <w:tc>
          <w:tcPr>
            <w:tcW w:w="510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2937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分支输入隔离；control/QC Δresponse=0；低秩解码；RMS cap；层级批次 OOV 回退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D0C0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化学失效回到 D0；批次未知逐级清零；不启用不稳定外部预训练</w:t>
            </w:r>
          </w:p>
        </w:tc>
      </w:tr>
      <w:tr w14:paraId="05669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A1080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评估层</w:t>
            </w:r>
          </w:p>
        </w:tc>
        <w:tc>
          <w:tcPr>
            <w:tcW w:w="510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BF7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四场景等权早停；技术 tuple 留出；药物分组 CV；correct/shuffle/zero；双 seed；最佳 checkpoint 恢复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BDE1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任一关键门槛失败即停止升级，保留上一候选</w:t>
            </w:r>
          </w:p>
        </w:tc>
      </w:tr>
    </w:tbl>
    <w:p w14:paraId="77DFEC15">
      <w:pPr>
        <w:spacing w:after="0"/>
        <w:rPr>
          <w:rFonts w:eastAsia="微软雅黑"/>
        </w:rPr>
      </w:pPr>
    </w:p>
    <w:p w14:paraId="1E9CD9E2">
      <w:pPr>
        <w:spacing w:after="0"/>
        <w:rPr>
          <w:rFonts w:eastAsia="微软雅黑"/>
        </w:rPr>
      </w:pPr>
    </w:p>
    <w:p w14:paraId="7E5A2394">
      <w:pPr>
        <w:pStyle w:val="5"/>
        <w:keepNext/>
        <w:rPr>
          <w:rFonts w:eastAsia="微软雅黑"/>
        </w:rPr>
      </w:pPr>
      <w:r>
        <w:rPr>
          <w:rFonts w:eastAsia="微软雅黑"/>
        </w:rPr>
        <w:t>主要风险与缓解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34741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D8AD9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AD6A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后果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C706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缓解措施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057E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失败回退</w:t>
            </w:r>
          </w:p>
        </w:tc>
      </w:tr>
      <w:tr w14:paraId="4F07C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ECD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批次分支吸收生物效应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9EEF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公开验证高、内部新批次崩溃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981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技术字段白名单、层级残差正则、plate/instrument 留出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3382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全部 OOV 时 Δbatch=0；保留 D0</w:t>
            </w:r>
          </w:p>
        </w:tc>
      </w:tr>
      <w:tr w14:paraId="02997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7822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化学结构负迁移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1FB6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新药响应方向预测相反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4B6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药物组 CV、shuffle/zero、逐药 cosine/alpha 诊断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E881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新化合物固定路由 D0，不做药名特例</w:t>
            </w:r>
          </w:p>
        </w:tc>
      </w:tr>
      <w:tr w14:paraId="5BC6A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1F8D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Control 配对规则差异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3FCA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训练配对与最终评测口径可能存在差异</w:t>
            </w:r>
          </w:p>
        </w:tc>
        <w:tc>
          <w:tcPr>
            <w:tcW w:w="311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FBD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低权重、只用于 train，并保留逐样本配对清单</w:t>
            </w:r>
          </w:p>
        </w:tc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44CA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按主办方最终映射更新；可退回 Huber-only</w:t>
            </w:r>
          </w:p>
        </w:tc>
      </w:tr>
    </w:tbl>
    <w:p w14:paraId="38AC9567">
      <w:pPr>
        <w:spacing w:after="0"/>
        <w:rPr>
          <w:rFonts w:eastAsia="微软雅黑"/>
        </w:rPr>
      </w:pPr>
    </w:p>
    <w:p w14:paraId="0EEB141D">
      <w:pPr>
        <w:pStyle w:val="4"/>
        <w:keepNext/>
        <w:rPr>
          <w:rFonts w:eastAsia="微软雅黑"/>
        </w:rPr>
      </w:pPr>
      <w:r>
        <w:rPr>
          <w:rFonts w:eastAsia="微软雅黑"/>
        </w:rPr>
        <w:t>3.2 预期方法路线</w:t>
      </w:r>
    </w:p>
    <w:p w14:paraId="3304A946">
      <w:pPr>
        <w:rPr>
          <w:rFonts w:eastAsia="微软雅黑"/>
        </w:rPr>
      </w:pPr>
      <w:r>
        <w:rPr>
          <w:rFonts w:eastAsia="微软雅黑"/>
        </w:rPr>
        <w:drawing>
          <wp:inline distT="0" distB="0" distL="114300" distR="114300">
            <wp:extent cx="6047740" cy="3527425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B929">
      <w:pPr>
        <w:spacing w:before="40" w:after="140"/>
        <w:jc w:val="center"/>
        <w:rPr>
          <w:rFonts w:eastAsia="微软雅黑"/>
        </w:rPr>
      </w:pPr>
      <w:r>
        <w:rPr>
          <w:rFonts w:ascii="Arial" w:hAnsi="Arial" w:eastAsia="微软雅黑"/>
          <w:b w:val="0"/>
          <w:color w:val="5E7180"/>
          <w:sz w:val="17"/>
        </w:rPr>
        <w:t>图 3  研发路线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BC41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79223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AC55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工作内容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A0F1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验证标准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8D9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失败回退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5F1C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当前状态</w:t>
            </w:r>
          </w:p>
        </w:tc>
      </w:tr>
      <w:tr w14:paraId="52E7B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B407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 数据合同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FBF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对齐 sample_ID、冻结 mask/蛋白顺序、复现均值与 Control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168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train-only 统计；提交尺度 log2；泄漏测试通过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1A41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停止模型开发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EA7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完成</w:t>
            </w:r>
          </w:p>
        </w:tc>
      </w:tr>
      <w:tr w14:paraId="45334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803B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1 实体表征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EFE9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PubChem/RDKit、1011 genomes、S288C 代理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34B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全部实体有状态/证据；正确特征可与 shuffle/zero 比较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19E2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显式零特征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FAD8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完成</w:t>
            </w:r>
          </w:p>
        </w:tc>
      </w:tr>
      <w:tr w14:paraId="4FA18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06938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2 架构训练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D98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三分支、低秩解码、两阶段训练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CA35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control Δ=0；最佳 checkpoint 恢复；四场景宏早停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7DA7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上一稳定配置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EC3B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完成</w:t>
            </w:r>
          </w:p>
        </w:tc>
      </w:tr>
      <w:tr w14:paraId="48611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73D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3 消融归因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CC22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化学组分、药物组 CV、批次留出、FC 诊断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4848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不稳定模块不得进入最终候选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D7D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D0/no-FC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15B3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完成</w:t>
            </w:r>
          </w:p>
        </w:tc>
      </w:tr>
      <w:tr w14:paraId="19019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502C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4 路由集成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7127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D0/S1 C/D2 固定路由与双 seed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D31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路由只由 train metadata 冻结；双 seed 优于单 seed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E429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单 seed 最佳候选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6E1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完成</w:t>
            </w:r>
          </w:p>
        </w:tc>
      </w:tr>
      <w:tr w14:paraId="1074B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5DD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5 复现审计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EE4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独立推理、CSV 合同、哈希清单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5AB0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两次预测最大差异 0；无 NA/inf；不读 test truth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303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停止提交并修正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708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完成</w:t>
            </w:r>
          </w:p>
        </w:tc>
      </w:tr>
      <w:tr w14:paraId="417D1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B306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6 后续研究</w:t>
            </w:r>
          </w:p>
        </w:tc>
        <w:tc>
          <w:tcPr>
            <w:tcW w:w="238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D0D6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control 映射、机制表征、独立新批次验证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745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context/drug residual 提升且不牺牲绝对保真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2288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保留当前冻结模型</w:t>
            </w:r>
          </w:p>
        </w:tc>
        <w:tc>
          <w:tcPr>
            <w:tcW w:w="124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F918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计划</w:t>
            </w:r>
          </w:p>
        </w:tc>
      </w:tr>
    </w:tbl>
    <w:p w14:paraId="0C23C97C">
      <w:pPr>
        <w:spacing w:after="0"/>
        <w:rPr>
          <w:rFonts w:eastAsia="微软雅黑"/>
        </w:rPr>
      </w:pPr>
    </w:p>
    <w:p w14:paraId="4F34CAC4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各阶段均设置独立门槛和回退方案，使化学表征、FC 监督或批次泛化失败时仍能保留上一稳定候选。</w:t>
      </w:r>
    </w:p>
    <w:p w14:paraId="0E689AEE">
      <w:pPr>
        <w:pStyle w:val="4"/>
        <w:keepNext/>
        <w:rPr>
          <w:rFonts w:eastAsia="微软雅黑"/>
        </w:rPr>
      </w:pPr>
      <w:r>
        <w:rPr>
          <w:rFonts w:eastAsia="微软雅黑"/>
        </w:rPr>
        <w:t>3.3 数据来源、依赖工具与运行流程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66501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524EC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数据来源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12E34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规模/内容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F473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DB94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状态与边界</w:t>
            </w:r>
          </w:p>
        </w:tc>
      </w:tr>
      <w:tr w14:paraId="6D234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B7CB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比赛 metadata/proteome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4F03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train_val 8,958 行；train 5,920；原始蛋白 5,243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DDB2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训练、四场景公开验证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AED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原始数据不公开分发；统计只用 train</w:t>
            </w:r>
          </w:p>
        </w:tc>
      </w:tr>
      <w:tr w14:paraId="6C124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773F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比赛 test metadata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9B19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4,454 行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9B4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路由和预测样本 ID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952F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仅 metadata；未读取 test proteome</w:t>
            </w:r>
          </w:p>
        </w:tc>
      </w:tr>
      <w:tr w14:paraId="62458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6596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PubChem PUG-REST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9EC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57 个比赛实体的 CID/SMILES/InChIKey/分子式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5CC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化合物身份与结构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5A82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请求响应、日期和 SHA-256 已缓存</w:t>
            </w:r>
          </w:p>
        </w:tc>
      </w:tr>
      <w:tr w14:paraId="6CC7B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9B48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RDKit 2026.03.5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F34E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Morgan 2,048 bit；217 descriptors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1A15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化学特征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1F1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BSD-3-Clause；最终仅 Morgan 进入响应专家</w:t>
            </w:r>
          </w:p>
        </w:tc>
      </w:tr>
      <w:tr w14:paraId="388DC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50B1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Peter et al. 2018 / 1011 genomes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E198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5 个公开菌株映射及群体基因组派生信息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1C6F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24 维菌株特征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AC36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公开数据；映射证据逐菌株记录</w:t>
            </w:r>
          </w:p>
        </w:tc>
      </w:tr>
      <w:tr w14:paraId="11642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E03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SGD/NCBI S288C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6501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GCF_000146045.2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34B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DHY210 代理</w:t>
            </w:r>
          </w:p>
        </w:tc>
        <w:tc>
          <w:tcPr>
            <w:tcW w:w="272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BAF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proxy/low，不声明等价</w:t>
            </w:r>
          </w:p>
        </w:tc>
      </w:tr>
    </w:tbl>
    <w:p w14:paraId="0E2C0047">
      <w:pPr>
        <w:spacing w:after="0"/>
        <w:rPr>
          <w:rFonts w:eastAsia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17C5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860F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依赖</w:t>
            </w:r>
          </w:p>
        </w:tc>
        <w:tc>
          <w:tcPr>
            <w:tcW w:w="36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982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w="357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7446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复现要求</w:t>
            </w:r>
          </w:p>
        </w:tc>
      </w:tr>
      <w:tr w14:paraId="3B986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CAE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Python / pandas / NumPy</w:t>
            </w:r>
          </w:p>
        </w:tc>
        <w:tc>
          <w:tcPr>
            <w:tcW w:w="36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8BD8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数据对齐、mask、工件读写、指标</w:t>
            </w:r>
          </w:p>
        </w:tc>
        <w:tc>
          <w:tcPr>
            <w:tcW w:w="357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B49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固定环境版本与随机种子</w:t>
            </w:r>
          </w:p>
        </w:tc>
      </w:tr>
      <w:tr w14:paraId="1F0D0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4C9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PyTorch / CUDA</w:t>
            </w:r>
          </w:p>
        </w:tc>
        <w:tc>
          <w:tcPr>
            <w:tcW w:w="36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605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模型、训练、checkpoint、推理</w:t>
            </w:r>
          </w:p>
        </w:tc>
        <w:tc>
          <w:tcPr>
            <w:tcW w:w="357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9691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最佳 epoch 恢复与 checkpoint hash</w:t>
            </w:r>
          </w:p>
        </w:tc>
      </w:tr>
      <w:tr w14:paraId="1DC36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8EB22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RDKit</w:t>
            </w:r>
          </w:p>
        </w:tc>
        <w:tc>
          <w:tcPr>
            <w:tcW w:w="36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660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结构解析、Morgan、描述符与 Tanimoto</w:t>
            </w:r>
          </w:p>
        </w:tc>
        <w:tc>
          <w:tcPr>
            <w:tcW w:w="357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D331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冻结 feature_schema 与实体顺序</w:t>
            </w:r>
          </w:p>
        </w:tc>
      </w:tr>
      <w:tr w14:paraId="55270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0D0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scikit-learn</w:t>
            </w:r>
          </w:p>
        </w:tc>
        <w:tc>
          <w:tcPr>
            <w:tcW w:w="36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B717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PCA、标准化及诊断</w:t>
            </w:r>
          </w:p>
        </w:tc>
        <w:tc>
          <w:tcPr>
            <w:tcW w:w="357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597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拟合范围仅限训练实体</w:t>
            </w:r>
          </w:p>
        </w:tc>
      </w:tr>
      <w:tr w14:paraId="4FEEA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9C0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pytest</w:t>
            </w:r>
          </w:p>
        </w:tc>
        <w:tc>
          <w:tcPr>
            <w:tcW w:w="36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C55A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合同、损失、防泄漏、OOV 和复现测试</w:t>
            </w:r>
          </w:p>
        </w:tc>
        <w:tc>
          <w:tcPr>
            <w:tcW w:w="3572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4170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复赛提供统一测试入口</w:t>
            </w:r>
          </w:p>
        </w:tc>
      </w:tr>
    </w:tbl>
    <w:p w14:paraId="36C94C4B">
      <w:pPr>
        <w:spacing w:after="0"/>
        <w:rPr>
          <w:rFonts w:eastAsia="微软雅黑"/>
        </w:rPr>
      </w:pPr>
    </w:p>
    <w:p w14:paraId="22894770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运行流程为：sample_ID 对齐与 train-only 预处理 → 读取冻结实体特征 → Stage A 学习基础状态和批次 → Stage B 学习响应 → 四场景早停与最佳 checkpoint 恢复 → 固定路由和双 seed 集成 → 生成并审计 prediction.csv。</w:t>
      </w:r>
    </w:p>
    <w:p w14:paraId="37954BA1">
      <w:pPr>
        <w:pStyle w:val="3"/>
        <w:keepNext/>
        <w:rPr>
          <w:rFonts w:eastAsia="微软雅黑"/>
        </w:rPr>
      </w:pPr>
      <w:r>
        <w:rPr>
          <w:rFonts w:eastAsia="微软雅黑"/>
        </w:rPr>
        <w:t>四、阶段性实验结果或可行性验证</w:t>
      </w:r>
    </w:p>
    <w:p w14:paraId="2DF9A62F">
      <w:pPr>
        <w:pStyle w:val="4"/>
        <w:keepNext/>
        <w:rPr>
          <w:rFonts w:eastAsia="微软雅黑"/>
        </w:rPr>
      </w:pPr>
      <w:r>
        <w:rPr>
          <w:rFonts w:eastAsia="微软雅黑"/>
        </w:rPr>
        <w:t>4.1 阶段性实验或可行性验证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FF30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BC6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可行性维度</w:t>
            </w:r>
          </w:p>
        </w:tc>
        <w:tc>
          <w:tcPr>
            <w:tcW w:w="58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CD8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已经完成的证据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99FE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 w14:paraId="3296B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E9E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数据</w:t>
            </w:r>
          </w:p>
        </w:tc>
        <w:tc>
          <w:tcPr>
            <w:tcW w:w="58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202E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5,920 个 train；sample_ID 唯一对齐；4,422 蛋白顺序与哈希冻结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E3F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高维缺失数据可稳定进入训练</w:t>
            </w:r>
          </w:p>
        </w:tc>
      </w:tr>
      <w:tr w14:paraId="38329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554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技术</w:t>
            </w:r>
          </w:p>
        </w:tc>
        <w:tc>
          <w:tcPr>
            <w:tcW w:w="58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EC3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三分支输入隔离、control/QC Δresponse=0、层级 OOV 回退均有自动测试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041D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模型语义可核查</w:t>
            </w:r>
          </w:p>
        </w:tc>
      </w:tr>
      <w:tr w14:paraId="44E35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3517B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计算</w:t>
            </w:r>
          </w:p>
        </w:tc>
        <w:tc>
          <w:tcPr>
            <w:tcW w:w="58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EAE4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RTX 5060 Laptop GPU 完成多轮正式训练；无 OOM/NaN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4FF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资源满足当前低秩模型</w:t>
            </w:r>
          </w:p>
        </w:tc>
      </w:tr>
      <w:tr w14:paraId="2205F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099B0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评估</w:t>
            </w:r>
          </w:p>
        </w:tc>
        <w:tc>
          <w:tcPr>
            <w:tcW w:w="58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D65C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四场景、技术 tuple 留出、药物组 CV、correct/shuffle/zero、双 seed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FF0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能够区分记忆、迁移和批次依赖</w:t>
            </w:r>
          </w:p>
        </w:tc>
      </w:tr>
      <w:tr w14:paraId="547C0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14CCE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复现</w:t>
            </w:r>
          </w:p>
        </w:tc>
        <w:tc>
          <w:tcPr>
            <w:tcW w:w="583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6A4F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模型与推理测试 121 项、回归测试 6 项；两次独立推理差异 0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960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候选可重复生成</w:t>
            </w:r>
          </w:p>
        </w:tc>
      </w:tr>
    </w:tbl>
    <w:p w14:paraId="2E301232">
      <w:pPr>
        <w:spacing w:after="0"/>
        <w:rPr>
          <w:rFonts w:eastAsia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832F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AC57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端到端检查点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E56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3A1D5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</w:tr>
      <w:tr w14:paraId="2815E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03B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预处理输出维度与蛋白保留数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E85E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5,243 → 4,422；顺序唯一并有 SHA-256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435A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  <w:tr w14:paraId="5ED8E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DB35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mask 与原始 NA 分布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D710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训练/验证仅在有效位置计算；空 mask 行安全处理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F74A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  <w:tr w14:paraId="5526E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8984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最佳 checkpoint 恢复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BE96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模型、优化器、早停状态、配置、seed 与 manifest hash 一并恢复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ABA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  <w:tr w14:paraId="6E01C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F324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分支恒等式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B99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ŷ = ŷbaseline + Δresponse + Δbatch；control/QC response=0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89C3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  <w:tr w14:paraId="673D2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A8B8E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测试预测合同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D63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4,454 × 4,423；无 NA/inf；log2；sample_ID 完整唯一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555C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  <w:tr w14:paraId="79BBD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5F8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独立推理确定性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BEAA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两次 float32 推理最大差异 0.0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345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  <w:tr w14:paraId="0EFB8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3AE1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测试真值访问</w:t>
            </w:r>
          </w:p>
        </w:tc>
        <w:tc>
          <w:tcPr>
            <w:tcW w:w="5556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F94E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test_proteome_opened=false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425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PASS</w:t>
            </w:r>
          </w:p>
        </w:tc>
      </w:tr>
    </w:tbl>
    <w:p w14:paraId="1EBBC3A4">
      <w:pPr>
        <w:spacing w:after="0"/>
        <w:rPr>
          <w:rFonts w:eastAsia="微软雅黑"/>
        </w:rPr>
      </w:pPr>
    </w:p>
    <w:p w14:paraId="427C67D4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最终 prediction.csv 已生成，SHA-256 为 9739f087788bfd37f57750564c9d351bbf37bd867ab7e87820294eec52c8dbe9，可用于复现一致性核验。</w:t>
      </w:r>
    </w:p>
    <w:p w14:paraId="36F6CE00">
      <w:pPr>
        <w:pStyle w:val="4"/>
        <w:keepNext/>
        <w:rPr>
          <w:rFonts w:eastAsia="微软雅黑"/>
        </w:rPr>
      </w:pPr>
      <w:r>
        <w:rPr>
          <w:rFonts w:eastAsia="微软雅黑"/>
        </w:rPr>
        <w:t>4.2 当前结果</w:t>
      </w:r>
    </w:p>
    <w:p w14:paraId="497B4E5F">
      <w:pPr>
        <w:pStyle w:val="5"/>
        <w:keepNext/>
        <w:rPr>
          <w:rFonts w:eastAsia="微软雅黑"/>
        </w:rPr>
      </w:pPr>
      <w:r>
        <w:rPr>
          <w:rFonts w:eastAsia="微软雅黑"/>
        </w:rPr>
        <w:t>官方发布的基线诊断结果（我们复现对标的基准）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646"/>
        <w:gridCol w:w="1646"/>
        <w:gridCol w:w="1646"/>
        <w:gridCol w:w="1646"/>
        <w:gridCol w:w="1646"/>
      </w:tblGrid>
      <w:tr w14:paraId="68765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F1BA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2C35A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基线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A297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样本数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0CD3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log2 RMSE↓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4A7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Global R²↑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BC0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蛋白 R²中位数↑</w:t>
            </w:r>
          </w:p>
        </w:tc>
      </w:tr>
      <w:tr w14:paraId="05CDE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4F61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双重未知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F06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蛋白均值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1C98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266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110D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0.994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6581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0.871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EE2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-0.064</w:t>
            </w:r>
          </w:p>
        </w:tc>
      </w:tr>
      <w:tr w14:paraId="7E66F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7A1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双重未知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1B67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Matched Control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60B3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266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CF68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0.382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4F06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0.980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C25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0.809</w:t>
            </w:r>
          </w:p>
        </w:tc>
      </w:tr>
      <w:tr w14:paraId="60774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45C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新化合物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85A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蛋白均值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5A5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1,015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EEAA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1.004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E012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0.868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F4D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-0.038</w:t>
            </w:r>
          </w:p>
        </w:tc>
      </w:tr>
      <w:tr w14:paraId="3FDEB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CD8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新化合物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882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Matched Control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0153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1,015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9CB3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0.379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7725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0.980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4E0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0.836</w:t>
            </w:r>
          </w:p>
        </w:tc>
      </w:tr>
      <w:tr w14:paraId="11D02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CBAD2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新菌株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8EE4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蛋白均值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F38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1,293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E84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0.875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43CF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0.897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214B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-0.036</w:t>
            </w:r>
          </w:p>
        </w:tc>
      </w:tr>
      <w:tr w14:paraId="2713D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48EC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新菌株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0804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Matched Control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6A5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1,293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8C0E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0.399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D3A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0.978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8A7F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0.726</w:t>
            </w:r>
          </w:p>
        </w:tc>
      </w:tr>
      <w:tr w14:paraId="482A5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DBEF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时间验证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EC91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蛋白均值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69CE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128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A34D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0.869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E85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0.900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050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-0.009</w:t>
            </w:r>
          </w:p>
        </w:tc>
      </w:tr>
      <w:tr w14:paraId="423EB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1847B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时间验证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7CDD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Matched Control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C36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128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00A5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0.426</w:t>
            </w:r>
          </w:p>
        </w:tc>
        <w:tc>
          <w:tcPr>
            <w:tcW w:w="153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F20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0.975</w:t>
            </w:r>
          </w:p>
        </w:tc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83FC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0.719</w:t>
            </w:r>
          </w:p>
        </w:tc>
      </w:tr>
    </w:tbl>
    <w:p w14:paraId="76C5750B">
      <w:pPr>
        <w:spacing w:after="0"/>
        <w:rPr>
          <w:rFonts w:eastAsia="微软雅黑"/>
        </w:rPr>
      </w:pPr>
    </w:p>
    <w:p w14:paraId="4A20FD9E">
      <w:pPr>
        <w:keepNext w:val="0"/>
        <w:spacing w:before="0" w:after="120" w:line="324" w:lineRule="auto"/>
        <w:jc w:val="both"/>
        <w:rPr>
          <w:rFonts w:ascii="Arial" w:hAnsi="Arial" w:eastAsia="微软雅黑"/>
          <w:b w:val="0"/>
          <w:color w:val="24323B"/>
          <w:sz w:val="20"/>
        </w:rPr>
      </w:pPr>
      <w:r>
        <w:rPr>
          <w:rFonts w:ascii="Arial" w:hAnsi="Arial" w:eastAsia="微软雅黑"/>
          <w:b w:val="0"/>
          <w:color w:val="24323B"/>
          <w:sz w:val="20"/>
        </w:rPr>
        <w:t>基线只在存在 exact matched control 且处理与对照真值均有效的子集上计算，因此样本数小于完整验证集。蛋白均值虽有较高 Global R²，但逐蛋白 R² 为负；Matched Control 则说明绝对状态易由对照保留，模型仍需准确预测非零 Δ。</w:t>
      </w:r>
    </w:p>
    <w:p w14:paraId="0F12521C">
      <w:pPr>
        <w:keepNext w:val="0"/>
        <w:spacing w:before="0" w:after="120" w:line="324" w:lineRule="auto"/>
        <w:jc w:val="both"/>
        <w:rPr>
          <w:rFonts w:ascii="Arial" w:hAnsi="Arial" w:eastAsia="微软雅黑"/>
          <w:b w:val="0"/>
          <w:color w:val="24323B"/>
          <w:sz w:val="20"/>
        </w:rPr>
      </w:pPr>
    </w:p>
    <w:p w14:paraId="1347BEA1">
      <w:pPr>
        <w:pStyle w:val="5"/>
        <w:keepNext/>
        <w:rPr>
          <w:rFonts w:eastAsia="微软雅黑"/>
        </w:rPr>
      </w:pPr>
      <w:r>
        <w:rPr>
          <w:rFonts w:eastAsia="微软雅黑"/>
        </w:rPr>
        <w:t>模型的公开验证结果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14:paraId="75DBB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3BD5F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926FB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样本数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37253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RMSE↓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8EF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MAE↓</w:t>
            </w:r>
          </w:p>
        </w:tc>
        <w:tc>
          <w:tcPr>
            <w:tcW w:w="13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451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Global R²↑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546D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样本 PCC 中位数↑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4745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蛋白 R²中位数↑</w:t>
            </w:r>
          </w:p>
        </w:tc>
      </w:tr>
      <w:tr w14:paraId="5CFA4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299AF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val_chem_only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8576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981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D305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0.5492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D343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0.3861</w:t>
            </w:r>
          </w:p>
        </w:tc>
        <w:tc>
          <w:tcPr>
            <w:tcW w:w="13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204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0.9594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080C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0.9829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B767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0.6671</w:t>
            </w:r>
          </w:p>
        </w:tc>
      </w:tr>
      <w:tr w14:paraId="2367F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D84E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val_strain_only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4208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1,313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E8C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0.7181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151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0.4937</w:t>
            </w:r>
          </w:p>
        </w:tc>
        <w:tc>
          <w:tcPr>
            <w:tcW w:w="13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704C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0.9291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EBF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0.9657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19E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0.4077</w:t>
            </w:r>
          </w:p>
        </w:tc>
      </w:tr>
      <w:tr w14:paraId="5CD2C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5C854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val_both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7BE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266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BCB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0.7894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23F1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0.5483</w:t>
            </w:r>
          </w:p>
        </w:tc>
        <w:tc>
          <w:tcPr>
            <w:tcW w:w="13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58E8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0.9160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9BF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0.9623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FC2E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0.4603</w:t>
            </w:r>
          </w:p>
        </w:tc>
      </w:tr>
      <w:tr w14:paraId="18023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13B80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val_time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9B1B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134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8F05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0.4993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DD9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0.3456</w:t>
            </w:r>
          </w:p>
        </w:tc>
        <w:tc>
          <w:tcPr>
            <w:tcW w:w="13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337B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0.9662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72AE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0.9859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F80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0.6355</w:t>
            </w:r>
          </w:p>
        </w:tc>
      </w:tr>
      <w:tr w14:paraId="61F71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2BEC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四场景等权平均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00FB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B5B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0.6390</w:t>
            </w:r>
          </w:p>
        </w:tc>
        <w:tc>
          <w:tcPr>
            <w:tcW w:w="119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BD7D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0.4434</w:t>
            </w:r>
          </w:p>
        </w:tc>
        <w:tc>
          <w:tcPr>
            <w:tcW w:w="136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19A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0.9426</w:t>
            </w:r>
          </w:p>
        </w:tc>
        <w:tc>
          <w:tcPr>
            <w:tcW w:w="192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CFB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0.9742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FF9E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0.5427</w:t>
            </w:r>
          </w:p>
        </w:tc>
      </w:tr>
    </w:tbl>
    <w:p w14:paraId="2794ACDE">
      <w:pPr>
        <w:spacing w:after="0"/>
        <w:rPr>
          <w:rFonts w:eastAsia="微软雅黑"/>
        </w:rPr>
      </w:pPr>
    </w:p>
    <w:p w14:paraId="70734FD2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时间外推误差最低，双重未知最难：val_both 的 RMSE 为 0.7894，raw-FC PCC 为 0.2165。样本 PCC 接近 1 主要反映整体丰度形状，不能替代 FC 与残差指标。</w:t>
      </w:r>
    </w:p>
    <w:p w14:paraId="7B7782FD">
      <w:pPr>
        <w:pStyle w:val="5"/>
        <w:keepNext/>
        <w:rPr>
          <w:rFonts w:eastAsia="微软雅黑"/>
        </w:rPr>
      </w:pPr>
      <w:r>
        <w:rPr>
          <w:rFonts w:eastAsia="微软雅黑"/>
        </w:rPr>
        <w:t>与官方评分模块相关的诊断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646"/>
        <w:gridCol w:w="1646"/>
        <w:gridCol w:w="1646"/>
        <w:gridCol w:w="1646"/>
        <w:gridCol w:w="1646"/>
      </w:tblGrid>
      <w:tr w14:paraId="4A5A1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E019D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诊断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179D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chem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41104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strain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7BC4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both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755C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time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69163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含义</w:t>
            </w:r>
          </w:p>
        </w:tc>
      </w:tr>
      <w:tr w14:paraId="7E5B4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D3FE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样本 PCC 中位数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EE0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0.9829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4EDC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0.9657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4109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0.9623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071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0.9859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C889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整体蛋白谱形状</w:t>
            </w:r>
          </w:p>
        </w:tc>
      </w:tr>
      <w:tr w14:paraId="756BE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E2F2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global raw-FC PCC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7AA9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0.3268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EB8C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0.2664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585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0.2165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E86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0.4082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0F6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相对 control 的变化</w:t>
            </w:r>
          </w:p>
        </w:tc>
      </w:tr>
      <w:tr w14:paraId="003F4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DBF0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context residual PCC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B43DA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0.2152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068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5FF3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F4E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3298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新药特异响应</w:t>
            </w:r>
          </w:p>
        </w:tc>
      </w:tr>
      <w:tr w14:paraId="7F4BA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6760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drug residual PCC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57DC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B6F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0.2857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EAC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78E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—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13C7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新菌株背景调制</w:t>
            </w:r>
          </w:p>
        </w:tc>
      </w:tr>
      <w:tr w14:paraId="5CE95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D94E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高效应方向准确率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B947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0.8112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DFE6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0.7979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89E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0.7681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5354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0.8358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F2D7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|Δtrue|&gt;1 的方向</w:t>
            </w:r>
          </w:p>
        </w:tc>
      </w:tr>
      <w:tr w14:paraId="2A7F8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1E05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蛋白 R²中位数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37B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0.6671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3804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0.4077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473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0.4603</w:t>
            </w:r>
          </w:p>
        </w:tc>
        <w:tc>
          <w:tcPr>
            <w:tcW w:w="113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1F4F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0.6355</w:t>
            </w:r>
          </w:p>
        </w:tc>
        <w:tc>
          <w:tcPr>
            <w:tcW w:w="300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120D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跨样本蛋白可预测性</w:t>
            </w:r>
          </w:p>
        </w:tc>
      </w:tr>
    </w:tbl>
    <w:p w14:paraId="715F4B8E">
      <w:pPr>
        <w:spacing w:after="0"/>
        <w:rPr>
          <w:rFonts w:eastAsia="微软雅黑"/>
        </w:rPr>
      </w:pPr>
    </w:p>
    <w:p w14:paraId="53450260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四场景平均 raw-FC PCC 为 0.3045，高效应方向准确率为 0.8033。context residual PCC 为 0.2152、drug residual PCC 为 0.2857，说明模型能识别部分响应方向，但新药特异机制仍是主要瓶颈。各指标均按冻结的 control 配对和共同有效位置计算。</w:t>
      </w:r>
    </w:p>
    <w:p w14:paraId="1C11B06E">
      <w:pPr>
        <w:pStyle w:val="5"/>
        <w:keepNext/>
        <w:rPr>
          <w:rFonts w:eastAsia="微软雅黑"/>
        </w:rPr>
      </w:pPr>
      <w:r>
        <w:rPr>
          <w:rFonts w:eastAsia="微软雅黑"/>
        </w:rPr>
        <w:t>训练侧组留出与批次归因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AD48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D118A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模型（seed1）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C0252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957 留出 RMSE↓</w:t>
            </w:r>
          </w:p>
        </w:tc>
        <w:tc>
          <w:tcPr>
            <w:tcW w:w="141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A727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MAE↓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7BDA3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raw-FC PCC↑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F11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FC RMSE↓</w:t>
            </w:r>
          </w:p>
        </w:tc>
      </w:tr>
      <w:tr w14:paraId="42250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1501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D0：无化学数值特征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271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0.5785</w:t>
            </w:r>
          </w:p>
        </w:tc>
        <w:tc>
          <w:tcPr>
            <w:tcW w:w="141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DC45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0.4025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82C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0.3246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16D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0.5567</w:t>
            </w:r>
          </w:p>
        </w:tc>
      </w:tr>
      <w:tr w14:paraId="29E00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A1F4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D1：Morgan + Huber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F5E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0.5295</w:t>
            </w:r>
          </w:p>
        </w:tc>
        <w:tc>
          <w:tcPr>
            <w:tcW w:w="141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750D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0.3636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D8FE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0.3857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1192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0.5077</w:t>
            </w:r>
          </w:p>
        </w:tc>
      </w:tr>
      <w:tr w14:paraId="0A63B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7DA6E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D2：Morgan + FC 监督</w:t>
            </w:r>
          </w:p>
        </w:tc>
        <w:tc>
          <w:tcPr>
            <w:tcW w:w="170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9394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0.5274</w:t>
            </w:r>
          </w:p>
        </w:tc>
        <w:tc>
          <w:tcPr>
            <w:tcW w:w="141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9806D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0.3619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AA28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0.4019</w:t>
            </w:r>
          </w:p>
        </w:tc>
        <w:tc>
          <w:tcPr>
            <w:tcW w:w="1587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44BE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0.5033</w:t>
            </w:r>
          </w:p>
        </w:tc>
      </w:tr>
    </w:tbl>
    <w:p w14:paraId="31CDEBFB">
      <w:pPr>
        <w:spacing w:after="0"/>
        <w:rPr>
          <w:rFonts w:eastAsia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3E676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4EC7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批次验证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E854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hierarchical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7D110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flat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EFAE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no-batch</w:t>
            </w:r>
          </w:p>
        </w:tc>
      </w:tr>
      <w:tr w14:paraId="056A1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1454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Plate 五折平均 RMSE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B9BD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0.6609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EC0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0.7276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416E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0.9198</w:t>
            </w:r>
          </w:p>
        </w:tc>
      </w:tr>
      <w:tr w14:paraId="0FCEC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46B78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Instrument 五折平均 RMSE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AB3F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0.8011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8C3A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0.8709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DAC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—</w:t>
            </w:r>
          </w:p>
        </w:tc>
      </w:tr>
      <w:tr w14:paraId="5CE50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20A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205 个 validation control RMSE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5E97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0.7666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EC42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0.7948</w:t>
            </w:r>
          </w:p>
        </w:tc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85AF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1.0295</w:t>
            </w:r>
          </w:p>
        </w:tc>
      </w:tr>
    </w:tbl>
    <w:p w14:paraId="1EBACC6F">
      <w:pPr>
        <w:spacing w:after="0"/>
        <w:rPr>
          <w:rFonts w:eastAsia="微软雅黑"/>
        </w:rPr>
      </w:pPr>
    </w:p>
    <w:p w14:paraId="0DEC8B28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Morgan 和 FC 监督改善了训练侧技术组留出，但未证明新药泛化；层级 batch 在 plate、instrument 留出上均优于 flat/no-batch。由于公开 validation/test 的技术 tuple 均在 train 出现，新技术批次仍需独立验证。</w:t>
      </w:r>
    </w:p>
    <w:p w14:paraId="56FC56C7">
      <w:pPr>
        <w:pStyle w:val="5"/>
        <w:keepNext/>
        <w:rPr>
          <w:rFonts w:eastAsia="微软雅黑"/>
        </w:rPr>
      </w:pPr>
      <w:r>
        <w:rPr>
          <w:rFonts w:eastAsia="微软雅黑"/>
        </w:rPr>
        <w:t>失败实验、优势与尚未解决的问题</w:t>
      </w:r>
    </w:p>
    <w:p w14:paraId="01A055CC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化学消融显示，结构特征对部分药物有效，但少数严重负迁移会抵消多数小幅收益：两 seed 药物留一 CV 的 Morgan gain 均值为 -0.0275、中位数为 +0.0107。NetwoRx 结构到酵母功能的预训练在未见药物上发生极端外推，因此未进入最终模型。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128"/>
      </w:tblGrid>
      <w:tr w14:paraId="48A2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9" w:type="dxa"/>
            <w:tcBorders>
              <w:top w:val="single" w:color="EAF1F5" w:sz="0" w:space="0"/>
              <w:left w:val="single" w:color="EAF1F5" w:sz="0" w:space="0"/>
              <w:bottom w:val="single" w:color="EAF1F5" w:sz="0" w:space="0"/>
              <w:right w:val="single" w:color="EAF1F5" w:sz="0" w:space="0"/>
              <w:insideH w:val="single" w:sz="0" w:space="0"/>
              <w:insideV w:val="single" w:sz="0" w:space="0"/>
            </w:tcBorders>
            <w:shd w:val="clear" w:color="auto" w:fill="2748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D6382">
            <w:pPr>
              <w:rPr>
                <w:rFonts w:eastAsia="微软雅黑"/>
              </w:rPr>
            </w:pPr>
          </w:p>
        </w:tc>
        <w:tc>
          <w:tcPr>
            <w:tcW w:w="4939" w:type="dxa"/>
            <w:tcBorders>
              <w:top w:val="single" w:color="EAF1F5" w:sz="0" w:space="0"/>
              <w:left w:val="single" w:color="EAF1F5" w:sz="0" w:space="0"/>
              <w:bottom w:val="single" w:color="EAF1F5" w:sz="0" w:space="0"/>
              <w:right w:val="single" w:color="EAF1F5" w:sz="0" w:space="0"/>
              <w:insideH w:val="single" w:sz="0" w:space="0"/>
              <w:insideV w:val="single" w:sz="0" w:space="0"/>
            </w:tcBorders>
            <w:shd w:val="clear" w:color="auto" w:fill="EAF1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89CA2">
            <w:pPr>
              <w:spacing w:after="60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27485D"/>
                <w:sz w:val="20"/>
              </w:rPr>
              <w:t>已验证的优势</w:t>
            </w:r>
          </w:p>
          <w:p w14:paraId="22349F8F">
            <w:pPr>
              <w:spacing w:after="0" w:line="312" w:lineRule="auto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8"/>
              </w:rPr>
              <w:t>数据边界严格；分支语义可测试；层级批次优于 flat/no-batch；固定路由限制化学负迁移；双 seed 降低初始化波动；配置、特征、checkpoint 和哈希可复现。</w:t>
            </w:r>
          </w:p>
        </w:tc>
      </w:tr>
    </w:tbl>
    <w:p w14:paraId="0361A39F">
      <w:pPr>
        <w:spacing w:after="0"/>
        <w:rPr>
          <w:rFonts w:eastAsia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128"/>
      </w:tblGrid>
      <w:tr w14:paraId="22475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39" w:type="dxa"/>
            <w:tcBorders>
              <w:top w:val="single" w:color="F1F5F7" w:sz="0" w:space="0"/>
              <w:left w:val="single" w:color="F1F5F7" w:sz="0" w:space="0"/>
              <w:bottom w:val="single" w:color="F1F5F7" w:sz="0" w:space="0"/>
              <w:right w:val="single" w:color="F1F5F7" w:sz="0" w:space="0"/>
              <w:insideH w:val="single" w:sz="0" w:space="0"/>
              <w:insideV w:val="single" w:sz="0" w:space="0"/>
            </w:tcBorders>
            <w:shd w:val="clear" w:color="auto" w:fill="789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C8A08">
            <w:pPr>
              <w:rPr>
                <w:rFonts w:eastAsia="微软雅黑"/>
              </w:rPr>
            </w:pPr>
          </w:p>
        </w:tc>
        <w:tc>
          <w:tcPr>
            <w:tcW w:w="4939" w:type="dxa"/>
            <w:tcBorders>
              <w:top w:val="single" w:color="F1F5F7" w:sz="0" w:space="0"/>
              <w:left w:val="single" w:color="F1F5F7" w:sz="0" w:space="0"/>
              <w:bottom w:val="single" w:color="F1F5F7" w:sz="0" w:space="0"/>
              <w:right w:val="single" w:color="F1F5F7" w:sz="0" w:space="0"/>
              <w:insideH w:val="single" w:sz="0" w:space="0"/>
              <w:insideV w:val="single" w:sz="0" w:space="0"/>
            </w:tcBorders>
            <w:shd w:val="clear" w:color="auto" w:fill="F1F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F33F1">
            <w:pPr>
              <w:spacing w:after="60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27485D"/>
                <w:sz w:val="20"/>
              </w:rPr>
              <w:t>主要局限</w:t>
            </w:r>
          </w:p>
          <w:p w14:paraId="6F83398D">
            <w:pPr>
              <w:spacing w:after="0" w:line="312" w:lineRule="auto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8"/>
              </w:rPr>
              <w:t>Matched Control 的平均 RMSE 0.4027，仍优于模型的 0.6390；context residual PCC 仅 0.2152；val_both 最弱；新批次证据有限；DHY210 使用 S288C 代理；高效应方向准确率较高但 precision 偏低。</w:t>
            </w:r>
          </w:p>
        </w:tc>
      </w:tr>
    </w:tbl>
    <w:p w14:paraId="1A78DDC3">
      <w:pPr>
        <w:spacing w:after="0"/>
        <w:rPr>
          <w:rFonts w:eastAsia="微软雅黑"/>
        </w:rPr>
      </w:pPr>
    </w:p>
    <w:p w14:paraId="0BD0D53A">
      <w:pPr>
        <w:pStyle w:val="3"/>
        <w:keepNext/>
        <w:rPr>
          <w:rFonts w:eastAsia="微软雅黑"/>
        </w:rPr>
      </w:pPr>
      <w:r>
        <w:rPr>
          <w:rFonts w:eastAsia="微软雅黑"/>
        </w:rPr>
        <w:t>五、复现与开放计划</w:t>
      </w:r>
    </w:p>
    <w:p w14:paraId="1F19529B">
      <w:pPr>
        <w:pStyle w:val="4"/>
        <w:keepNext/>
        <w:rPr>
          <w:rFonts w:eastAsia="微软雅黑"/>
        </w:rPr>
      </w:pPr>
      <w:r>
        <w:rPr>
          <w:rFonts w:eastAsia="微软雅黑"/>
        </w:rPr>
        <w:t>5.1 复现方式</w:t>
      </w:r>
    </w:p>
    <w:p w14:paraId="76589384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复现包按“配置—特征—checkpoint—推理—审计”组织。每次训练记录 seed、样本范围、损失、最佳 epoch 和工件哈希；推理只读取 metadata、冻结特征与六个 checkpoint。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F264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987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复现要素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B95D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冻结内容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7FDD8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核验方式</w:t>
            </w:r>
          </w:p>
        </w:tc>
      </w:tr>
      <w:tr w14:paraId="4497B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B7ADA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数据合同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209C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sample_ID、4,422 蛋白顺序、mask、train 统计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FF03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JSON schema + hash + 自动测试</w:t>
            </w:r>
          </w:p>
        </w:tc>
      </w:tr>
      <w:tr w14:paraId="74582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C3DE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外部化学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A0BE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mapping、manual review、feature schema、Morgan、manifest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AE1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离线重建、缓存 hash、correct/shuffle/zero</w:t>
            </w:r>
          </w:p>
        </w:tc>
      </w:tr>
      <w:tr w14:paraId="1A019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DB4E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外部基因组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BCE68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strain mapping、24 维特征、valid mask、fit strains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34B3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逐菌株证据、代理/unknown 断言</w:t>
            </w:r>
          </w:p>
        </w:tc>
      </w:tr>
      <w:tr w14:paraId="0953D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7183C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模型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4CC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D0/S1 C/D2 × 两 seeds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0BCB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checkpoint/config/source hash 一致</w:t>
            </w:r>
          </w:p>
        </w:tc>
      </w:tr>
      <w:tr w14:paraId="2DC8E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C3F09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推理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CD00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固定路由、0.5/0.5 集成、log2 输出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49F9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两次独立推理最大差异 0</w:t>
            </w:r>
          </w:p>
        </w:tc>
      </w:tr>
      <w:tr w14:paraId="2347D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A4C57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提交</w:t>
            </w:r>
          </w:p>
        </w:tc>
        <w:tc>
          <w:tcPr>
            <w:tcW w:w="4819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AFEFB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4,454×4,423 CSV</w:t>
            </w:r>
          </w:p>
        </w:tc>
        <w:tc>
          <w:tcPr>
            <w:tcW w:w="283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9C53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7"/>
              </w:rPr>
              <w:t>20 项合同 assert；无 NA/inf</w:t>
            </w:r>
          </w:p>
        </w:tc>
      </w:tr>
    </w:tbl>
    <w:p w14:paraId="752A74EB">
      <w:pPr>
        <w:spacing w:after="0"/>
        <w:rPr>
          <w:rFonts w:eastAsia="微软雅黑"/>
        </w:rPr>
      </w:pPr>
    </w:p>
    <w:p w14:paraId="62D118CA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复赛阶段将提供 README、环境锁定文件、单命令训练/推理入口和验收清单。比赛原始数据不进入仓库；大体积工件通过清单、校验值和下载说明管理。</w:t>
      </w:r>
    </w:p>
    <w:p w14:paraId="734181CA">
      <w:pPr>
        <w:pStyle w:val="4"/>
        <w:keepNext/>
        <w:rPr>
          <w:rFonts w:eastAsia="微软雅黑"/>
        </w:rPr>
      </w:pPr>
      <w:r>
        <w:rPr>
          <w:rFonts w:eastAsia="微软雅黑"/>
        </w:rPr>
        <w:t>5.2 开源计划</w:t>
      </w:r>
    </w:p>
    <w:p w14:paraId="55255CDE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初赛公开方案、接口合同、模型卡和数据处理说明。</w:t>
      </w:r>
    </w:p>
    <w:p w14:paraId="24B3EC65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复赛公开训练/推理代码、配置、自动测试和外部特征重建脚本；checkpoint 按许可提供。</w:t>
      </w:r>
    </w:p>
    <w:p w14:paraId="78CAC651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不上传比赛原始数据，不分发许可不明确的派生矩阵。</w:t>
      </w:r>
    </w:p>
    <w:p w14:paraId="5F551723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可复用模块包括实体映射、mask-aware 损失、层级批次回退、路由审计和提交合同测试。</w:t>
      </w:r>
    </w:p>
    <w:p w14:paraId="7DF7C031">
      <w:pPr>
        <w:pStyle w:val="4"/>
        <w:keepNext/>
        <w:rPr>
          <w:rFonts w:eastAsia="微软雅黑"/>
        </w:rPr>
      </w:pPr>
      <w:r>
        <w:rPr>
          <w:rFonts w:eastAsia="微软雅黑"/>
        </w:rPr>
        <w:t>5.3 依赖、数据来源与合规披露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672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21E7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46D1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使用范围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F0FB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许可/状态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2748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EEB6">
            <w:pPr>
              <w:spacing w:after="0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关键披露</w:t>
            </w:r>
          </w:p>
        </w:tc>
      </w:tr>
      <w:tr w14:paraId="0C49C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93403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比赛数据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A54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训练与公开验证；test metadata 推理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CFB9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仅限赛事授权范围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FC75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不上传、不作赛外用途；test proteome 未读取</w:t>
            </w:r>
          </w:p>
        </w:tc>
      </w:tr>
      <w:tr w14:paraId="123C1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412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PubChem PUG-REST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B03CF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CID/SMILES/InChIKey/分子式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FEB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公共数据库；访问 2026-08-13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C3D66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保留 URL、响应和 SHA-256</w:t>
            </w:r>
          </w:p>
        </w:tc>
      </w:tr>
      <w:tr w14:paraId="31026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95E0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RDKit 2026.03.5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D0D7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Morgan/描述符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0B7D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BSD-3-Clause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88D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特征顺序与 scaler 冻结</w:t>
            </w:r>
          </w:p>
        </w:tc>
      </w:tr>
      <w:tr w14:paraId="3E8F8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D13BF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Peter et al. 2018 / 1011 genomes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8745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五个公开菌株派生特征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A54E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公开研究数据；来源可追溯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E00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BAI/CRD 映射单独举证</w:t>
            </w:r>
          </w:p>
        </w:tc>
      </w:tr>
      <w:tr w14:paraId="7ADCD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2C8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SGD/NCBI S288C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5D64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DHY210 代理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A3B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公开参考基因组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D052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mapping_type=proxy，不宣称等价</w:t>
            </w:r>
          </w:p>
        </w:tc>
      </w:tr>
      <w:tr w14:paraId="09A12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D531D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商业 API / 闭源模型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BDD50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最终模型未使用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3921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不适用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FADB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外部特征均可由公开工具离线重建</w:t>
            </w:r>
          </w:p>
        </w:tc>
      </w:tr>
      <w:tr w14:paraId="2E4FC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351D6">
            <w:pPr>
              <w:spacing w:after="0" w:line="276" w:lineRule="auto"/>
              <w:jc w:val="left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研究性外部功能数据</w:t>
            </w:r>
          </w:p>
        </w:tc>
        <w:tc>
          <w:tcPr>
            <w:tcW w:w="2665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3832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仅覆盖/失败诊断</w:t>
            </w:r>
          </w:p>
        </w:tc>
        <w:tc>
          <w:tcPr>
            <w:tcW w:w="209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C5319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部分许可待确认</w:t>
            </w:r>
          </w:p>
        </w:tc>
        <w:tc>
          <w:tcPr>
            <w:tcW w:w="2948" w:type="dxa"/>
            <w:tcBorders>
              <w:top w:val="single" w:color="BCD0DB" w:sz="6" w:space="0"/>
              <w:left w:val="single" w:color="BCD0DB" w:sz="6" w:space="0"/>
              <w:bottom w:val="single" w:color="BCD0DB" w:sz="6" w:space="0"/>
              <w:right w:val="single" w:color="BCD0DB" w:sz="6" w:space="0"/>
              <w:insideH w:val="single" w:sz="6" w:space="0"/>
              <w:insideV w:val="single" w:sz="6" w:space="0"/>
            </w:tcBorders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1B7CC">
            <w:pPr>
              <w:spacing w:after="0" w:line="276" w:lineRule="auto"/>
              <w:jc w:val="center"/>
              <w:rPr>
                <w:rFonts w:eastAsia="微软雅黑"/>
              </w:rPr>
            </w:pPr>
            <w:r>
              <w:rPr>
                <w:rFonts w:ascii="Arial" w:hAnsi="Arial" w:eastAsia="微软雅黑"/>
                <w:b w:val="0"/>
                <w:color w:val="24323B"/>
                <w:sz w:val="16"/>
              </w:rPr>
              <w:t>未进入最终模型与提交</w:t>
            </w:r>
          </w:p>
        </w:tc>
      </w:tr>
    </w:tbl>
    <w:p w14:paraId="02EDBB01">
      <w:pPr>
        <w:spacing w:after="0"/>
        <w:rPr>
          <w:rFonts w:eastAsia="微软雅黑"/>
        </w:rPr>
      </w:pPr>
    </w:p>
    <w:p w14:paraId="63125980">
      <w:pPr>
        <w:keepNext w:val="0"/>
        <w:spacing w:before="0" w:after="120" w:line="324" w:lineRule="auto"/>
        <w:jc w:val="both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20"/>
        </w:rPr>
        <w:t>建模假设包括：Oligomycin 以 Oligomycin A 为代理；Tunicamycin 保持 unresolved；Cisplatin、NaCl 采用显式结构特征 fallback；DHY210 以 S288C 为低置信度代理。相关状态均写入 manifest 与模型卡。</w:t>
      </w:r>
    </w:p>
    <w:p w14:paraId="0086ED99">
      <w:pPr>
        <w:pStyle w:val="5"/>
        <w:keepNext/>
        <w:rPr>
          <w:rFonts w:eastAsia="微软雅黑"/>
        </w:rPr>
      </w:pPr>
      <w:r>
        <w:rPr>
          <w:rFonts w:eastAsia="微软雅黑"/>
        </w:rPr>
        <w:t>主要参考资料</w:t>
      </w:r>
    </w:p>
    <w:p w14:paraId="3A71D380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GOAI 世界人工智能开源大赛：《赛道三：前沿探索 AI for Research》规划版规则，2026。</w:t>
      </w:r>
    </w:p>
    <w:p w14:paraId="4048FE04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Peter J. et al. Genome evolution across 1,011 Saccharomyces cerevisiae isolates. Nature, 2018, 556:339-344.</w:t>
      </w:r>
    </w:p>
    <w:p w14:paraId="0445F146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PubChem PUG-REST documentation；RDKit documentation and BSD-3-Clause license。</w:t>
      </w:r>
    </w:p>
    <w:p w14:paraId="7BB2D36F">
      <w:pPr>
        <w:pStyle w:val="16"/>
        <w:spacing w:after="60" w:line="300" w:lineRule="auto"/>
        <w:ind w:left="312" w:hanging="170"/>
        <w:rPr>
          <w:rFonts w:eastAsia="微软雅黑"/>
        </w:rPr>
      </w:pPr>
      <w:r>
        <w:rPr>
          <w:rFonts w:ascii="Arial" w:hAnsi="Arial" w:eastAsia="微软雅黑"/>
          <w:b w:val="0"/>
          <w:color w:val="24323B"/>
          <w:sz w:val="19"/>
        </w:rPr>
        <w:t>Saccharomyces Genome Database / NCBI assembly GCF_000146045.2。</w:t>
      </w:r>
    </w:p>
    <w:p w14:paraId="11F59617">
      <w:pPr>
        <w:spacing w:after="0"/>
        <w:rPr>
          <w:rFonts w:eastAsia="微软雅黑"/>
        </w:rPr>
      </w:pPr>
      <w:r>
        <w:rPr>
          <w:rFonts w:eastAsia="微软雅黑"/>
        </w:rPr>
        <w:br w:type="page"/>
      </w:r>
    </w:p>
    <w:p w14:paraId="728DD62E">
      <w:pPr>
        <w:pStyle w:val="3"/>
        <w:keepNext/>
        <w:rPr>
          <w:rFonts w:eastAsia="微软雅黑"/>
        </w:rPr>
      </w:pPr>
      <w:r>
        <w:rPr>
          <w:rFonts w:eastAsia="微软雅黑"/>
        </w:rPr>
        <w:t>六、团队介绍</w:t>
      </w:r>
    </w:p>
    <w:p w14:paraId="21314CFE">
      <w:pPr>
        <w:pStyle w:val="4"/>
        <w:keepNext/>
        <w:rPr>
          <w:rFonts w:eastAsia="微软雅黑"/>
        </w:rPr>
      </w:pPr>
      <w:r>
        <w:rPr>
          <w:rFonts w:eastAsia="微软雅黑"/>
        </w:rPr>
        <w:t>6.1 成员背景</w:t>
      </w:r>
    </w:p>
    <w:p w14:paraId="69C1D3A0">
      <w:pPr>
        <w:rPr>
          <w:rFonts w:eastAsia="微软雅黑"/>
        </w:rPr>
      </w:pPr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</w:p>
    <w:p w14:paraId="1215464B">
      <w:pPr>
        <w:pStyle w:val="4"/>
        <w:keepNext/>
        <w:rPr>
          <w:rFonts w:eastAsia="微软雅黑"/>
        </w:rPr>
      </w:pPr>
      <w:r>
        <w:rPr>
          <w:rFonts w:eastAsia="微软雅黑"/>
        </w:rPr>
        <w:t>6.2 团队分工</w:t>
      </w:r>
    </w:p>
    <w:p w14:paraId="70A4AAF7">
      <w:pPr>
        <w:rPr>
          <w:rFonts w:eastAsia="微软雅黑"/>
        </w:rPr>
      </w:pPr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</w:p>
    <w:p w14:paraId="11AE7972">
      <w:pPr>
        <w:pStyle w:val="4"/>
        <w:keepNext/>
        <w:rPr>
          <w:rFonts w:eastAsia="微软雅黑"/>
        </w:rPr>
      </w:pPr>
      <w:r>
        <w:rPr>
          <w:rFonts w:eastAsia="微软雅黑"/>
        </w:rPr>
        <w:t>6.3 团队成果</w:t>
      </w:r>
    </w:p>
    <w:p w14:paraId="2918389D">
      <w:pPr>
        <w:rPr>
          <w:rFonts w:eastAsia="微软雅黑"/>
        </w:rPr>
      </w:pPr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</w:p>
    <w:sectPr>
      <w:footerReference r:id="rId5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E1932">
    <w:pPr>
      <w:pStyle w:val="24"/>
      <w:jc w:val="right"/>
    </w:pPr>
    <w:r>
      <w:rPr>
        <w:rFonts w:hint="eastAsia" w:ascii="Arial" w:hAnsi="Arial" w:eastAsia="微软雅黑"/>
        <w:b w:val="0"/>
        <w:i w:val="0"/>
        <w:color w:val="5E7180"/>
        <w:sz w:val="16"/>
        <w:lang w:eastAsia="zh-CN"/>
      </w:rPr>
      <w:t>GOAI AI for Research赛道</w:t>
    </w:r>
    <w:r>
      <w:rPr>
        <w:rFonts w:ascii="Arial" w:hAnsi="Arial" w:eastAsia="微软雅黑"/>
        <w:b w:val="0"/>
        <w:i w:val="0"/>
        <w:color w:val="5E7180"/>
        <w:sz w:val="16"/>
      </w:rPr>
      <w:t xml:space="preserve"> | 算法赛初赛大纲模板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1D834674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Arial" w:hAnsi="Arial" w:eastAsia="微软雅黑" w:cstheme="minorBidi"/>
      <w:color w:val="24323B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240" w:after="180"/>
      <w:outlineLvl w:val="0"/>
    </w:pPr>
    <w:rPr>
      <w:rFonts w:asciiTheme="majorHAnsi" w:hAnsiTheme="majorHAnsi" w:eastAsiaTheme="majorEastAsia" w:cstheme="majorBidi"/>
      <w:b/>
      <w:bCs/>
      <w:color w:val="2748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outlineLvl w:val="1"/>
    </w:pPr>
    <w:rPr>
      <w:rFonts w:asciiTheme="majorHAnsi" w:hAnsiTheme="majorHAnsi" w:eastAsiaTheme="majorEastAsia" w:cstheme="majorBidi"/>
      <w:b/>
      <w:bCs/>
      <w:color w:val="4F718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27485D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6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27485D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965</Words>
  <Characters>1111</Characters>
  <Lines>0</Lines>
  <Paragraphs>0</Paragraphs>
  <TotalTime>8</TotalTime>
  <ScaleCrop>false</ScaleCrop>
  <LinksUpToDate>false</LinksUpToDate>
  <CharactersWithSpaces>1169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由冻结实验工件整理；第六章团队信息留空。</dc:description>
  <cp:keywords>虚拟细胞, 酵母, 扰动蛋白质组, 条件响应预测, GOAI</cp:keywords>
  <cp:lastModifiedBy>momo向上</cp:lastModifiedBy>
  <dcterms:modified xsi:type="dcterms:W3CDTF">2026-08-15T21:38:25Z</dcterms:modified>
  <dc:subject>GOAI AI for Research 算法赛初赛方案</dc:subject>
  <dc:title>面向跨条件响应预测的稳健酵母虚拟细胞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eyJoZGlkIjoiMGZlOGIwOTEzOGJkMDI0ODczMjU4NzcxMTYyNDczNTkiLCJ1c2VySWQiOiIzNDY0NzYwNzIifQ==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CDD5274CC1D44C419F88A10DFA15A0C6_12</vt:lpwstr>
  </property>
</Properties>
</file>