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Hiểu đề bài — Đối soát doanh thu Nexa Home 2025</w:t>
      </w:r>
    </w:p>
    <w:p>
      <w:pPr>
        <w:pBdr>
          <w:bottom w:val="single" w:color="2E74B5" w:sz="12" w:space="6"/>
        </w:pBdr>
        <w:spacing w:after="240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Bản Word để đọc · nội dung gốc ở file docs/hieu_de_bai.md · tạo ngày 15/10/2026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Đây là bài đối soát (so hai nguồn số để tìm chỗ lệch), không phải phân tích kinh doanh.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Không phân tích tăng trưởng, sản phẩm bán chạy hay mùa vụ.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Bảng tiêu chí chấm (rubric) cho Band 2 (mức 2 trên thang 5, tức "Chưa đạt") nếu làm lạc sang hướng đó.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Hai con số cần đối soát: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Flash</w:t>
      </w:r>
      <w:r>
        <w:rPr>
          <w:rFonts w:ascii="Times New Roman" w:cs="Times New Roman" w:eastAsia="Times New Roman" w:hAnsi="Times New Roman"/>
        </w:rPr>
        <w:t xml:space="preserve"> (báo cáo nhanh doanh số của phòng Kinh doanh): </w:t>
      </w:r>
      <w:r>
        <w:rPr>
          <w:rFonts w:ascii="Times New Roman" w:cs="Times New Roman" w:eastAsia="Times New Roman" w:hAnsi="Times New Roman"/>
          <w:b/>
          <w:bCs/>
        </w:rPr>
        <w:t xml:space="preserve">31.124.401 USD</w:t>
      </w:r>
      <w:r>
        <w:rPr>
          <w:rFonts w:ascii="Times New Roman" w:cs="Times New Roman" w:eastAsia="Times New Roman" w:hAnsi="Times New Roman"/>
        </w:rPr>
        <w:t xml:space="preserve"> (đô la Mỹ).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Sổ cái</w:t>
      </w:r>
      <w:r>
        <w:rPr>
          <w:rFonts w:ascii="Times New Roman" w:cs="Times New Roman" w:eastAsia="Times New Roman" w:hAnsi="Times New Roman"/>
        </w:rPr>
        <w:t xml:space="preserve"> (GL – General Ledger, sổ kế toán của phòng Tài chính): </w:t>
      </w:r>
      <w:r>
        <w:rPr>
          <w:rFonts w:ascii="Times New Roman" w:cs="Times New Roman" w:eastAsia="Times New Roman" w:hAnsi="Times New Roman"/>
          <w:b/>
          <w:bCs/>
        </w:rPr>
        <w:t xml:space="preserve">28.698.496,23 USD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Chênh lệch = Sổ cái − Flash = −2.425.904,77 USD</w:t>
      </w:r>
      <w:r>
        <w:rPr>
          <w:rFonts w:ascii="Times New Roman" w:cs="Times New Roman" w:eastAsia="Times New Roman" w:hAnsi="Times New Roman"/>
        </w:rPr>
        <w:t xml:space="preserve">, tức sổ cái thấp hơn Flash 7,8%. Slide đề bài viết tắt chênh lệch là </w:t>
      </w:r>
      <w:r>
        <w:rPr>
          <w:rFonts w:ascii="Times New Roman" w:cs="Times New Roman" w:eastAsia="Times New Roman" w:hAnsi="Times New Roman"/>
          <w:b/>
          <w:bCs/>
        </w:rPr>
        <w:t xml:space="preserve">Δ</w:t>
      </w:r>
      <w:r>
        <w:rPr>
          <w:rFonts w:ascii="Times New Roman" w:cs="Times New Roman" w:eastAsia="Times New Roman" w:hAnsi="Times New Roman"/>
        </w:rPr>
        <w:t xml:space="preserve"> (đọc là "delta").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Ba câu hỏi của Giám đốc Tài chính: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Lệch bao nhiêu, theo tháng và theo kênh bán?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Lệch gồm những khoản nào, mỗi khoản bao nhiêu, khoản nào là lỗi?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Quy trình cần đổi gì để tháng sau đối soát nhanh hơn?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Phần I của báo cáo phải có thêm 2–4 câu hỏi riêng của nhóm, trả lời được bằng con số</w:t>
      </w:r>
      <w:r>
        <w:rPr>
          <w:rFonts w:ascii="Times New Roman" w:cs="Times New Roman" w:eastAsia="Times New Roman" w:hAnsi="Times New Roman"/>
        </w:rPr>
        <w:t xml:space="preserve"> (tiêu chí để đạt Band 4 ở năng lực "Phân tích đề", một trong 4 phần được chấm).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5 lý do khiến hai nguồn lệch nhau</w:t>
      </w:r>
      <w:r>
        <w:rPr>
          <w:rFonts w:ascii="Times New Roman" w:cs="Times New Roman" w:eastAsia="Times New Roman" w:hAnsi="Times New Roman"/>
        </w:rPr>
        <w:t xml:space="preserve"> (đề gọi là "5 trục khác biệt"):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Thời điểm tính doanh thu: ngày đặt, ngày giao hay ngày ghi sổ.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Giá trị: giá niêm yết hay giá sau giảm giá.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Phạm vi: có tính đơn hủy, hàng trả hay không.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Tiền tệ: quy đổi theo tỷ giá ngày hay tỷ giá cuối tháng.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Mức chi tiết của một dòng: một món hàng, một đơn hàng, hay một bút toán (một dòng ghi trong sổ kế toán) gộp nhiều giao dịch.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</w:rPr>
        <w:t xml:space="preserve">Mỗi lý do phải </w:t>
      </w:r>
      <w:r>
        <w:rPr>
          <w:rFonts w:ascii="Times New Roman" w:cs="Times New Roman" w:eastAsia="Times New Roman" w:hAnsi="Times New Roman"/>
          <w:b/>
          <w:bCs/>
        </w:rPr>
        <w:t xml:space="preserve">chứng minh bằng số trên dữ liệu</w:t>
      </w:r>
      <w:r>
        <w:rPr>
          <w:rFonts w:ascii="Times New Roman" w:cs="Times New Roman" w:eastAsia="Times New Roman" w:hAnsi="Times New Roman"/>
        </w:rPr>
        <w:t xml:space="preserve">, không chép lại phần mô tả (sheet README) của đề.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5 bẫy khi nạp dữ liệu: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File đơn online (WEB) ghi ngày theo kiểu Mỹ MM/DD/YYYY (tháng/ngày/năm).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File Flash có 3 dòng tiêu đề, 1 dòng trống, tên cột nằm ở dòng 5, và dòng TỔNG CỘNG ở cuối.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Sổ cái ghi doanh thu là số âm.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File bán hàng tại cửa hàng (POS – Point of Sale) có 12 dòng bị xuất ra file 2 lần: cửa hàng 74 (mã bên kế toán là NX007), ngày 29/03, bị xuất lại lúc 08:42 ngày 30/03.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Dữ liệu có 5 loại tiền, dễ cộng lẫn vào nhau.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</w:rPr>
        <w:t xml:space="preserve">4 nhóm chênh lệch: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Do quy tắc ghi nhận: hai bên tính doanh thu theo cách khác nhau và đều đúng theo cách của mình.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Do lỗi dữ liệu: một bên ghi sai hoặc thiếu.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Chưa giải thích được: dữ liệu không đủ để biết nguyên nhân.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Times New Roman" w:cs="Times New Roman" w:eastAsia="Times New Roman" w:hAnsi="Times New Roman"/>
        </w:rPr>
        <w:t xml:space="preserve">Sai số chấp nhận được: rất nhỏ, ví dụ do làm tròn.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4"/>
        <w:szCs w:val="24"/>
      </w:rPr>
      <w:t xml:space="preserve">Trang </w:t>
    </w:r>
    <w:r>
      <w:rPr>
        <w:color w:val="7F7F7F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4"/>
        <w:szCs w:val="24"/>
      </w:rPr>
      <w:t xml:space="preserve"> / </w:t>
    </w:r>
    <w:r>
      <w:rPr>
        <w:color w:val="7F7F7F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24"/>
        <w:szCs w:val="24"/>
      </w:rPr>
      <w:t xml:space="preserve">Project 1 · Đối soát doanh thu Nexa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40"/>
      </w:pPr>
      <w:rPr>
        <w:rFonts w:ascii="Times New Roman" w:cs="Times New Roman" w:eastAsia="Times New Roman" w:hAnsi="Times New Roman"/>
        <w:color w:val="2E74B5"/>
      </w:rPr>
    </w:lvl>
    <w:lvl w:ilvl="1" w15:tentative="1">
      <w:start w:val="1"/>
      <w:numFmt w:val="bullet"/>
      <w:lvlText w:val="○"/>
      <w:lvlJc w:val="left"/>
      <w:pPr>
        <w:ind w:left="720" w:hanging="240"/>
      </w:pPr>
      <w:rPr>
        <w:rFonts w:ascii="Times New Roman" w:cs="Times New Roman" w:eastAsia="Times New Roman" w:hAnsi="Times New Roman"/>
        <w:color w:val="2E74B5"/>
      </w:rPr>
    </w:lvl>
    <w:lvl w:ilvl="2" w15:tentative="1">
      <w:start w:val="1"/>
      <w:numFmt w:val="bullet"/>
      <w:lvlText w:val="▪"/>
      <w:lvlJc w:val="left"/>
      <w:pPr>
        <w:ind w:left="1080" w:hanging="240"/>
      </w:pPr>
      <w:rPr>
        <w:rFonts w:ascii="Times New Roman" w:cs="Times New Roman" w:eastAsia="Times New Roman" w:hAnsi="Times New Roman"/>
        <w:color w:val="2E74B5"/>
      </w:rPr>
    </w:lvl>
    <w:lvl w:ilvl="3" w15:tentative="1">
      <w:start w:val="1"/>
      <w:numFmt w:val="bullet"/>
      <w:lvlText w:val="–"/>
      <w:lvlJc w:val="left"/>
      <w:pPr>
        <w:ind w:left="1440" w:hanging="240"/>
      </w:pPr>
      <w:rPr>
        <w:rFonts w:ascii="Times New Roman" w:cs="Times New Roman" w:eastAsia="Times New Roman" w:hAnsi="Times New Roman"/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40"/>
      </w:pPr>
      <w:rPr>
        <w:rFonts w:ascii="Times New Roman" w:cs="Times New Roman" w:eastAsia="Times New Roman" w:hAnsi="Times New Roman"/>
        <w:color w:val="2E74B5"/>
      </w:rPr>
    </w:lvl>
    <w:lvl w:ilvl="1" w15:tentative="1">
      <w:start w:val="1"/>
      <w:numFmt w:val="bullet"/>
      <w:lvlText w:val="○"/>
      <w:lvlJc w:val="left"/>
      <w:pPr>
        <w:ind w:left="540" w:hanging="240"/>
      </w:pPr>
      <w:rPr>
        <w:rFonts w:ascii="Times New Roman" w:cs="Times New Roman" w:eastAsia="Times New Roman" w:hAnsi="Times New Roman"/>
        <w:color w:val="2E74B5"/>
      </w:rPr>
    </w:lvl>
    <w:lvl w:ilvl="2" w15:tentative="1">
      <w:start w:val="1"/>
      <w:numFmt w:val="bullet"/>
      <w:lvlText w:val="▪"/>
      <w:lvlJc w:val="left"/>
      <w:pPr>
        <w:ind w:left="820" w:hanging="240"/>
      </w:pPr>
      <w:rPr>
        <w:rFonts w:ascii="Times New Roman" w:cs="Times New Roman" w:eastAsia="Times New Roman" w:hAnsi="Times New Roman"/>
        <w:color w:val="2E74B5"/>
      </w:rPr>
    </w:lvl>
    <w:lvl w:ilvl="3" w15:tentative="1">
      <w:start w:val="1"/>
      <w:numFmt w:val="bullet"/>
      <w:lvlText w:val="–"/>
      <w:lvlJc w:val="left"/>
      <w:pPr>
        <w:ind w:left="1100" w:hanging="240"/>
      </w:pPr>
      <w:rPr>
        <w:rFonts w:ascii="Times New Roman" w:cs="Times New Roman" w:eastAsia="Times New Roman" w:hAnsi="Times New Roman"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</w:lvl>
    <w:lvl w:ilvl="1" w15:tentative="1">
      <w:start w:val="1"/>
      <w:numFmt w:val="decimal"/>
      <w:lvlText w:val="%2."/>
      <w:lvlJc w:val="left"/>
      <w:pPr>
        <w:ind w:left="860" w:hanging="460"/>
      </w:pPr>
    </w:lvl>
    <w:lvl w:ilvl="2" w15:tentative="1">
      <w:start w:val="1"/>
      <w:numFmt w:val="decimal"/>
      <w:lvlText w:val="%3."/>
      <w:lvlJc w:val="left"/>
      <w:pPr>
        <w:ind w:left="1260" w:hanging="460"/>
      </w:pPr>
    </w:lvl>
    <w:lvl w:ilvl="3" w15:tentative="1">
      <w:start w:val="1"/>
      <w:numFmt w:val="decimal"/>
      <w:lvlText w:val="%4."/>
      <w:lvlJc w:val="left"/>
      <w:pPr>
        <w:ind w:left="1660" w:hanging="4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62626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rFonts w:ascii="Times New Roman" w:cs="Times New Roman" w:eastAsia="Times New Roman" w:hAnsi="Times New Roman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Hiểu đề bài — Đối soát doanh thu Nexa Home 2025</dc:title>
  <dc:creator>build_docx</dc:creator>
  <dc:description>Tạo tự động từ docs/hieu_de_bai.md</dc:description>
  <cp:lastModifiedBy>Un-named</cp:lastModifiedBy>
  <cp:revision>1</cp:revision>
  <dcterms:created xsi:type="dcterms:W3CDTF">2026-10-15T08:08:45.778Z</dcterms:created>
  <dcterms:modified xsi:type="dcterms:W3CDTF">2026-10-15T08:08:45.778Z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