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ECG xAI-AMI Benchmark Proposal</w:t>
      </w:r>
    </w:p>
    <w:bookmarkStart w:id="45" w:name="research-proposal"/>
    <w:p>
      <w:pPr>
        <w:pStyle w:val="Heading1"/>
      </w:pPr>
      <w:r>
        <w:t xml:space="preserve">Research Proposal</w:t>
      </w:r>
    </w:p>
    <w:bookmarkStart w:id="20" w:name="X412b37a4b85038b3b2e0069ed4544e59aa16056"/>
    <w:p>
      <w:pPr>
        <w:pStyle w:val="Heading2"/>
      </w:pPr>
      <w:r>
        <w:t xml:space="preserve">Do ECG Deep-Learning Explanations Point Where Cardiologists Look? A Faithfulness-, Sanity-, and Concordance-Benchmarked Evaluation of Attribution Methods for Acute Myocardial Infarction Detection</w:t>
      </w:r>
    </w:p>
    <w:p>
      <w:pPr>
        <w:pStyle w:val="FirstParagraph"/>
      </w:pPr>
      <w:r>
        <w:rPr>
          <w:bCs/>
          <w:b/>
        </w:rPr>
        <w:t xml:space="preserve">Principal investigator:</w:t>
      </w:r>
      <w:r>
        <w:t xml:space="preserve"> </w:t>
      </w:r>
      <w:r>
        <w:t xml:space="preserve">Tam Tran</w:t>
      </w:r>
      <w:r>
        <w:t xml:space="preserve"> </w:t>
      </w:r>
      <w:r>
        <w:rPr>
          <w:bCs/>
          <w:b/>
        </w:rPr>
        <w:t xml:space="preserve">Draft version:</w:t>
      </w:r>
      <w:r>
        <w:t xml:space="preserve"> </w:t>
      </w:r>
      <w:r>
        <w:t xml:space="preserve">1.0 · Working proposal</w:t>
      </w:r>
      <w:r>
        <w:t xml:space="preserve"> </w:t>
      </w:r>
      <w:r>
        <w:rPr>
          <w:bCs/>
          <w:b/>
        </w:rPr>
        <w:t xml:space="preserve">Study type:</w:t>
      </w:r>
      <w:r>
        <w:t xml:space="preserve"> </w:t>
      </w:r>
      <w:r>
        <w:t xml:space="preserve">Retrospective, secondary analysis of public de-identified data + lightweight structured expert rating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Fully public / credentialed public ECG repositories (no new patient recruitment)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Deep neural networks now match or exceed cardiologist-level performance in interpreting the 12-lead electrocardiogram (ECG), particularly for myocardial infarction (MI). Because these models are opaque, the field routinely bolts on a post-hoc</w:t>
      </w:r>
      <w:r>
        <w:t xml:space="preserve"> </w:t>
      </w:r>
      <w:r>
        <w:t xml:space="preserve">“</w:t>
      </w:r>
      <w:r>
        <w:t xml:space="preserve">explanation</w:t>
      </w:r>
      <w:r>
        <w:t xml:space="preserve">”</w:t>
      </w:r>
      <w:r>
        <w:t xml:space="preserve"> </w:t>
      </w:r>
      <w:r>
        <w:t xml:space="preserve">— most often Grad-CAM or a saliency map — to justify the prediction. The unexamined assumption is that these heatmaps show</w:t>
      </w:r>
      <w:r>
        <w:t xml:space="preserve"> </w:t>
      </w:r>
      <w:r>
        <w:rPr>
          <w:iCs/>
          <w:i/>
        </w:rPr>
        <w:t xml:space="preserve">where the model actually looked</w:t>
      </w:r>
      <w:r>
        <w:t xml:space="preserve"> </w:t>
      </w:r>
      <w:r>
        <w:t xml:space="preserve">and, ideally, that this coincides with where a cardiologist would look (the ST segment, pathological Q waves, the relevant anatomical leads).</w:t>
      </w:r>
    </w:p>
    <w:p>
      <w:pPr>
        <w:pStyle w:val="BodyText"/>
      </w:pPr>
      <w:r>
        <w:t xml:space="preserve">That assumption is shaky, and the ECG literature is openly contradictory about it: at least one rigorous study found that Grad-CAM — the single most-used attribution method in ECG analysis —</w:t>
      </w:r>
      <w:r>
        <w:t xml:space="preserve"> </w:t>
      </w:r>
      <w:r>
        <w:rPr>
          <w:bCs/>
          <w:b/>
        </w:rPr>
        <w:t xml:space="preserve">fails basic sanity checks</w:t>
      </w:r>
      <w:r>
        <w:t xml:space="preserve">, collapsing onto the high-amplitude QRS complex regardless of the diagnosis, while another benchmark reported Grad-CAM as the clear best performer. When two careful studies reach opposite conclusions, the field needs a standardized, disease-specific, externally validated adjudication rather than another one-off application.</w:t>
      </w:r>
    </w:p>
    <w:p>
      <w:pPr>
        <w:pStyle w:val="BodyText"/>
      </w:pPr>
      <w:r>
        <w:t xml:space="preserve">This project trains a standard deep-learning MI detector on the gold-standard public PTB-XL dataset and then, holding the model fixed, benchmarks a panel of attribution methods along three axes that the current literature almost never combines:</w:t>
      </w:r>
      <w:r>
        <w:t xml:space="preserve"> </w:t>
      </w:r>
      <w:r>
        <w:rPr>
          <w:bCs/>
          <w:b/>
        </w:rPr>
        <w:t xml:space="preserve">(i) faithfulness</w:t>
      </w:r>
      <w:r>
        <w:t xml:space="preserve"> </w:t>
      </w:r>
      <w:r>
        <w:t xml:space="preserve">(does the highlighted evidence actually drive the prediction),</w:t>
      </w:r>
      <w:r>
        <w:t xml:space="preserve"> </w:t>
      </w:r>
      <w:r>
        <w:rPr>
          <w:bCs/>
          <w:b/>
        </w:rPr>
        <w:t xml:space="preserve">(ii) sanity</w:t>
      </w:r>
      <w:r>
        <w:t xml:space="preserve"> </w:t>
      </w:r>
      <w:r>
        <w:t xml:space="preserve">(does the explanation degrade appropriately when the model or data is randomized), and</w:t>
      </w:r>
      <w:r>
        <w:t xml:space="preserve"> </w:t>
      </w:r>
      <w:r>
        <w:rPr>
          <w:bCs/>
          <w:b/>
        </w:rPr>
        <w:t xml:space="preserve">(iii) clinical concordance</w:t>
      </w:r>
      <w:r>
        <w:t xml:space="preserve"> </w:t>
      </w:r>
      <w:r>
        <w:t xml:space="preserve">(does the explanation localize to the ECG segments and leads that define MI for a cardiologist). We add a</w:t>
      </w:r>
      <w:r>
        <w:t xml:space="preserve"> </w:t>
      </w:r>
      <w:r>
        <w:rPr>
          <w:bCs/>
          <w:b/>
        </w:rPr>
        <w:t xml:space="preserve">lightweight expert-rating layer</w:t>
      </w:r>
      <w:r>
        <w:t xml:space="preserve"> </w:t>
      </w:r>
      <w:r>
        <w:t xml:space="preserve">(2–3 cardiologists blindly scoring a sample of maps) and test whether the resulting method rankings</w:t>
      </w:r>
      <w:r>
        <w:t xml:space="preserve"> </w:t>
      </w:r>
      <w:r>
        <w:rPr>
          <w:bCs/>
          <w:b/>
        </w:rPr>
        <w:t xml:space="preserve">transfer to a second, independent hospital cohort</w:t>
      </w:r>
      <w:r>
        <w:t xml:space="preserve"> </w:t>
      </w:r>
      <w:r>
        <w:t xml:space="preserve">(MIMIC-IV-ECG). The deliverable is an evidence-based, reproducible, open-source answer to a practical question:</w:t>
      </w:r>
      <w:r>
        <w:t xml:space="preserve"> </w:t>
      </w:r>
      <w:r>
        <w:rPr>
          <w:iCs/>
          <w:i/>
        </w:rPr>
        <w:t xml:space="preserve">which explanation method should ECG-AI actually use for MI, and does it hold up across sites?</w:t>
      </w:r>
    </w:p>
    <w:p>
      <w:r>
        <w:pict>
          <v:rect style="width:0;height:1.5pt" o:hralign="center" o:hrstd="t" o:hr="t"/>
        </w:pict>
      </w:r>
    </w:p>
    <w:bookmarkEnd w:id="21"/>
    <w:bookmarkStart w:id="25" w:name="background-and-significance"/>
    <w:p>
      <w:pPr>
        <w:pStyle w:val="Heading2"/>
      </w:pPr>
      <w:r>
        <w:t xml:space="preserve">2. Background and significance</w:t>
      </w:r>
    </w:p>
    <w:bookmarkStart w:id="22" w:name="X7af375b9508e331c3bc8e9a2049fb9c13ad5fae"/>
    <w:p>
      <w:pPr>
        <w:pStyle w:val="Heading3"/>
      </w:pPr>
      <w:r>
        <w:t xml:space="preserve">2.1 Where deep learning genuinely wins — and where the black box is real</w:t>
      </w:r>
    </w:p>
    <w:p>
      <w:pPr>
        <w:pStyle w:val="FirstParagraph"/>
      </w:pPr>
      <w:r>
        <w:t xml:space="preserve">On structured/tabular clinical data, gradient-boosted decision trees remain the state of the art and typically outperform deep neural networks; deep learning’s advantage does not reliably materialize there. The picture is different for</w:t>
      </w:r>
      <w:r>
        <w:t xml:space="preserve"> </w:t>
      </w:r>
      <w:r>
        <w:rPr>
          <w:bCs/>
          <w:b/>
        </w:rPr>
        <w:t xml:space="preserve">unstructured cardiac signals</w:t>
      </w:r>
      <w:r>
        <w:t xml:space="preserve">. On raw 12-lead ECG waveforms, convolutional and convolutional-recurrent networks reach cardiologist-comparable accuracy — recent multi-centre AMI models report AUROC ≈ 0.85 under cross-hospital external validation. Critically, a CNN operating on a raw waveform is a</w:t>
      </w:r>
      <w:r>
        <w:t xml:space="preserve"> </w:t>
      </w:r>
      <w:r>
        <w:rPr>
          <w:iCs/>
          <w:i/>
        </w:rPr>
        <w:t xml:space="preserve">true</w:t>
      </w:r>
      <w:r>
        <w:t xml:space="preserve"> </w:t>
      </w:r>
      <w:r>
        <w:t xml:space="preserve">black box (unlike a tree ensemble, whose splits are at least inspectable), so the interpretability problem here is genuine rather than rhetorical. This is the correct setting in which to motivate explainable AI (xAI).</w:t>
      </w:r>
    </w:p>
    <w:bookmarkEnd w:id="22"/>
    <w:bookmarkStart w:id="23" w:name="the-state-of-xai-for-ecg"/>
    <w:p>
      <w:pPr>
        <w:pStyle w:val="Heading3"/>
      </w:pPr>
      <w:r>
        <w:t xml:space="preserve">2.2 The state of xAI for ECG</w:t>
      </w:r>
    </w:p>
    <w:p>
      <w:pPr>
        <w:pStyle w:val="FirstParagraph"/>
      </w:pPr>
      <w:r>
        <w:t xml:space="preserve">Across ECG deep-learning studies, explainability is dominated by a small set of attribution methods — SHAP, saliency maps, Grad-CAM, and LIME — applied</w:t>
      </w:r>
      <w:r>
        <w:t xml:space="preserve"> </w:t>
      </w:r>
      <w:r>
        <w:rPr>
          <w:iCs/>
          <w:i/>
        </w:rPr>
        <w:t xml:space="preserve">post hoc</w:t>
      </w:r>
      <w:r>
        <w:t xml:space="preserve"> </w:t>
      </w:r>
      <w:r>
        <w:t xml:space="preserve">to check whether the model’s attention aligns with clinically plausible morphology. Two problems recur throughout this literature: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Explanation quality is rarely measured.</w:t>
      </w:r>
      <w:r>
        <w:t xml:space="preserve"> </w:t>
      </w:r>
      <w:r>
        <w:t xml:space="preserve">Papers report classifier metrics (AUROC, sensitivity, specificity) but seldom report quantitative faithfulness or stability of the</w:t>
      </w:r>
      <w:r>
        <w:t xml:space="preserve"> </w:t>
      </w:r>
      <w:r>
        <w:rPr>
          <w:iCs/>
          <w:i/>
        </w:rPr>
        <w:t xml:space="preserve">explanations themselves</w:t>
      </w:r>
      <w:r>
        <w:t xml:space="preserve">. There is no accepted benchmark, and reviews explicitly call for standardized faithfulness/stability metrics, cardiologist validation of explanation maps, and public code release.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methods disagree, and some fail outright.</w:t>
      </w:r>
      <w:r>
        <w:t xml:space="preserve"> </w:t>
      </w:r>
      <w:r>
        <w:t xml:space="preserve">Saliency maps are visually immediate but unstable; Grad-CAM is intuitive but has been shown to attribute relevance to the QRS complex (the highest-amplitude region) rather than the diagnostically relevant segment. The ECG is unusually well-suited to exposing this because its periodic structure and well-defined features (P wave, QRS complex, ST segment) allow precise temporal and spatial sanity checks — an advantage this proposal exploits directly.</w:t>
      </w:r>
    </w:p>
    <w:bookmarkEnd w:id="23"/>
    <w:bookmarkStart w:id="24" w:name="why-mi-and-why-now"/>
    <w:p>
      <w:pPr>
        <w:pStyle w:val="Heading3"/>
      </w:pPr>
      <w:r>
        <w:t xml:space="preserve">2.3 Why MI, and why now</w:t>
      </w:r>
    </w:p>
    <w:p>
      <w:pPr>
        <w:pStyle w:val="FirstParagraph"/>
      </w:pPr>
      <w:r>
        <w:t xml:space="preserve">MI is the highest-yield target for a concordance-based evaluation because, unlike diffuse or rhythm diagnoses, its ECG evidence is</w:t>
      </w:r>
      <w:r>
        <w:t xml:space="preserve"> </w:t>
      </w:r>
      <w:r>
        <w:rPr>
          <w:iCs/>
          <w:i/>
        </w:rPr>
        <w:t xml:space="preserve">spatially and temporally localizable by rule</w:t>
      </w:r>
      <w:r>
        <w:t xml:space="preserve">: ST-segment deviation, pathological Q waves, and T-wave changes, appearing in the specific leads that map to a coronary territory. That gives us a defensible, physiology-grounded</w:t>
      </w:r>
      <w:r>
        <w:t xml:space="preserve"> </w:t>
      </w:r>
      <w:r>
        <w:t xml:space="preserve">“</w:t>
      </w:r>
      <w:r>
        <w:t xml:space="preserve">where should the model look</w:t>
      </w:r>
      <w:r>
        <w:t xml:space="preserve">”</w:t>
      </w:r>
      <w:r>
        <w:t xml:space="preserve"> </w:t>
      </w:r>
      <w:r>
        <w:t xml:space="preserve">reference against which any attribution map can be scored — something generic localization benchmarks lack. MI is also of direct translational importance: timely detection changes management, and a trustworthy explanation is a precondition for bedside and wearable-triage deployment.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gap-statement"/>
    <w:p>
      <w:pPr>
        <w:pStyle w:val="Heading2"/>
      </w:pPr>
      <w:r>
        <w:t xml:space="preserve">3. Gap statement</w:t>
      </w:r>
    </w:p>
    <w:p>
      <w:pPr>
        <w:pStyle w:val="FirstParagraph"/>
      </w:pPr>
      <w:r>
        <w:t xml:space="preserve">The unfilled gap is not</w:t>
      </w:r>
      <w:r>
        <w:t xml:space="preserve"> </w:t>
      </w:r>
      <w:r>
        <w:t xml:space="preserve">“</w:t>
      </w:r>
      <w:r>
        <w:t xml:space="preserve">nobody explains ECG models.</w:t>
      </w:r>
      <w:r>
        <w:t xml:space="preserve">”</w:t>
      </w:r>
      <w:r>
        <w:t xml:space="preserve"> </w:t>
      </w:r>
      <w:r>
        <w:t xml:space="preserve">It is that</w:t>
      </w:r>
      <w:r>
        <w:t xml:space="preserve"> </w:t>
      </w:r>
      <w:r>
        <w:rPr>
          <w:bCs/>
          <w:b/>
        </w:rPr>
        <w:t xml:space="preserve">the field has not standardized how to tell a trustworthy ECG explanation from a misleading one</w:t>
      </w:r>
      <w:r>
        <w:t xml:space="preserve">, has not tied that judgment to</w:t>
      </w:r>
      <w:r>
        <w:t xml:space="preserve"> </w:t>
      </w:r>
      <w:r>
        <w:rPr>
          <w:iCs/>
          <w:i/>
        </w:rPr>
        <w:t xml:space="preserve">disease-specific</w:t>
      </w:r>
      <w:r>
        <w:t xml:space="preserve"> </w:t>
      </w:r>
      <w:r>
        <w:t xml:space="preserve">clinical evidence, and has not shown that explanation quality (not just accuracy)</w:t>
      </w:r>
      <w:r>
        <w:t xml:space="preserve"> </w:t>
      </w:r>
      <w:r>
        <w:rPr>
          <w:iCs/>
          <w:i/>
        </w:rPr>
        <w:t xml:space="preserve">generalizes across hospitals</w:t>
      </w:r>
      <w:r>
        <w:t xml:space="preserve">. The published contradiction over Grad-CAM’s reliability is a symptom of this gap. This proposal targets it directly.</w:t>
      </w:r>
    </w:p>
    <w:p>
      <w:r>
        <w:pict>
          <v:rect style="width:0;height:1.5pt" o:hralign="center" o:hrstd="t" o:hr="t"/>
        </w:pict>
      </w:r>
    </w:p>
    <w:bookmarkEnd w:id="26"/>
    <w:bookmarkStart w:id="27" w:name="objectives-and-hypotheses"/>
    <w:p>
      <w:pPr>
        <w:pStyle w:val="Heading2"/>
      </w:pPr>
      <w:r>
        <w:t xml:space="preserve">4. Objectives and hypotheses</w:t>
      </w:r>
    </w:p>
    <w:p>
      <w:pPr>
        <w:pStyle w:val="FirstParagraph"/>
      </w:pPr>
      <w:r>
        <w:rPr>
          <w:bCs/>
          <w:b/>
        </w:rPr>
        <w:t xml:space="preserve">Aim 1 — Build a credible, standard MI detector (not the contribution).</w:t>
      </w:r>
      <w:r>
        <w:t xml:space="preserve"> </w:t>
      </w:r>
      <w:r>
        <w:t xml:space="preserve">Train and validate a deep-learning classifier for MI on PTB-XL, reporting standard discrimination metrics, so that all downstream explanation analysis rests on a competent model.</w:t>
      </w:r>
    </w:p>
    <w:p>
      <w:pPr>
        <w:pStyle w:val="BodyText"/>
      </w:pPr>
      <w:r>
        <w:rPr>
          <w:bCs/>
          <w:b/>
        </w:rPr>
        <w:t xml:space="preserve">Aim 2 — Benchmark attribution methods on three axes (the core contribution).</w:t>
      </w:r>
      <w:r>
        <w:t xml:space="preserve"> </w:t>
      </w:r>
      <w:r>
        <w:t xml:space="preserve">For a fixed set of correctly classified MI cases, quantify each attribution method’s</w:t>
      </w:r>
      <w:r>
        <w:t xml:space="preserve"> </w:t>
      </w:r>
      <w:r>
        <w:rPr>
          <w:bCs/>
          <w:b/>
        </w:rPr>
        <w:t xml:space="preserve">faithfulness</w:t>
      </w:r>
      <w:r>
        <w:t xml:space="preserve">,</w:t>
      </w:r>
      <w:r>
        <w:t xml:space="preserve"> </w:t>
      </w:r>
      <w:r>
        <w:rPr>
          <w:bCs/>
          <w:b/>
        </w:rPr>
        <w:t xml:space="preserve">sanity</w:t>
      </w:r>
      <w:r>
        <w:t xml:space="preserve">, and</w:t>
      </w:r>
      <w:r>
        <w:t xml:space="preserve"> </w:t>
      </w:r>
      <w:r>
        <w:rPr>
          <w:bCs/>
          <w:b/>
        </w:rPr>
        <w:t xml:space="preserve">clinical concordance</w:t>
      </w:r>
      <w:r>
        <w:t xml:space="preserve">, and quantify</w:t>
      </w:r>
      <w:r>
        <w:t xml:space="preserve"> </w:t>
      </w:r>
      <w:r>
        <w:rPr>
          <w:bCs/>
          <w:b/>
        </w:rPr>
        <w:t xml:space="preserve">cross-method agreement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H2a:</w:t>
      </w:r>
      <w:r>
        <w:t xml:space="preserve"> </w:t>
      </w:r>
      <w:r>
        <w:t xml:space="preserve">Attribution methods will diverge substantially in faithfulness and concordance despite similar visual plausibility.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H2b:</w:t>
      </w:r>
      <w:r>
        <w:t xml:space="preserve"> </w:t>
      </w:r>
      <w:r>
        <w:t xml:space="preserve">At least one widely used method (Grad-CAM anticipated) will fail one or more sanity checks, replicating and extending prior findings in a disease-specific setting.</w:t>
      </w:r>
    </w:p>
    <w:p>
      <w:pPr>
        <w:pStyle w:val="BodyText"/>
      </w:pPr>
      <w:r>
        <w:rPr>
          <w:bCs/>
          <w:b/>
        </w:rPr>
        <w:t xml:space="preserve">Aim 3 — Anchor the benchmark to cardiologist judgment (lightweight).</w:t>
      </w:r>
      <w:r>
        <w:t xml:space="preserve"> </w:t>
      </w:r>
      <w:r>
        <w:t xml:space="preserve">Have 2–3 cardiologists/electrophysiologists blindly rate a stratified sample of attribution maps for clinical plausibility and localization quality; correlate expert ratings with the automated concordance and faithfulness metrics.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H3:</w:t>
      </w:r>
      <w:r>
        <w:t xml:space="preserve"> </w:t>
      </w:r>
      <w:r>
        <w:t xml:space="preserve">Automated concordance will correlate positively with expert-rated plausibility, supporting concordance as a scalable proxy.</w:t>
      </w:r>
    </w:p>
    <w:p>
      <w:pPr>
        <w:pStyle w:val="BodyText"/>
      </w:pPr>
      <w:r>
        <w:rPr>
          <w:bCs/>
          <w:b/>
        </w:rPr>
        <w:t xml:space="preserve">Aim 4 — Test cross-site generalization of the explanations.</w:t>
      </w:r>
      <w:r>
        <w:t xml:space="preserve"> </w:t>
      </w:r>
      <w:r>
        <w:t xml:space="preserve">Re-run the full benchmark on an independent hospital cohort (MIMIC-IV-ECG) and test whether the</w:t>
      </w:r>
      <w:r>
        <w:t xml:space="preserve"> </w:t>
      </w:r>
      <w:r>
        <w:rPr>
          <w:iCs/>
          <w:i/>
        </w:rPr>
        <w:t xml:space="preserve">method rankings</w:t>
      </w:r>
      <w:r>
        <w:t xml:space="preserve"> </w:t>
      </w:r>
      <w:r>
        <w:t xml:space="preserve">— not merely classifier accuracy — are preserved.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H4:</w:t>
      </w:r>
      <w:r>
        <w:t xml:space="preserve"> </w:t>
      </w:r>
      <w:r>
        <w:t xml:space="preserve">Faithful, high-concordance methods will retain their ranking across cohorts; unstable methods will not.</w:t>
      </w:r>
    </w:p>
    <w:p>
      <w:r>
        <w:pict>
          <v:rect style="width:0;height:1.5pt" o:hralign="center" o:hrstd="t" o:hr="t"/>
        </w:pict>
      </w:r>
    </w:p>
    <w:bookmarkEnd w:id="27"/>
    <w:bookmarkStart w:id="37" w:name="methods"/>
    <w:p>
      <w:pPr>
        <w:pStyle w:val="Heading2"/>
      </w:pPr>
      <w:r>
        <w:t xml:space="preserve">5. Methods</w:t>
      </w:r>
    </w:p>
    <w:bookmarkStart w:id="28" w:name="data-sources"/>
    <w:p>
      <w:pPr>
        <w:pStyle w:val="Heading3"/>
      </w:pPr>
      <w:r>
        <w:t xml:space="preserve">5.1 Data sources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Primary (training + internal test): PTB-XL v1.0.3.</w:t>
      </w:r>
      <w:r>
        <w:t xml:space="preserve"> </w:t>
      </w:r>
      <w:r>
        <w:t xml:space="preserve">21,837 clinical 12-lead ECGs (10 s) from 18,885 patients, cardiologist-annotated with hierarchical SCP-ECG labels including a Myocardial Infarction (MI) superclass, provided at 100 Hz and 500 Hz with recommended patient-stratified 10-fold splits.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External validation: MIMIC-IV-ECG v1.0.</w:t>
      </w:r>
      <w:r>
        <w:t xml:space="preserve"> </w:t>
      </w:r>
      <w:r>
        <w:t xml:space="preserve">~800,000 diagnostic 12-lead ECGs (10 s, 500 Hz) from ~160,000 patients at BIDMC, linkable to the MIMIC-IV clinical database and to cardiologist report text, enabling an independent MI-labeled test set from a different country, era, and acquisition system.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Optional secondary check: Chapman–Shaoxing–Ningbo (PhysioNet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ecg-arrhythmia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v1.0.0).</w:t>
      </w:r>
      <w:r>
        <w:t xml:space="preserve"> </w:t>
      </w:r>
      <w:r>
        <w:t xml:space="preserve">~10,000+ patients, 12-lead, 500 Hz. Note: this cohort is</w:t>
      </w:r>
      <w:r>
        <w:t xml:space="preserve"> </w:t>
      </w:r>
      <w:r>
        <w:rPr>
          <w:iCs/>
          <w:i/>
        </w:rPr>
        <w:t xml:space="preserve">rhythm/arrhythmia-focused</w:t>
      </w:r>
      <w:r>
        <w:t xml:space="preserve"> </w:t>
      </w:r>
      <w:r>
        <w:t xml:space="preserve">rather than MI-labeled, so it is suitable only for robustness spot-checks of attribution behavior, not as a primary MI external set. (The PhysioNet/CinC Challenge 2020–2021 aggregated databases are an alternative source of additional MI-labeled ECGs if a second external cohort is desired.)</w:t>
      </w:r>
    </w:p>
    <w:p>
      <w:pPr>
        <w:pStyle w:val="FirstParagraph"/>
      </w:pPr>
      <w:r>
        <w:t xml:space="preserve">Links and access notes are in Section 11.</w:t>
      </w:r>
    </w:p>
    <w:bookmarkEnd w:id="28"/>
    <w:bookmarkStart w:id="29" w:name="task-definition-and-labeling"/>
    <w:p>
      <w:pPr>
        <w:pStyle w:val="Heading3"/>
      </w:pPr>
      <w:r>
        <w:t xml:space="preserve">5.2 Task definition and labeling</w:t>
      </w:r>
    </w:p>
    <w:p>
      <w:pPr>
        <w:pStyle w:val="FirstParagraph"/>
      </w:pPr>
      <w:r>
        <w:t xml:space="preserve">Binary MI vs. normal, following the common high-label-quality convention: positive = records carrying MI (optionally MI + ST/T-change) superclass labels; negative = clearly normal (NORM) records; exclude ambiguous or co-morbid overlaps (e.g., MI with hypertrophy) and retain only cardiologist-validated, high-confidence labels. A secondary analysis may narrow to</w:t>
      </w:r>
      <w:r>
        <w:t xml:space="preserve"> </w:t>
      </w:r>
      <w:r>
        <w:rPr>
          <w:iCs/>
          <w:i/>
        </w:rPr>
        <w:t xml:space="preserve">acute</w:t>
      </w:r>
      <w:r>
        <w:t xml:space="preserve"> </w:t>
      </w:r>
      <w:r>
        <w:t xml:space="preserve">MI where subtype/timing metadata permit, to sharpen the concordance reference. Use the dataset’s recommended patient-stratified splits (folds 1–8 train, 9 validation, 10 test) to prevent patient leakage.</w:t>
      </w:r>
    </w:p>
    <w:bookmarkEnd w:id="29"/>
    <w:bookmarkStart w:id="30" w:name="model-aim-1"/>
    <w:p>
      <w:pPr>
        <w:pStyle w:val="Heading3"/>
      </w:pPr>
      <w:r>
        <w:t xml:space="preserve">5.3 Model (Aim 1)</w:t>
      </w:r>
    </w:p>
    <w:p>
      <w:pPr>
        <w:pStyle w:val="FirstParagraph"/>
      </w:pPr>
      <w:r>
        <w:t xml:space="preserve">Primary model: a 1D residual CNN (ResNet-style) on 100 Hz raw 12-lead input, a standard and reproducible baseline for PTB-XL MI detection. Secondary/optional: a convolutional-recurrent-attention model (e.g., Conv-BiLSTM-Attention) to permit an attention-based attribution comparison. Handle class imbalance with class weighting or focal loss. Report AUROC, AUPRC, sensitivity, specificity, and F1 at a Youden-optimized threshold with 95% CIs (bootstrap). The model is deliberately conventional; the novelty is downstream.</w:t>
      </w:r>
    </w:p>
    <w:bookmarkEnd w:id="30"/>
    <w:bookmarkStart w:id="31" w:name="attribution-panel-aim-2"/>
    <w:p>
      <w:pPr>
        <w:pStyle w:val="Heading3"/>
      </w:pPr>
      <w:r>
        <w:t xml:space="preserve">5.4 Attribution panel (Aim 2)</w:t>
      </w:r>
    </w:p>
    <w:p>
      <w:pPr>
        <w:pStyle w:val="FirstParagraph"/>
      </w:pPr>
      <w:r>
        <w:t xml:space="preserve">Applied to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fixed model and the same set of correctly classified MI cases, implemented through a single open-source library (Captum) for reproducibility:</w:t>
      </w:r>
      <w:r>
        <w:t xml:space="preserve"> </w:t>
      </w:r>
      <w:r>
        <w:t xml:space="preserve">- Grad-CAM and Grad-CAM++</w:t>
      </w:r>
      <w:r>
        <w:t xml:space="preserve"> </w:t>
      </w:r>
      <w:r>
        <w:t xml:space="preserve">- Vanilla saliency (input gradients)</w:t>
      </w:r>
      <w:r>
        <w:t xml:space="preserve"> </w:t>
      </w:r>
      <w:r>
        <w:t xml:space="preserve">- Integrated Gradients</w:t>
      </w:r>
      <w:r>
        <w:t xml:space="preserve"> </w:t>
      </w:r>
      <w:r>
        <w:t xml:space="preserve">- DeepLIFT</w:t>
      </w:r>
      <w:r>
        <w:t xml:space="preserve"> </w:t>
      </w:r>
      <w:r>
        <w:t xml:space="preserve">- (If an attention model is used) attention weights, treated as a candidate explanation rather than assumed valid</w:t>
      </w:r>
      <w:r>
        <w:t xml:space="preserve"> </w:t>
      </w:r>
      <w:r>
        <w:t xml:space="preserve">- Optional model-agnostic references: KernelSHAP and/or LIME on a windowed representation, for cross-family comparison</w:t>
      </w:r>
    </w:p>
    <w:bookmarkEnd w:id="31"/>
    <w:bookmarkStart w:id="32" w:name="evaluation-axes-aim-2-core"/>
    <w:p>
      <w:pPr>
        <w:pStyle w:val="Heading3"/>
      </w:pPr>
      <w:r>
        <w:t xml:space="preserve">5.5 Evaluation axes (Aim 2 core)</w:t>
      </w:r>
    </w:p>
    <w:p>
      <w:pPr>
        <w:pStyle w:val="FirstParagraph"/>
      </w:pPr>
      <w:r>
        <w:rPr>
          <w:bCs/>
          <w:b/>
        </w:rPr>
        <w:t xml:space="preserve">(a) Faithfulness — does the highlighted evidence drive the prediction?</w:t>
      </w:r>
      <w:r>
        <w:t xml:space="preserve"> </w:t>
      </w:r>
      <w:r>
        <w:t xml:space="preserve">Deletion/insertion (perturbation) curves: rank signal segments by attribution, progressively mask (deletion) or reveal (insertion) the top-ranked segments, and track the change in predicted MI probability. Summarize as area under the deletion/insertion curve. A faithful method causes a steep confidence drop when its top-ranked segments are removed.</w:t>
      </w:r>
    </w:p>
    <w:p>
      <w:pPr>
        <w:pStyle w:val="BodyText"/>
      </w:pPr>
      <w:r>
        <w:rPr>
          <w:bCs/>
          <w:b/>
        </w:rPr>
        <w:t xml:space="preserve">(b) Sanity — does the explanation know when it should break?</w:t>
      </w:r>
      <w:r>
        <w:t xml:space="preserve"> </w:t>
      </w:r>
      <w:r>
        <w:t xml:space="preserve">Adebayo-style sanity checks adapted to ECG: (i)</w:t>
      </w:r>
      <w:r>
        <w:t xml:space="preserve"> </w:t>
      </w:r>
      <w:r>
        <w:rPr>
          <w:iCs/>
          <w:i/>
        </w:rPr>
        <w:t xml:space="preserve">model-parameter randomization</w:t>
      </w:r>
      <w:r>
        <w:t xml:space="preserve"> </w:t>
      </w:r>
      <w:r>
        <w:t xml:space="preserve">(cascading randomization of network weights) and (ii)</w:t>
      </w:r>
      <w:r>
        <w:t xml:space="preserve"> </w:t>
      </w:r>
      <w:r>
        <w:rPr>
          <w:iCs/>
          <w:i/>
        </w:rPr>
        <w:t xml:space="preserve">label/data randomization</w:t>
      </w:r>
      <w:r>
        <w:t xml:space="preserve">. A trustworthy attribution should degrade toward noise as the model is randomized. Quantify degradation with rank correlation between original and randomized attributions. This is where prior work caught Grad-CAM’s QRS-amplitude bias; we test it explicitly for MI.</w:t>
      </w:r>
    </w:p>
    <w:p>
      <w:pPr>
        <w:pStyle w:val="BodyText"/>
      </w:pPr>
      <w:r>
        <w:rPr>
          <w:bCs/>
          <w:b/>
        </w:rPr>
        <w:t xml:space="preserve">(c) Clinical concordance — does it look where MI lives?</w:t>
      </w:r>
      <w:r>
        <w:t xml:space="preserve"> </w:t>
      </w:r>
      <w:r>
        <w:t xml:space="preserve">Define a physiology-grounded reference mask per case: the ST segment / J-point region and, where derivable, the anatomically relevant leads for the labeled MI territory. Delineate cardiac intervals using an open QRS/wave delineator (e.g., NeuroKit2) to locate P/QRS/ST windows. Score each attribution map by the fraction of its mass falling within the diagnostic window/leads versus elsewhere (a localization/concordance ratio), plus a beat-aggregated (</w:t>
      </w:r>
      <w:r>
        <w:t xml:space="preserve">“</w:t>
      </w:r>
      <w:r>
        <w:t xml:space="preserve">glocal</w:t>
      </w:r>
      <w:r>
        <w:t xml:space="preserve">”</w:t>
      </w:r>
      <w:r>
        <w:t xml:space="preserve">) version to reduce single-beat gradient noise.</w:t>
      </w:r>
    </w:p>
    <w:p>
      <w:pPr>
        <w:pStyle w:val="BodyText"/>
      </w:pPr>
      <w:r>
        <w:rPr>
          <w:bCs/>
          <w:b/>
        </w:rPr>
        <w:t xml:space="preserve">(d) Cross-method agreement.</w:t>
      </w:r>
      <w:r>
        <w:t xml:space="preserve"> </w:t>
      </w:r>
      <w:r>
        <w:t xml:space="preserve">Rank-correlation and top-k overlap between methods on the same cases, to quantify how much the</w:t>
      </w:r>
      <w:r>
        <w:t xml:space="preserve"> </w:t>
      </w:r>
      <w:r>
        <w:t xml:space="preserve">“</w:t>
      </w:r>
      <w:r>
        <w:t xml:space="preserve">explanation</w:t>
      </w:r>
      <w:r>
        <w:t xml:space="preserve">”</w:t>
      </w:r>
      <w:r>
        <w:t xml:space="preserve"> </w:t>
      </w:r>
      <w:r>
        <w:t xml:space="preserve">depends on the arbitrary choice of tool.</w:t>
      </w:r>
    </w:p>
    <w:bookmarkEnd w:id="32"/>
    <w:bookmarkStart w:id="33" w:name="expert-rating-aim-3-lightweight"/>
    <w:p>
      <w:pPr>
        <w:pStyle w:val="Heading3"/>
      </w:pPr>
      <w:r>
        <w:t xml:space="preserve">5.6 Expert rating (Aim 3, lightweight)</w:t>
      </w:r>
    </w:p>
    <w:p>
      <w:pPr>
        <w:pStyle w:val="FirstParagraph"/>
      </w:pPr>
      <w:r>
        <w:t xml:space="preserve">Draw a stratified random sample (~40–60 cases × selected methods, blinded and shuffled). Two to three cardiologists/EPs independently rate each map on short Likert items (e.g., clinical plausibility; localization quality; would-this-increase-my-trust). Report inter-rater agreement (Krippendorff’s α / weighted κ) and correlate mean expert scores with the automated concordance and faithfulness metrics. This satisfies the field’s stated need for cardiologist validation without the cost of a full reader/decision study.</w:t>
      </w:r>
    </w:p>
    <w:bookmarkEnd w:id="33"/>
    <w:bookmarkStart w:id="34" w:name="external-generalization-aim-4"/>
    <w:p>
      <w:pPr>
        <w:pStyle w:val="Heading3"/>
      </w:pPr>
      <w:r>
        <w:t xml:space="preserve">5.7 External generalization (Aim 4)</w:t>
      </w:r>
    </w:p>
    <w:p>
      <w:pPr>
        <w:pStyle w:val="FirstParagraph"/>
      </w:pPr>
      <w:r>
        <w:t xml:space="preserve">Freeze the PTB-XL-trained model, apply it to the MIMIC-IV-ECG MI/normal test set, and recompute the entire attribution benchmark. The key readout is whether the</w:t>
      </w:r>
      <w:r>
        <w:t xml:space="preserve"> </w:t>
      </w:r>
      <w:r>
        <w:rPr>
          <w:iCs/>
          <w:i/>
        </w:rPr>
        <w:t xml:space="preserve">ordering</w:t>
      </w:r>
      <w:r>
        <w:t xml:space="preserve"> </w:t>
      </w:r>
      <w:r>
        <w:t xml:space="preserve">of methods by faithfulness/sanity/concordance is preserved across cohorts (rank-correlation of method rankings). Report the classifier’s external AUROC as context, but the headline is explanation-ranking stability.</w:t>
      </w:r>
    </w:p>
    <w:bookmarkEnd w:id="34"/>
    <w:bookmarkStart w:id="35" w:name="statistical-analysis"/>
    <w:p>
      <w:pPr>
        <w:pStyle w:val="Heading3"/>
      </w:pPr>
      <w:r>
        <w:t xml:space="preserve">5.8 Statistical analysis</w:t>
      </w:r>
    </w:p>
    <w:p>
      <w:pPr>
        <w:pStyle w:val="FirstParagraph"/>
      </w:pPr>
      <w:r>
        <w:t xml:space="preserve">Bootstrap 95% CIs for all classifier and attribution metrics; paired comparisons across methods with appropriate correction for multiplicity (e.g., Holm–Bonferroni). Pre-register the metric definitions and primary hypotheses (e.g., on OSF) before external-cohort analysis to guard against post-hoc tuning.</w:t>
      </w:r>
    </w:p>
    <w:bookmarkEnd w:id="35"/>
    <w:bookmarkStart w:id="36" w:name="reproducibility"/>
    <w:p>
      <w:pPr>
        <w:pStyle w:val="Heading3"/>
      </w:pPr>
      <w:r>
        <w:t xml:space="preserve">5.9 Reproducibility</w:t>
      </w:r>
    </w:p>
    <w:p>
      <w:pPr>
        <w:pStyle w:val="FirstParagraph"/>
      </w:pPr>
      <w:r>
        <w:t xml:space="preserve">Public data only; single attribution library; fixed seeds; released code, trained weights, split indices, and the concordance-mask definitions. Report following TRIPOD-AI / applicable xAI reporting guidance.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xpected-outcomes-and-contribution"/>
    <w:p>
      <w:pPr>
        <w:pStyle w:val="Heading2"/>
      </w:pPr>
      <w:r>
        <w:t xml:space="preserve">6. Expected outcomes and contribution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standardized, disease-specific benchmark</w:t>
      </w:r>
      <w:r>
        <w:t xml:space="preserve"> </w:t>
      </w:r>
      <w:r>
        <w:t xml:space="preserve">for ECG-MI explanations combining faithfulness + sanity + clinical concordance — currently missing from the literature.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clear, adjudicated answer</w:t>
      </w:r>
      <w:r>
        <w:t xml:space="preserve"> </w:t>
      </w:r>
      <w:r>
        <w:t xml:space="preserve">to the Grad-CAM-vs-saliency contradiction for MI, with evidence rather than assertion.</w:t>
      </w:r>
    </w:p>
    <w:p>
      <w:pPr>
        <w:numPr>
          <w:ilvl w:val="0"/>
          <w:numId w:val="1003"/>
        </w:numPr>
        <w:pStyle w:val="Compact"/>
      </w:pPr>
      <w:r>
        <w:t xml:space="preserve">Evidence on whether</w:t>
      </w:r>
      <w:r>
        <w:t xml:space="preserve"> </w:t>
      </w:r>
      <w:r>
        <w:rPr>
          <w:bCs/>
          <w:b/>
        </w:rPr>
        <w:t xml:space="preserve">automated concordance can proxy cardiologist judgment</w:t>
      </w:r>
      <w:r>
        <w:t xml:space="preserve">, enabling scalable evaluation.</w:t>
      </w:r>
    </w:p>
    <w:p>
      <w:pPr>
        <w:numPr>
          <w:ilvl w:val="0"/>
          <w:numId w:val="1003"/>
        </w:numPr>
        <w:pStyle w:val="Compact"/>
      </w:pPr>
      <w:r>
        <w:t xml:space="preserve">First-line evidence on whether</w:t>
      </w:r>
      <w:r>
        <w:t xml:space="preserve"> </w:t>
      </w:r>
      <w:r>
        <w:rPr>
          <w:bCs/>
          <w:b/>
        </w:rPr>
        <w:t xml:space="preserve">explanation quality generalizes across hospitals</w:t>
      </w:r>
      <w:r>
        <w:t xml:space="preserve">, not just accuracy.</w:t>
      </w:r>
    </w:p>
    <w:p>
      <w:pPr>
        <w:numPr>
          <w:ilvl w:val="0"/>
          <w:numId w:val="1003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open, reusable toolkit</w:t>
      </w:r>
      <w:r>
        <w:t xml:space="preserve"> </w:t>
      </w:r>
      <w:r>
        <w:t xml:space="preserve">(code + masks + protocol) other groups can apply to new ECG tasks.</w:t>
      </w:r>
    </w:p>
    <w:p>
      <w:pPr>
        <w:pStyle w:val="FirstParagraph"/>
      </w:pPr>
      <w:r>
        <w:rPr>
          <w:bCs/>
          <w:b/>
        </w:rPr>
        <w:t xml:space="preserve">Framing discipline (novelty guard):</w:t>
      </w:r>
      <w:r>
        <w:t xml:space="preserve"> </w:t>
      </w:r>
      <w:r>
        <w:t xml:space="preserve">the honest positioning is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standardize and adjudicate explanation reliability for MI, with disease-specific concordance and cross-site transfer,</w:t>
      </w:r>
      <w:r>
        <w:rPr>
          <w:iCs/>
          <w:i/>
        </w:rP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first to explain ECG.</w:t>
      </w:r>
      <w:r>
        <w:rPr>
          <w:iCs/>
          <w:i/>
        </w:rPr>
        <w:t xml:space="preserve">”</w:t>
      </w:r>
      <w:r>
        <w:t xml:space="preserve"> </w:t>
      </w:r>
      <w:r>
        <w:t xml:space="preserve">Sanity-checking ECG attributions has partial prior art; the differentiating combination here is MI-specific diagnostic-region concordance + cardiologist rating + cross-dataset explanation-ranking stability, packaged as a benchmark.</w:t>
      </w:r>
    </w:p>
    <w:p>
      <w:r>
        <w:pict>
          <v:rect style="width:0;height:1.5pt" o:hralign="center" o:hrstd="t" o:hr="t"/>
        </w:pict>
      </w:r>
    </w:p>
    <w:bookmarkEnd w:id="38"/>
    <w:bookmarkStart w:id="39" w:name="indicative-timeline-part-time"/>
    <w:p>
      <w:pPr>
        <w:pStyle w:val="Heading2"/>
      </w:pPr>
      <w:r>
        <w:t xml:space="preserve">7. Indicative timeline (part-time)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Months 1–2:</w:t>
      </w:r>
      <w:r>
        <w:t xml:space="preserve"> </w:t>
      </w:r>
      <w:r>
        <w:t xml:space="preserve">Data access/credentialing (MIMIC), pipeline, model training, internal metrics (Aim 1).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Months 2–4:</w:t>
      </w:r>
      <w:r>
        <w:t xml:space="preserve"> </w:t>
      </w:r>
      <w:r>
        <w:t xml:space="preserve">Attribution panel + faithfulness/sanity/concordance implementation (Aim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4:</w:t>
      </w:r>
      <w:r>
        <w:t xml:space="preserve"> </w:t>
      </w:r>
      <w:r>
        <w:t xml:space="preserve">Expert-rating design, IRB/ethics determination, cardiologist recruitment (Aim 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Months 4–5:</w:t>
      </w:r>
      <w:r>
        <w:t xml:space="preserve"> </w:t>
      </w:r>
      <w:r>
        <w:t xml:space="preserve">External cohort benchmark (Aim 4).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Months 5–6:</w:t>
      </w:r>
      <w:r>
        <w:t xml:space="preserve"> </w:t>
      </w:r>
      <w:r>
        <w:t xml:space="preserve">Analysis, expert rating collection, manuscript, code release.</w:t>
      </w:r>
    </w:p>
    <w:p>
      <w:r>
        <w:pict>
          <v:rect style="width:0;height:1.5pt" o:hralign="center" o:hrstd="t" o:hr="t"/>
        </w:pict>
      </w:r>
    </w:p>
    <w:bookmarkEnd w:id="39"/>
    <w:bookmarkStart w:id="40" w:name="ethics-and-data-governance"/>
    <w:p>
      <w:pPr>
        <w:pStyle w:val="Heading2"/>
      </w:pPr>
      <w:r>
        <w:t xml:space="preserve">8. Ethics and data governance</w:t>
      </w:r>
    </w:p>
    <w:p>
      <w:pPr>
        <w:pStyle w:val="FirstParagraph"/>
      </w:pPr>
      <w:r>
        <w:t xml:space="preserve">All datasets are de-identified and publicly released for research; no new patient contact. PTB-XL is open access; MIMIC-IV-ECG requires PhysioNet credentialing (CITI</w:t>
      </w:r>
      <w:r>
        <w:t xml:space="preserve"> </w:t>
      </w:r>
      <w:r>
        <w:t xml:space="preserve">“</w:t>
      </w:r>
      <w:r>
        <w:t xml:space="preserve">Data or Specimens Only Research</w:t>
      </w:r>
      <w:r>
        <w:t xml:space="preserve">”</w:t>
      </w:r>
      <w:r>
        <w:t xml:space="preserve"> </w:t>
      </w:r>
      <w:r>
        <w:t xml:space="preserve">training + a signed data use agreement). The expert-rating component uses clinicians rating de-identified model outputs and typically qualifies as non-human-subjects or exempt research, but a formal IRB determination will be obtained before that phase.</w:t>
      </w:r>
    </w:p>
    <w:p>
      <w:r>
        <w:pict>
          <v:rect style="width:0;height:1.5pt" o:hralign="center" o:hrstd="t" o:hr="t"/>
        </w:pict>
      </w:r>
    </w:p>
    <w:bookmarkEnd w:id="40"/>
    <w:bookmarkStart w:id="41" w:name="limitations-and-mitigations"/>
    <w:p>
      <w:pPr>
        <w:pStyle w:val="Heading2"/>
      </w:pPr>
      <w:r>
        <w:t xml:space="preserve">9. Limitations and mitigations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Concordance reference is a simplification.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region for MI is rule-based, not ground truth about the model. Mitigation: treat concordance as one axis among three; corroborate with faithfulness and expert rating.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Label noise / heterogeneous MI definitions across cohorts.</w:t>
      </w:r>
      <w:r>
        <w:t xml:space="preserve"> </w:t>
      </w:r>
      <w:r>
        <w:t xml:space="preserve">Mitigation: high-confidence labels, explicit inclusion rules, sensitivity analyses.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Small expert panel.</w:t>
      </w:r>
      <w:r>
        <w:t xml:space="preserve"> </w:t>
      </w:r>
      <w:r>
        <w:t xml:space="preserve">Mitigation: keep expert rating as a supporting, not primary, endpoint; report agreement transparently.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Attention ≠ explanation.</w:t>
      </w:r>
      <w:r>
        <w:t xml:space="preserve"> </w:t>
      </w:r>
      <w:r>
        <w:t xml:space="preserve">Mitigation: attention treated as a candidate, evaluated by the same metrics.</w:t>
      </w:r>
    </w:p>
    <w:p>
      <w:r>
        <w:pict>
          <v:rect style="width:0;height:1.5pt" o:hralign="center" o:hrstd="t" o:hr="t"/>
        </w:pict>
      </w:r>
    </w:p>
    <w:bookmarkEnd w:id="41"/>
    <w:bookmarkStart w:id="42" w:name="candidate-venues"/>
    <w:p>
      <w:pPr>
        <w:pStyle w:val="Heading2"/>
      </w:pPr>
      <w:r>
        <w:t xml:space="preserve">10. Candidate venues</w:t>
      </w:r>
    </w:p>
    <w:p>
      <w:pPr>
        <w:pStyle w:val="FirstParagraph"/>
      </w:pPr>
      <w:r>
        <w:t xml:space="preserve">Methods/informatics:</w:t>
      </w:r>
      <w:r>
        <w:t xml:space="preserve"> </w:t>
      </w:r>
      <w:r>
        <w:rPr>
          <w:iCs/>
          <w:i/>
        </w:rPr>
        <w:t xml:space="preserve">Computers in Biology and Medicine</w:t>
      </w:r>
      <w:r>
        <w:t xml:space="preserve">,</w:t>
      </w:r>
      <w:r>
        <w:t xml:space="preserve"> </w:t>
      </w:r>
      <w:r>
        <w:rPr>
          <w:iCs/>
          <w:i/>
        </w:rPr>
        <w:t xml:space="preserve">Computer Methods and Programs in Biomedicine</w:t>
      </w:r>
      <w:r>
        <w:t xml:space="preserve">,</w:t>
      </w:r>
      <w:r>
        <w:t xml:space="preserve"> </w:t>
      </w:r>
      <w:r>
        <w:rPr>
          <w:iCs/>
          <w:i/>
        </w:rPr>
        <w:t xml:space="preserve">JAMIA</w:t>
      </w:r>
      <w:r>
        <w:t xml:space="preserve">. Clinical-digital:</w:t>
      </w:r>
      <w:r>
        <w:t xml:space="preserve"> </w:t>
      </w:r>
      <w:r>
        <w:rPr>
          <w:iCs/>
          <w:i/>
        </w:rPr>
        <w:t xml:space="preserve">European Heart Journal – Digital Health</w:t>
      </w:r>
      <w:r>
        <w:t xml:space="preserve">,</w:t>
      </w:r>
      <w:r>
        <w:t xml:space="preserve"> </w:t>
      </w:r>
      <w:r>
        <w:rPr>
          <w:iCs/>
          <w:i/>
        </w:rPr>
        <w:t xml:space="preserve">npj Digital Medicine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data-availability-links"/>
    <w:p>
      <w:pPr>
        <w:pStyle w:val="Heading2"/>
      </w:pPr>
      <w:r>
        <w:t xml:space="preserve">11. Data availability — links</w:t>
      </w:r>
    </w:p>
    <w:p>
      <w:pPr>
        <w:pStyle w:val="FirstParagraph"/>
      </w:pPr>
      <w:r>
        <w:rPr>
          <w:bCs/>
          <w:b/>
        </w:rPr>
        <w:t xml:space="preserve">Primary training / internal test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PTB-XL v1.0.3 (PhysioNet):</w:t>
      </w:r>
      <w:r>
        <w:t xml:space="preserve"> </w:t>
      </w:r>
      <w:r>
        <w:t xml:space="preserve">https://physionet.org/content/ptb-xl/1.0.3/</w:t>
      </w:r>
      <w:r>
        <w:t xml:space="preserve"> </w:t>
      </w:r>
      <w:r>
        <w:t xml:space="preserve">DOI: https://doi.org/10.13026/kfzx-aw45 · Dataset paper: https://www.nature.com/articles/s41597-020-0495-6 · Open access (direct download /</w:t>
      </w:r>
      <w:r>
        <w:t xml:space="preserve"> </w:t>
      </w:r>
      <w:r>
        <w:rPr>
          <w:rStyle w:val="VerbatimChar"/>
        </w:rPr>
        <w:t xml:space="preserve">wget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External validation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MIMIC-IV-ECG v1.0 (PhysioNet):</w:t>
      </w:r>
      <w:r>
        <w:t xml:space="preserve"> </w:t>
      </w:r>
      <w:r>
        <w:t xml:space="preserve">https://physionet.org/content/mimic-iv-ecg/1.0/</w:t>
      </w:r>
      <w:r>
        <w:t xml:space="preserve"> </w:t>
      </w:r>
      <w:r>
        <w:t xml:space="preserve">Requires PhysioNet credentialed access + data use agreement.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MIMIC-IV-ECG Demo v0.1 (open access, for pipeline testing before credentialing):</w:t>
      </w:r>
      <w:r>
        <w:t xml:space="preserve"> </w:t>
      </w:r>
      <w:r>
        <w:t xml:space="preserve">https://physionet.org/content/mimic-iv-ecg-demo/0.1/</w:t>
      </w:r>
    </w:p>
    <w:p>
      <w:pPr>
        <w:pStyle w:val="BodyText"/>
      </w:pPr>
      <w:r>
        <w:rPr>
          <w:bCs/>
          <w:b/>
        </w:rPr>
        <w:t xml:space="preserve">Optional secondary / robustness check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Chapman–Shaoxing–Ningbo,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large scale 12-lead ECG database for arrhythmia study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v1.0.0 (PhysioNet):</w:t>
      </w:r>
      <w:r>
        <w:t xml:space="preserve"> </w:t>
      </w:r>
      <w:r>
        <w:t xml:space="preserve">https://physionet.org/content/ecg-arrhythmia/1.0.0/</w:t>
      </w:r>
      <w:r>
        <w:t xml:space="preserve"> </w:t>
      </w:r>
      <w:r>
        <w:t xml:space="preserve">(Rhythm-focused; not MI-labeled — use for attribution-behavior spot-checks only.)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PhysioNet/CinC Challenge 2020 (aggregated 12-lead databases, incl. MI labels):</w:t>
      </w:r>
      <w:r>
        <w:t xml:space="preserve"> </w:t>
      </w:r>
      <w:r>
        <w:t xml:space="preserve">https://physionet.org/content/challenge-2020/1.0.2/</w:t>
      </w:r>
    </w:p>
    <w:p>
      <w:pPr>
        <w:pStyle w:val="BodyText"/>
      </w:pPr>
      <w:r>
        <w:rPr>
          <w:bCs/>
          <w:b/>
        </w:rPr>
        <w:t xml:space="preserve">Core tooling (open source)</w:t>
      </w:r>
      <w:r>
        <w:t xml:space="preserve"> </w:t>
      </w:r>
      <w:r>
        <w:t xml:space="preserve">- Captum (attribution methods): https://captum.ai/</w:t>
      </w:r>
      <w:r>
        <w:t xml:space="preserve"> </w:t>
      </w:r>
      <w:r>
        <w:t xml:space="preserve">- NeuroKit2 (ECG delineation for concordance masks): https://github.com/neuropsychology/NeuroKit</w:t>
      </w:r>
    </w:p>
    <w:p>
      <w:r>
        <w:pict>
          <v:rect style="width:0;height:1.5pt" o:hralign="center" o:hrstd="t" o:hr="t"/>
        </w:pict>
      </w:r>
    </w:p>
    <w:bookmarkEnd w:id="43"/>
    <w:bookmarkStart w:id="44" w:name="selected-references"/>
    <w:p>
      <w:pPr>
        <w:pStyle w:val="Heading2"/>
      </w:pPr>
      <w:r>
        <w:t xml:space="preserve">12. Selected references</w:t>
      </w:r>
    </w:p>
    <w:p>
      <w:pPr>
        <w:numPr>
          <w:ilvl w:val="0"/>
          <w:numId w:val="1006"/>
        </w:numPr>
        <w:pStyle w:val="Compact"/>
      </w:pPr>
      <w:r>
        <w:t xml:space="preserve">Wagner P, Strodthoff N, Bousseljot R-D, et al. </w:t>
      </w:r>
      <w:r>
        <w:rPr>
          <w:iCs/>
          <w:i/>
        </w:rPr>
        <w:t xml:space="preserve">PTB-XL, a large publicly available electrocardiography dataset.</w:t>
      </w:r>
      <w:r>
        <w:t xml:space="preserve"> </w:t>
      </w:r>
      <w:r>
        <w:t xml:space="preserve">Scientific Data. 2020;7:154. doi:10.1038/s41597-020-0495-6.</w:t>
      </w:r>
    </w:p>
    <w:p>
      <w:pPr>
        <w:numPr>
          <w:ilvl w:val="0"/>
          <w:numId w:val="1006"/>
        </w:numPr>
        <w:pStyle w:val="Compact"/>
      </w:pPr>
      <w:r>
        <w:t xml:space="preserve">Gow B, Pollard T, Nathanson LA, et al. </w:t>
      </w:r>
      <w:r>
        <w:rPr>
          <w:iCs/>
          <w:i/>
        </w:rPr>
        <w:t xml:space="preserve">MIMIC-IV-ECG: Diagnostic Electrocardiogram Matched Subset</w:t>
      </w:r>
      <w:r>
        <w:t xml:space="preserve"> </w:t>
      </w:r>
      <w:r>
        <w:t xml:space="preserve">(v1.0). PhysioNet. 2023.</w:t>
      </w:r>
    </w:p>
    <w:p>
      <w:pPr>
        <w:numPr>
          <w:ilvl w:val="0"/>
          <w:numId w:val="1006"/>
        </w:numPr>
        <w:pStyle w:val="Compact"/>
      </w:pPr>
      <w:r>
        <w:t xml:space="preserve">Zheng J, Zhang J, Danioko S, et al. </w:t>
      </w:r>
      <w:r>
        <w:rPr>
          <w:iCs/>
          <w:i/>
        </w:rPr>
        <w:t xml:space="preserve">A 12-lead electrocardiogram database for arrhythmia research covering more than 10,000 patients.</w:t>
      </w:r>
      <w:r>
        <w:t xml:space="preserve"> </w:t>
      </w:r>
      <w:r>
        <w:t xml:space="preserve">Scientific Data / PhysioNet. 2020.</w:t>
      </w:r>
    </w:p>
    <w:p>
      <w:pPr>
        <w:numPr>
          <w:ilvl w:val="0"/>
          <w:numId w:val="1006"/>
        </w:numPr>
        <w:pStyle w:val="Compact"/>
      </w:pPr>
      <w:r>
        <w:t xml:space="preserve">Adebayo J, Gilmer J, Muelly M, Goodfellow I, Hardt M, Kim B.</w:t>
      </w:r>
      <w:r>
        <w:t xml:space="preserve"> </w:t>
      </w:r>
      <w:r>
        <w:rPr>
          <w:iCs/>
          <w:i/>
        </w:rPr>
        <w:t xml:space="preserve">Sanity Checks for Saliency Maps.</w:t>
      </w:r>
      <w:r>
        <w:t xml:space="preserve"> </w:t>
      </w:r>
      <w:r>
        <w:t xml:space="preserve">NeurIPS. 2018.</w:t>
      </w:r>
    </w:p>
    <w:p>
      <w:pPr>
        <w:numPr>
          <w:ilvl w:val="0"/>
          <w:numId w:val="1006"/>
        </w:numPr>
        <w:pStyle w:val="Compact"/>
      </w:pPr>
      <w:r>
        <w:t xml:space="preserve">Selvaraju RR, Cogswell M, Das A, et al. </w:t>
      </w:r>
      <w:r>
        <w:rPr>
          <w:iCs/>
          <w:i/>
        </w:rPr>
        <w:t xml:space="preserve">Grad-CAM: Visual Explanations from Deep Networks via Gradient-Based Localization.</w:t>
      </w:r>
      <w:r>
        <w:t xml:space="preserve"> </w:t>
      </w:r>
      <w:r>
        <w:t xml:space="preserve">ICCV. 2017.</w:t>
      </w:r>
    </w:p>
    <w:p>
      <w:pPr>
        <w:numPr>
          <w:ilvl w:val="0"/>
          <w:numId w:val="1006"/>
        </w:numPr>
        <w:pStyle w:val="Compact"/>
      </w:pPr>
      <w:r>
        <w:t xml:space="preserve">Lundberg SM, Lee S-I.</w:t>
      </w:r>
      <w:r>
        <w:t xml:space="preserve"> </w:t>
      </w:r>
      <w:r>
        <w:rPr>
          <w:iCs/>
          <w:i/>
        </w:rPr>
        <w:t xml:space="preserve">A Unified Approach to Interpreting Model Predictions</w:t>
      </w:r>
      <w:r>
        <w:t xml:space="preserve"> </w:t>
      </w:r>
      <w:r>
        <w:t xml:space="preserve">(SHAP). NeurIPS. 2017.</w:t>
      </w:r>
    </w:p>
    <w:p>
      <w:pPr>
        <w:numPr>
          <w:ilvl w:val="0"/>
          <w:numId w:val="1006"/>
        </w:numPr>
        <w:pStyle w:val="Compact"/>
      </w:pPr>
      <w:r>
        <w:t xml:space="preserve">Ribeiro MT, Singh S, Guestrin C.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Should I Trust You?</w:t>
      </w:r>
      <w:r>
        <w:rPr>
          <w:iCs/>
          <w:i/>
        </w:rPr>
        <w:t xml:space="preserve">”</w:t>
      </w:r>
      <w:r>
        <w:rPr>
          <w:iCs/>
          <w:i/>
        </w:rPr>
        <w:t xml:space="preserve">: Explaining the Predictions of Any Classifier</w:t>
      </w:r>
      <w:r>
        <w:t xml:space="preserve"> </w:t>
      </w:r>
      <w:r>
        <w:t xml:space="preserve">(LIME). KDD. 2016.</w:t>
      </w:r>
    </w:p>
    <w:p>
      <w:pPr>
        <w:numPr>
          <w:ilvl w:val="0"/>
          <w:numId w:val="1006"/>
        </w:numPr>
        <w:pStyle w:val="Compact"/>
      </w:pPr>
      <w:r>
        <w:t xml:space="preserve">Strodthoff N, et al. </w:t>
      </w:r>
      <w:r>
        <w:rPr>
          <w:iCs/>
          <w:i/>
        </w:rPr>
        <w:t xml:space="preserve">Explaining deep learning for ECG analysis: Building blocks for auditing and knowledge discovery.</w:t>
      </w:r>
      <w:r>
        <w:t xml:space="preserve"> </w:t>
      </w:r>
      <w:r>
        <w:t xml:space="preserve">Computers in Biology and Medicine. 2024. (Sanity checks reveal Grad-CAM’s temporal-attribution failure; saliency passes.)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Evaluating Feature Attribution Methods for Electrocardiogram.</w:t>
      </w:r>
      <w:r>
        <w:t xml:space="preserve"> </w:t>
      </w:r>
      <w:r>
        <w:t xml:space="preserve">2022. arXiv:2211.12702.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Visual interpretation of deep learning model in ECG classification: a comprehensive evaluation of feature attribution methods.</w:t>
      </w:r>
      <w:r>
        <w:t xml:space="preserve"> </w:t>
      </w:r>
      <w:r>
        <w:t xml:space="preserve">Computers in Biology and Medicine. 2024.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Explainable deep-learning-based techniques for ECG-based heart disease classification: a systematic literature review and future directions.</w:t>
      </w:r>
      <w:r>
        <w:t xml:space="preserve"> </w:t>
      </w:r>
      <w:r>
        <w:t xml:space="preserve">Computers in Biology and Medicine. 2025.</w:t>
      </w:r>
    </w:p>
    <w:p>
      <w:pPr>
        <w:numPr>
          <w:ilvl w:val="0"/>
          <w:numId w:val="1006"/>
        </w:numPr>
        <w:pStyle w:val="Compact"/>
      </w:pPr>
      <w:r>
        <w:t xml:space="preserve">Mothilal RK, Sharma A, Tan C.</w:t>
      </w:r>
      <w:r>
        <w:t xml:space="preserve"> </w:t>
      </w:r>
      <w:r>
        <w:rPr>
          <w:iCs/>
          <w:i/>
        </w:rPr>
        <w:t xml:space="preserve">Explaining Machine Learning Classifiers through Diverse Counterfactual Explanations</w:t>
      </w:r>
      <w:r>
        <w:t xml:space="preserve"> </w:t>
      </w:r>
      <w:r>
        <w:t xml:space="preserve">(DiCE). FAccT. 2020. (For optional counterfactual extension.)</w:t>
      </w:r>
    </w:p>
    <w:p>
      <w:pPr>
        <w:pStyle w:val="FirstParagraph"/>
      </w:pPr>
      <w:r>
        <w:rPr>
          <w:iCs/>
          <w:i/>
        </w:rPr>
        <w:t xml:space="preserve">Reference details should be verified and completed against the source records before submission.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ECG xAI-AMI Benchmark Proposal</dc:title>
  <dc:creator/>
  <cp:keywords/>
  <dcterms:created xsi:type="dcterms:W3CDTF">2026-07-06T11:05:26Z</dcterms:created>
  <dcterms:modified xsi:type="dcterms:W3CDTF">2026-07-06T11:05:26Z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