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rPr>
        <w:t>KHÓA LUẬN TỐT NGHIỆP</w:t>
      </w:r>
    </w:p>
    <w:p>
      <w:pPr>
        <w:jc w:val="center"/>
      </w:pPr>
      <w:r>
        <w:rPr>
          <w:b/>
          <w:i w:val="0"/>
          <w:color w:val="2B4A8F"/>
          <w:sz w:val="40"/>
        </w:rPr>
        <w:t>Personalized Federated Heterogeneous Graph Learning</w:t>
        <w:br/>
        <w:t>for Credit Risk Prediction</w:t>
      </w:r>
    </w:p>
    <w:p>
      <w:pPr>
        <w:jc w:val="center"/>
      </w:pPr>
      <w:r>
        <w:rPr>
          <w:b/>
          <w:i w:val="0"/>
        </w:rPr>
        <w:t>BÁO CÁO: PHÂN TÍCH KẾT QUẢ QUA NHIỀU SEED HUẤN LUYỆN</w:t>
      </w:r>
    </w:p>
    <w:p>
      <w:pPr>
        <w:jc w:val="center"/>
      </w:pPr>
      <w:r>
        <w:rPr>
          <w:i w:val="0"/>
        </w:rPr>
        <w:t>Bộ dữ liệu: Home Credit Default Risk (Kaggle)</w:t>
      </w:r>
    </w:p>
    <w:p/>
    <w:p/>
    <w:p/>
    <w:p/>
    <w:p/>
    <w:p/>
    <w:p>
      <w:pPr>
        <w:jc w:val="center"/>
      </w:pPr>
      <w:r>
        <w:rPr>
          <w:i w:val="0"/>
        </w:rPr>
        <w:t>Người thực hiện: Anh Thu</w:t>
      </w:r>
    </w:p>
    <w:p>
      <w:pPr>
        <w:jc w:val="center"/>
      </w:pPr>
      <w:r>
        <w:rPr>
          <w:i w:val="0"/>
        </w:rPr>
        <w:t>Ngày cập nhật: 08/10/2026</w:t>
      </w:r>
    </w:p>
    <w:p>
      <w:pPr>
        <w:jc w:val="center"/>
      </w:pPr>
      <w:r>
        <w:rPr>
          <w:i w:val="0"/>
          <w:sz w:val="20"/>
        </w:rPr>
        <w:t>Mã nguồn: nhánh git main (repo home_credit_fedheterognn)</w:t>
      </w:r>
    </w:p>
    <w:p>
      <w:r>
        <w:br w:type="page"/>
      </w:r>
    </w:p>
    <w:p>
      <w:pPr>
        <w:pStyle w:val="Heading1"/>
      </w:pPr>
      <w:r>
        <w:t>1. Thiết lập</w:t>
      </w:r>
    </w:p>
    <w:p>
      <w:r>
        <w:t>Các mô hình Centralized HeteroGNN, Local-only, FedAvg và Ditto được huấn luyện với 3 seed (42, 1, 2) trên kịch bản region_territory_a0.5. Seed thay đổi khởi tạo trọng số và thứ tự batch; split Train/Validation/Test và cách chia client giữ nguyên. Mỗi mô hình được đánh giá riêng, không gộp dự đoán giữa các mô hình. Chỉ số là ROC-AUC trên Test của từng client; "trung bình" có trọng số theo số khách hàng Test của client.</w:t>
      </w:r>
    </w:p>
    <w:p>
      <w:pPr>
        <w:keepNext/>
      </w:pPr>
      <w:r>
        <w:rPr>
          <w:b/>
          <w:sz w:val="22"/>
        </w:rPr>
        <w:t>Bảng 1. ROC-AUC trên Test của từng client theo từng seed</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680"/>
            <w:shd w:val="clear" w:color="auto" w:fill="DCE4F2"/>
          </w:tcPr>
          <w:p>
            <w:pPr>
              <w:keepNext/>
            </w:pPr>
            <w:r>
              <w:rPr>
                <w:b/>
                <w:sz w:val="18"/>
              </w:rPr>
              <w:t>Seed</w:t>
            </w:r>
          </w:p>
        </w:tc>
        <w:tc>
          <w:tcPr>
            <w:tcW w:type="dxa" w:w="2268"/>
            <w:shd w:val="clear" w:color="auto" w:fill="DCE4F2"/>
          </w:tcPr>
          <w:p>
            <w:pPr>
              <w:keepNext/>
            </w:pPr>
            <w:r>
              <w:rPr>
                <w:b/>
                <w:sz w:val="18"/>
              </w:rPr>
              <w:t>Mô hình</w:t>
            </w:r>
          </w:p>
        </w:tc>
        <w:tc>
          <w:tcPr>
            <w:tcW w:type="dxa" w:w="1077"/>
            <w:shd w:val="clear" w:color="auto" w:fill="DCE4F2"/>
          </w:tcPr>
          <w:p>
            <w:pPr>
              <w:keepNext/>
            </w:pPr>
            <w:r>
              <w:rPr>
                <w:b/>
                <w:sz w:val="18"/>
              </w:rPr>
              <w:t>C0</w:t>
            </w:r>
          </w:p>
        </w:tc>
        <w:tc>
          <w:tcPr>
            <w:tcW w:type="dxa" w:w="1077"/>
            <w:shd w:val="clear" w:color="auto" w:fill="DCE4F2"/>
          </w:tcPr>
          <w:p>
            <w:pPr>
              <w:keepNext/>
            </w:pPr>
            <w:r>
              <w:rPr>
                <w:b/>
                <w:sz w:val="18"/>
              </w:rPr>
              <w:t>C1</w:t>
            </w:r>
          </w:p>
        </w:tc>
        <w:tc>
          <w:tcPr>
            <w:tcW w:type="dxa" w:w="1077"/>
            <w:shd w:val="clear" w:color="auto" w:fill="DCE4F2"/>
          </w:tcPr>
          <w:p>
            <w:pPr>
              <w:keepNext/>
            </w:pPr>
            <w:r>
              <w:rPr>
                <w:b/>
                <w:sz w:val="18"/>
              </w:rPr>
              <w:t>C2</w:t>
            </w:r>
          </w:p>
        </w:tc>
        <w:tc>
          <w:tcPr>
            <w:tcW w:type="dxa" w:w="1077"/>
            <w:shd w:val="clear" w:color="auto" w:fill="DCE4F2"/>
          </w:tcPr>
          <w:p>
            <w:pPr>
              <w:keepNext/>
            </w:pPr>
            <w:r>
              <w:rPr>
                <w:b/>
                <w:sz w:val="18"/>
              </w:rPr>
              <w:t>C3</w:t>
            </w:r>
          </w:p>
        </w:tc>
        <w:tc>
          <w:tcPr>
            <w:tcW w:type="dxa" w:w="1077"/>
            <w:shd w:val="clear" w:color="auto" w:fill="DCE4F2"/>
          </w:tcPr>
          <w:p>
            <w:pPr>
              <w:keepNext/>
            </w:pPr>
            <w:r>
              <w:rPr>
                <w:b/>
                <w:sz w:val="18"/>
              </w:rPr>
              <w:t>C4</w:t>
            </w:r>
          </w:p>
        </w:tc>
        <w:tc>
          <w:tcPr>
            <w:tcW w:type="dxa" w:w="1077"/>
            <w:shd w:val="clear" w:color="auto" w:fill="DCE4F2"/>
          </w:tcPr>
          <w:p>
            <w:pPr>
              <w:keepNext/>
            </w:pPr>
            <w:r>
              <w:rPr>
                <w:b/>
                <w:sz w:val="18"/>
              </w:rPr>
              <w:t>Trung bình</w:t>
            </w:r>
          </w:p>
        </w:tc>
      </w:tr>
      <w:tr>
        <w:tc>
          <w:tcPr>
            <w:tcW w:type="dxa" w:w="680"/>
          </w:tcPr>
          <w:p>
            <w:r>
              <w:rPr>
                <w:sz w:val="18"/>
              </w:rPr>
              <w:t>42</w:t>
            </w:r>
          </w:p>
        </w:tc>
        <w:tc>
          <w:tcPr>
            <w:tcW w:type="dxa" w:w="2268"/>
          </w:tcPr>
          <w:p>
            <w:r>
              <w:rPr>
                <w:sz w:val="18"/>
              </w:rPr>
              <w:t>Centralized HeteroGNN</w:t>
            </w:r>
          </w:p>
        </w:tc>
        <w:tc>
          <w:tcPr>
            <w:tcW w:type="dxa" w:w="1077"/>
          </w:tcPr>
          <w:p>
            <w:r>
              <w:rPr>
                <w:sz w:val="18"/>
              </w:rPr>
              <w:t>0.7830</w:t>
            </w:r>
          </w:p>
        </w:tc>
        <w:tc>
          <w:tcPr>
            <w:tcW w:type="dxa" w:w="1077"/>
          </w:tcPr>
          <w:p>
            <w:r>
              <w:rPr>
                <w:sz w:val="18"/>
              </w:rPr>
              <w:t>0.7752</w:t>
            </w:r>
          </w:p>
        </w:tc>
        <w:tc>
          <w:tcPr>
            <w:tcW w:type="dxa" w:w="1077"/>
          </w:tcPr>
          <w:p>
            <w:r>
              <w:rPr>
                <w:sz w:val="18"/>
              </w:rPr>
              <w:t>0.7869</w:t>
            </w:r>
          </w:p>
        </w:tc>
        <w:tc>
          <w:tcPr>
            <w:tcW w:type="dxa" w:w="1077"/>
          </w:tcPr>
          <w:p>
            <w:r>
              <w:rPr>
                <w:sz w:val="18"/>
              </w:rPr>
              <w:t>0.7875</w:t>
            </w:r>
          </w:p>
        </w:tc>
        <w:tc>
          <w:tcPr>
            <w:tcW w:type="dxa" w:w="1077"/>
          </w:tcPr>
          <w:p>
            <w:r>
              <w:rPr>
                <w:sz w:val="18"/>
              </w:rPr>
              <w:t>0.7869</w:t>
            </w:r>
          </w:p>
        </w:tc>
        <w:tc>
          <w:tcPr>
            <w:tcW w:type="dxa" w:w="1077"/>
          </w:tcPr>
          <w:p>
            <w:r>
              <w:rPr>
                <w:sz w:val="18"/>
              </w:rPr>
              <w:t>0.7856</w:t>
            </w:r>
          </w:p>
        </w:tc>
      </w:tr>
      <w:tr>
        <w:tc>
          <w:tcPr>
            <w:tcW w:type="dxa" w:w="680"/>
          </w:tcPr>
          <w:p>
            <w:r>
              <w:rPr>
                <w:sz w:val="18"/>
              </w:rPr>
              <w:t>42</w:t>
            </w:r>
          </w:p>
        </w:tc>
        <w:tc>
          <w:tcPr>
            <w:tcW w:type="dxa" w:w="2268"/>
          </w:tcPr>
          <w:p>
            <w:r>
              <w:rPr>
                <w:sz w:val="18"/>
              </w:rPr>
              <w:t>Local-only</w:t>
            </w:r>
          </w:p>
        </w:tc>
        <w:tc>
          <w:tcPr>
            <w:tcW w:type="dxa" w:w="1077"/>
          </w:tcPr>
          <w:p>
            <w:r>
              <w:rPr>
                <w:sz w:val="18"/>
              </w:rPr>
              <w:t>0.7491</w:t>
            </w:r>
          </w:p>
        </w:tc>
        <w:tc>
          <w:tcPr>
            <w:tcW w:type="dxa" w:w="1077"/>
          </w:tcPr>
          <w:p>
            <w:r>
              <w:rPr>
                <w:sz w:val="18"/>
              </w:rPr>
              <w:t>0.7463</w:t>
            </w:r>
          </w:p>
        </w:tc>
        <w:tc>
          <w:tcPr>
            <w:tcW w:type="dxa" w:w="1077"/>
          </w:tcPr>
          <w:p>
            <w:r>
              <w:rPr>
                <w:sz w:val="18"/>
              </w:rPr>
              <w:t>0.7701</w:t>
            </w:r>
          </w:p>
        </w:tc>
        <w:tc>
          <w:tcPr>
            <w:tcW w:type="dxa" w:w="1077"/>
          </w:tcPr>
          <w:p>
            <w:r>
              <w:rPr>
                <w:sz w:val="18"/>
              </w:rPr>
              <w:t>0.7718</w:t>
            </w:r>
          </w:p>
        </w:tc>
        <w:tc>
          <w:tcPr>
            <w:tcW w:type="dxa" w:w="1077"/>
          </w:tcPr>
          <w:p>
            <w:r>
              <w:rPr>
                <w:sz w:val="18"/>
              </w:rPr>
              <w:t>0.7733</w:t>
            </w:r>
          </w:p>
        </w:tc>
        <w:tc>
          <w:tcPr>
            <w:tcW w:type="dxa" w:w="1077"/>
          </w:tcPr>
          <w:p>
            <w:r>
              <w:rPr>
                <w:sz w:val="18"/>
              </w:rPr>
              <w:t>0.7678</w:t>
            </w:r>
          </w:p>
        </w:tc>
      </w:tr>
      <w:tr>
        <w:tc>
          <w:tcPr>
            <w:tcW w:type="dxa" w:w="680"/>
          </w:tcPr>
          <w:p>
            <w:r>
              <w:rPr>
                <w:sz w:val="18"/>
              </w:rPr>
              <w:t>42</w:t>
            </w:r>
          </w:p>
        </w:tc>
        <w:tc>
          <w:tcPr>
            <w:tcW w:type="dxa" w:w="2268"/>
          </w:tcPr>
          <w:p>
            <w:r>
              <w:rPr>
                <w:sz w:val="18"/>
              </w:rPr>
              <w:t>FedAvg</w:t>
            </w:r>
          </w:p>
        </w:tc>
        <w:tc>
          <w:tcPr>
            <w:tcW w:type="dxa" w:w="1077"/>
          </w:tcPr>
          <w:p>
            <w:r>
              <w:rPr>
                <w:sz w:val="18"/>
              </w:rPr>
              <w:t>0.7775</w:t>
            </w:r>
          </w:p>
        </w:tc>
        <w:tc>
          <w:tcPr>
            <w:tcW w:type="dxa" w:w="1077"/>
          </w:tcPr>
          <w:p>
            <w:r>
              <w:rPr>
                <w:sz w:val="18"/>
              </w:rPr>
              <w:t>0.7731</w:t>
            </w:r>
          </w:p>
        </w:tc>
        <w:tc>
          <w:tcPr>
            <w:tcW w:type="dxa" w:w="1077"/>
          </w:tcPr>
          <w:p>
            <w:r>
              <w:rPr>
                <w:sz w:val="18"/>
              </w:rPr>
              <w:t>0.7789</w:t>
            </w:r>
          </w:p>
        </w:tc>
        <w:tc>
          <w:tcPr>
            <w:tcW w:type="dxa" w:w="1077"/>
          </w:tcPr>
          <w:p>
            <w:r>
              <w:rPr>
                <w:sz w:val="18"/>
              </w:rPr>
              <w:t>0.7881</w:t>
            </w:r>
          </w:p>
        </w:tc>
        <w:tc>
          <w:tcPr>
            <w:tcW w:type="dxa" w:w="1077"/>
          </w:tcPr>
          <w:p>
            <w:r>
              <w:rPr>
                <w:sz w:val="18"/>
              </w:rPr>
              <w:t>0.7838</w:t>
            </w:r>
          </w:p>
        </w:tc>
        <w:tc>
          <w:tcPr>
            <w:tcW w:type="dxa" w:w="1077"/>
          </w:tcPr>
          <w:p>
            <w:r>
              <w:rPr>
                <w:sz w:val="18"/>
              </w:rPr>
              <w:t>0.7833</w:t>
            </w:r>
          </w:p>
        </w:tc>
      </w:tr>
      <w:tr>
        <w:tc>
          <w:tcPr>
            <w:tcW w:type="dxa" w:w="680"/>
          </w:tcPr>
          <w:p>
            <w:r>
              <w:rPr>
                <w:sz w:val="18"/>
              </w:rPr>
              <w:t>42</w:t>
            </w:r>
          </w:p>
        </w:tc>
        <w:tc>
          <w:tcPr>
            <w:tcW w:type="dxa" w:w="2268"/>
          </w:tcPr>
          <w:p>
            <w:r>
              <w:rPr>
                <w:sz w:val="18"/>
              </w:rPr>
              <w:t>Ditto</w:t>
            </w:r>
          </w:p>
        </w:tc>
        <w:tc>
          <w:tcPr>
            <w:tcW w:type="dxa" w:w="1077"/>
          </w:tcPr>
          <w:p>
            <w:r>
              <w:rPr>
                <w:sz w:val="18"/>
              </w:rPr>
              <w:t>0.7794</w:t>
            </w:r>
          </w:p>
        </w:tc>
        <w:tc>
          <w:tcPr>
            <w:tcW w:type="dxa" w:w="1077"/>
          </w:tcPr>
          <w:p>
            <w:r>
              <w:rPr>
                <w:sz w:val="18"/>
              </w:rPr>
              <w:t>0.7747</w:t>
            </w:r>
          </w:p>
        </w:tc>
        <w:tc>
          <w:tcPr>
            <w:tcW w:type="dxa" w:w="1077"/>
          </w:tcPr>
          <w:p>
            <w:r>
              <w:rPr>
                <w:sz w:val="18"/>
              </w:rPr>
              <w:t>0.7871</w:t>
            </w:r>
          </w:p>
        </w:tc>
        <w:tc>
          <w:tcPr>
            <w:tcW w:type="dxa" w:w="1077"/>
          </w:tcPr>
          <w:p>
            <w:r>
              <w:rPr>
                <w:sz w:val="18"/>
              </w:rPr>
              <w:t>0.7868</w:t>
            </w:r>
          </w:p>
        </w:tc>
        <w:tc>
          <w:tcPr>
            <w:tcW w:type="dxa" w:w="1077"/>
          </w:tcPr>
          <w:p>
            <w:r>
              <w:rPr>
                <w:sz w:val="18"/>
              </w:rPr>
              <w:t>0.7807</w:t>
            </w:r>
          </w:p>
        </w:tc>
        <w:tc>
          <w:tcPr>
            <w:tcW w:type="dxa" w:w="1077"/>
          </w:tcPr>
          <w:p>
            <w:r>
              <w:rPr>
                <w:sz w:val="18"/>
              </w:rPr>
              <w:t>0.7821</w:t>
            </w:r>
          </w:p>
        </w:tc>
      </w:tr>
      <w:tr>
        <w:tc>
          <w:tcPr>
            <w:tcW w:type="dxa" w:w="680"/>
          </w:tcPr>
          <w:p>
            <w:r>
              <w:rPr>
                <w:sz w:val="18"/>
              </w:rPr>
              <w:t>1</w:t>
            </w:r>
          </w:p>
        </w:tc>
        <w:tc>
          <w:tcPr>
            <w:tcW w:type="dxa" w:w="2268"/>
          </w:tcPr>
          <w:p>
            <w:r>
              <w:rPr>
                <w:sz w:val="18"/>
              </w:rPr>
              <w:t>Centralized HeteroGNN</w:t>
            </w:r>
          </w:p>
        </w:tc>
        <w:tc>
          <w:tcPr>
            <w:tcW w:type="dxa" w:w="1077"/>
          </w:tcPr>
          <w:p>
            <w:r>
              <w:rPr>
                <w:sz w:val="18"/>
              </w:rPr>
              <w:t>0.7805</w:t>
            </w:r>
          </w:p>
        </w:tc>
        <w:tc>
          <w:tcPr>
            <w:tcW w:type="dxa" w:w="1077"/>
          </w:tcPr>
          <w:p>
            <w:r>
              <w:rPr>
                <w:sz w:val="18"/>
              </w:rPr>
              <w:t>0.7735</w:t>
            </w:r>
          </w:p>
        </w:tc>
        <w:tc>
          <w:tcPr>
            <w:tcW w:type="dxa" w:w="1077"/>
          </w:tcPr>
          <w:p>
            <w:r>
              <w:rPr>
                <w:sz w:val="18"/>
              </w:rPr>
              <w:t>0.7865</w:t>
            </w:r>
          </w:p>
        </w:tc>
        <w:tc>
          <w:tcPr>
            <w:tcW w:type="dxa" w:w="1077"/>
          </w:tcPr>
          <w:p>
            <w:r>
              <w:rPr>
                <w:sz w:val="18"/>
              </w:rPr>
              <w:t>0.7880</w:t>
            </w:r>
          </w:p>
        </w:tc>
        <w:tc>
          <w:tcPr>
            <w:tcW w:type="dxa" w:w="1077"/>
          </w:tcPr>
          <w:p>
            <w:r>
              <w:rPr>
                <w:sz w:val="18"/>
              </w:rPr>
              <w:t>0.7875</w:t>
            </w:r>
          </w:p>
        </w:tc>
        <w:tc>
          <w:tcPr>
            <w:tcW w:type="dxa" w:w="1077"/>
          </w:tcPr>
          <w:p>
            <w:r>
              <w:rPr>
                <w:sz w:val="18"/>
              </w:rPr>
              <w:t>0.7856</w:t>
            </w:r>
          </w:p>
        </w:tc>
      </w:tr>
      <w:tr>
        <w:tc>
          <w:tcPr>
            <w:tcW w:type="dxa" w:w="680"/>
          </w:tcPr>
          <w:p>
            <w:r>
              <w:rPr>
                <w:sz w:val="18"/>
              </w:rPr>
              <w:t>1</w:t>
            </w:r>
          </w:p>
        </w:tc>
        <w:tc>
          <w:tcPr>
            <w:tcW w:type="dxa" w:w="2268"/>
          </w:tcPr>
          <w:p>
            <w:r>
              <w:rPr>
                <w:sz w:val="18"/>
              </w:rPr>
              <w:t>Local-only</w:t>
            </w:r>
          </w:p>
        </w:tc>
        <w:tc>
          <w:tcPr>
            <w:tcW w:type="dxa" w:w="1077"/>
          </w:tcPr>
          <w:p>
            <w:r>
              <w:rPr>
                <w:sz w:val="18"/>
              </w:rPr>
              <w:t>0.7507</w:t>
            </w:r>
          </w:p>
        </w:tc>
        <w:tc>
          <w:tcPr>
            <w:tcW w:type="dxa" w:w="1077"/>
          </w:tcPr>
          <w:p>
            <w:r>
              <w:rPr>
                <w:sz w:val="18"/>
              </w:rPr>
              <w:t>0.7411</w:t>
            </w:r>
          </w:p>
        </w:tc>
        <w:tc>
          <w:tcPr>
            <w:tcW w:type="dxa" w:w="1077"/>
          </w:tcPr>
          <w:p>
            <w:r>
              <w:rPr>
                <w:sz w:val="18"/>
              </w:rPr>
              <w:t>0.7634</w:t>
            </w:r>
          </w:p>
        </w:tc>
        <w:tc>
          <w:tcPr>
            <w:tcW w:type="dxa" w:w="1077"/>
          </w:tcPr>
          <w:p>
            <w:r>
              <w:rPr>
                <w:sz w:val="18"/>
              </w:rPr>
              <w:t>0.7678</w:t>
            </w:r>
          </w:p>
        </w:tc>
        <w:tc>
          <w:tcPr>
            <w:tcW w:type="dxa" w:w="1077"/>
          </w:tcPr>
          <w:p>
            <w:r>
              <w:rPr>
                <w:sz w:val="18"/>
              </w:rPr>
              <w:t>0.7726</w:t>
            </w:r>
          </w:p>
        </w:tc>
        <w:tc>
          <w:tcPr>
            <w:tcW w:type="dxa" w:w="1077"/>
          </w:tcPr>
          <w:p>
            <w:r>
              <w:rPr>
                <w:sz w:val="18"/>
              </w:rPr>
              <w:t>0.7658</w:t>
            </w:r>
          </w:p>
        </w:tc>
      </w:tr>
      <w:tr>
        <w:tc>
          <w:tcPr>
            <w:tcW w:type="dxa" w:w="680"/>
          </w:tcPr>
          <w:p>
            <w:r>
              <w:rPr>
                <w:sz w:val="18"/>
              </w:rPr>
              <w:t>1</w:t>
            </w:r>
          </w:p>
        </w:tc>
        <w:tc>
          <w:tcPr>
            <w:tcW w:type="dxa" w:w="2268"/>
          </w:tcPr>
          <w:p>
            <w:r>
              <w:rPr>
                <w:sz w:val="18"/>
              </w:rPr>
              <w:t>FedAvg</w:t>
            </w:r>
          </w:p>
        </w:tc>
        <w:tc>
          <w:tcPr>
            <w:tcW w:type="dxa" w:w="1077"/>
          </w:tcPr>
          <w:p>
            <w:r>
              <w:rPr>
                <w:sz w:val="18"/>
              </w:rPr>
              <w:t>0.7790</w:t>
            </w:r>
          </w:p>
        </w:tc>
        <w:tc>
          <w:tcPr>
            <w:tcW w:type="dxa" w:w="1077"/>
          </w:tcPr>
          <w:p>
            <w:r>
              <w:rPr>
                <w:sz w:val="18"/>
              </w:rPr>
              <w:t>0.7708</w:t>
            </w:r>
          </w:p>
        </w:tc>
        <w:tc>
          <w:tcPr>
            <w:tcW w:type="dxa" w:w="1077"/>
          </w:tcPr>
          <w:p>
            <w:r>
              <w:rPr>
                <w:sz w:val="18"/>
              </w:rPr>
              <w:t>0.7779</w:t>
            </w:r>
          </w:p>
        </w:tc>
        <w:tc>
          <w:tcPr>
            <w:tcW w:type="dxa" w:w="1077"/>
          </w:tcPr>
          <w:p>
            <w:r>
              <w:rPr>
                <w:sz w:val="18"/>
              </w:rPr>
              <w:t>0.7854</w:t>
            </w:r>
          </w:p>
        </w:tc>
        <w:tc>
          <w:tcPr>
            <w:tcW w:type="dxa" w:w="1077"/>
          </w:tcPr>
          <w:p>
            <w:r>
              <w:rPr>
                <w:sz w:val="18"/>
              </w:rPr>
              <w:t>0.7834</w:t>
            </w:r>
          </w:p>
        </w:tc>
        <w:tc>
          <w:tcPr>
            <w:tcW w:type="dxa" w:w="1077"/>
          </w:tcPr>
          <w:p>
            <w:r>
              <w:rPr>
                <w:sz w:val="18"/>
              </w:rPr>
              <w:t>0.7823</w:t>
            </w:r>
          </w:p>
        </w:tc>
      </w:tr>
      <w:tr>
        <w:tc>
          <w:tcPr>
            <w:tcW w:type="dxa" w:w="680"/>
          </w:tcPr>
          <w:p>
            <w:r>
              <w:rPr>
                <w:sz w:val="18"/>
              </w:rPr>
              <w:t>1</w:t>
            </w:r>
          </w:p>
        </w:tc>
        <w:tc>
          <w:tcPr>
            <w:tcW w:type="dxa" w:w="2268"/>
          </w:tcPr>
          <w:p>
            <w:r>
              <w:rPr>
                <w:sz w:val="18"/>
              </w:rPr>
              <w:t>Ditto</w:t>
            </w:r>
          </w:p>
        </w:tc>
        <w:tc>
          <w:tcPr>
            <w:tcW w:type="dxa" w:w="1077"/>
          </w:tcPr>
          <w:p>
            <w:r>
              <w:rPr>
                <w:sz w:val="18"/>
              </w:rPr>
              <w:t>0.7824</w:t>
            </w:r>
          </w:p>
        </w:tc>
        <w:tc>
          <w:tcPr>
            <w:tcW w:type="dxa" w:w="1077"/>
          </w:tcPr>
          <w:p>
            <w:r>
              <w:rPr>
                <w:sz w:val="18"/>
              </w:rPr>
              <w:t>0.7690</w:t>
            </w:r>
          </w:p>
        </w:tc>
        <w:tc>
          <w:tcPr>
            <w:tcW w:type="dxa" w:w="1077"/>
          </w:tcPr>
          <w:p>
            <w:r>
              <w:rPr>
                <w:sz w:val="18"/>
              </w:rPr>
              <w:t>0.7793</w:t>
            </w:r>
          </w:p>
        </w:tc>
        <w:tc>
          <w:tcPr>
            <w:tcW w:type="dxa" w:w="1077"/>
          </w:tcPr>
          <w:p>
            <w:r>
              <w:rPr>
                <w:sz w:val="18"/>
              </w:rPr>
              <w:t>0.7840</w:t>
            </w:r>
          </w:p>
        </w:tc>
        <w:tc>
          <w:tcPr>
            <w:tcW w:type="dxa" w:w="1077"/>
          </w:tcPr>
          <w:p>
            <w:r>
              <w:rPr>
                <w:sz w:val="18"/>
              </w:rPr>
              <w:t>0.7813</w:t>
            </w:r>
          </w:p>
        </w:tc>
        <w:tc>
          <w:tcPr>
            <w:tcW w:type="dxa" w:w="1077"/>
          </w:tcPr>
          <w:p>
            <w:r>
              <w:rPr>
                <w:sz w:val="18"/>
              </w:rPr>
              <w:t>0.7812</w:t>
            </w:r>
          </w:p>
        </w:tc>
      </w:tr>
      <w:tr>
        <w:tc>
          <w:tcPr>
            <w:tcW w:type="dxa" w:w="680"/>
          </w:tcPr>
          <w:p>
            <w:r>
              <w:rPr>
                <w:sz w:val="18"/>
              </w:rPr>
              <w:t>2</w:t>
            </w:r>
          </w:p>
        </w:tc>
        <w:tc>
          <w:tcPr>
            <w:tcW w:type="dxa" w:w="2268"/>
          </w:tcPr>
          <w:p>
            <w:r>
              <w:rPr>
                <w:sz w:val="18"/>
              </w:rPr>
              <w:t>Centralized HeteroGNN</w:t>
            </w:r>
          </w:p>
        </w:tc>
        <w:tc>
          <w:tcPr>
            <w:tcW w:type="dxa" w:w="1077"/>
          </w:tcPr>
          <w:p>
            <w:r>
              <w:rPr>
                <w:sz w:val="18"/>
              </w:rPr>
              <w:t>0.7794</w:t>
            </w:r>
          </w:p>
        </w:tc>
        <w:tc>
          <w:tcPr>
            <w:tcW w:type="dxa" w:w="1077"/>
          </w:tcPr>
          <w:p>
            <w:r>
              <w:rPr>
                <w:sz w:val="18"/>
              </w:rPr>
              <w:t>0.7724</w:t>
            </w:r>
          </w:p>
        </w:tc>
        <w:tc>
          <w:tcPr>
            <w:tcW w:type="dxa" w:w="1077"/>
          </w:tcPr>
          <w:p>
            <w:r>
              <w:rPr>
                <w:sz w:val="18"/>
              </w:rPr>
              <w:t>0.7859</w:t>
            </w:r>
          </w:p>
        </w:tc>
        <w:tc>
          <w:tcPr>
            <w:tcW w:type="dxa" w:w="1077"/>
          </w:tcPr>
          <w:p>
            <w:r>
              <w:rPr>
                <w:sz w:val="18"/>
              </w:rPr>
              <w:t>0.7862</w:t>
            </w:r>
          </w:p>
        </w:tc>
        <w:tc>
          <w:tcPr>
            <w:tcW w:type="dxa" w:w="1077"/>
          </w:tcPr>
          <w:p>
            <w:r>
              <w:rPr>
                <w:sz w:val="18"/>
              </w:rPr>
              <w:t>0.7832</w:t>
            </w:r>
          </w:p>
        </w:tc>
        <w:tc>
          <w:tcPr>
            <w:tcW w:type="dxa" w:w="1077"/>
          </w:tcPr>
          <w:p>
            <w:r>
              <w:rPr>
                <w:sz w:val="18"/>
              </w:rPr>
              <w:t>0.7828</w:t>
            </w:r>
          </w:p>
        </w:tc>
      </w:tr>
      <w:tr>
        <w:tc>
          <w:tcPr>
            <w:tcW w:type="dxa" w:w="680"/>
          </w:tcPr>
          <w:p>
            <w:r>
              <w:rPr>
                <w:sz w:val="18"/>
              </w:rPr>
              <w:t>2</w:t>
            </w:r>
          </w:p>
        </w:tc>
        <w:tc>
          <w:tcPr>
            <w:tcW w:type="dxa" w:w="2268"/>
          </w:tcPr>
          <w:p>
            <w:r>
              <w:rPr>
                <w:sz w:val="18"/>
              </w:rPr>
              <w:t>Local-only</w:t>
            </w:r>
          </w:p>
        </w:tc>
        <w:tc>
          <w:tcPr>
            <w:tcW w:type="dxa" w:w="1077"/>
          </w:tcPr>
          <w:p>
            <w:r>
              <w:rPr>
                <w:sz w:val="18"/>
              </w:rPr>
              <w:t>0.7472</w:t>
            </w:r>
          </w:p>
        </w:tc>
        <w:tc>
          <w:tcPr>
            <w:tcW w:type="dxa" w:w="1077"/>
          </w:tcPr>
          <w:p>
            <w:r>
              <w:rPr>
                <w:sz w:val="18"/>
              </w:rPr>
              <w:t>0.7392</w:t>
            </w:r>
          </w:p>
        </w:tc>
        <w:tc>
          <w:tcPr>
            <w:tcW w:type="dxa" w:w="1077"/>
          </w:tcPr>
          <w:p>
            <w:r>
              <w:rPr>
                <w:sz w:val="18"/>
              </w:rPr>
              <w:t>0.7652</w:t>
            </w:r>
          </w:p>
        </w:tc>
        <w:tc>
          <w:tcPr>
            <w:tcW w:type="dxa" w:w="1077"/>
          </w:tcPr>
          <w:p>
            <w:r>
              <w:rPr>
                <w:sz w:val="18"/>
              </w:rPr>
              <w:t>0.7711</w:t>
            </w:r>
          </w:p>
        </w:tc>
        <w:tc>
          <w:tcPr>
            <w:tcW w:type="dxa" w:w="1077"/>
          </w:tcPr>
          <w:p>
            <w:r>
              <w:rPr>
                <w:sz w:val="18"/>
              </w:rPr>
              <w:t>0.7753</w:t>
            </w:r>
          </w:p>
        </w:tc>
        <w:tc>
          <w:tcPr>
            <w:tcW w:type="dxa" w:w="1077"/>
          </w:tcPr>
          <w:p>
            <w:r>
              <w:rPr>
                <w:sz w:val="18"/>
              </w:rPr>
              <w:t>0.7676</w:t>
            </w:r>
          </w:p>
        </w:tc>
      </w:tr>
      <w:tr>
        <w:tc>
          <w:tcPr>
            <w:tcW w:type="dxa" w:w="680"/>
          </w:tcPr>
          <w:p>
            <w:r>
              <w:rPr>
                <w:sz w:val="18"/>
              </w:rPr>
              <w:t>2</w:t>
            </w:r>
          </w:p>
        </w:tc>
        <w:tc>
          <w:tcPr>
            <w:tcW w:type="dxa" w:w="2268"/>
          </w:tcPr>
          <w:p>
            <w:r>
              <w:rPr>
                <w:sz w:val="18"/>
              </w:rPr>
              <w:t>FedAvg</w:t>
            </w:r>
          </w:p>
        </w:tc>
        <w:tc>
          <w:tcPr>
            <w:tcW w:type="dxa" w:w="1077"/>
          </w:tcPr>
          <w:p>
            <w:r>
              <w:rPr>
                <w:sz w:val="18"/>
              </w:rPr>
              <w:t>0.7814</w:t>
            </w:r>
          </w:p>
        </w:tc>
        <w:tc>
          <w:tcPr>
            <w:tcW w:type="dxa" w:w="1077"/>
          </w:tcPr>
          <w:p>
            <w:r>
              <w:rPr>
                <w:sz w:val="18"/>
              </w:rPr>
              <w:t>0.7776</w:t>
            </w:r>
          </w:p>
        </w:tc>
        <w:tc>
          <w:tcPr>
            <w:tcW w:type="dxa" w:w="1077"/>
          </w:tcPr>
          <w:p>
            <w:r>
              <w:rPr>
                <w:sz w:val="18"/>
              </w:rPr>
              <w:t>0.7754</w:t>
            </w:r>
          </w:p>
        </w:tc>
        <w:tc>
          <w:tcPr>
            <w:tcW w:type="dxa" w:w="1077"/>
          </w:tcPr>
          <w:p>
            <w:r>
              <w:rPr>
                <w:sz w:val="18"/>
              </w:rPr>
              <w:t>0.7871</w:t>
            </w:r>
          </w:p>
        </w:tc>
        <w:tc>
          <w:tcPr>
            <w:tcW w:type="dxa" w:w="1077"/>
          </w:tcPr>
          <w:p>
            <w:r>
              <w:rPr>
                <w:sz w:val="18"/>
              </w:rPr>
              <w:t>0.7863</w:t>
            </w:r>
          </w:p>
        </w:tc>
        <w:tc>
          <w:tcPr>
            <w:tcW w:type="dxa" w:w="1077"/>
          </w:tcPr>
          <w:p>
            <w:r>
              <w:rPr>
                <w:sz w:val="18"/>
              </w:rPr>
              <w:t>0.7849</w:t>
            </w:r>
          </w:p>
        </w:tc>
      </w:tr>
      <w:tr>
        <w:tc>
          <w:tcPr>
            <w:tcW w:type="dxa" w:w="680"/>
          </w:tcPr>
          <w:p>
            <w:r>
              <w:rPr>
                <w:sz w:val="18"/>
              </w:rPr>
              <w:t>2</w:t>
            </w:r>
          </w:p>
        </w:tc>
        <w:tc>
          <w:tcPr>
            <w:tcW w:type="dxa" w:w="2268"/>
          </w:tcPr>
          <w:p>
            <w:r>
              <w:rPr>
                <w:sz w:val="18"/>
              </w:rPr>
              <w:t>Ditto</w:t>
            </w:r>
          </w:p>
        </w:tc>
        <w:tc>
          <w:tcPr>
            <w:tcW w:type="dxa" w:w="1077"/>
          </w:tcPr>
          <w:p>
            <w:r>
              <w:rPr>
                <w:sz w:val="18"/>
              </w:rPr>
              <w:t>0.7791</w:t>
            </w:r>
          </w:p>
        </w:tc>
        <w:tc>
          <w:tcPr>
            <w:tcW w:type="dxa" w:w="1077"/>
          </w:tcPr>
          <w:p>
            <w:r>
              <w:rPr>
                <w:sz w:val="18"/>
              </w:rPr>
              <w:t>0.7747</w:t>
            </w:r>
          </w:p>
        </w:tc>
        <w:tc>
          <w:tcPr>
            <w:tcW w:type="dxa" w:w="1077"/>
          </w:tcPr>
          <w:p>
            <w:r>
              <w:rPr>
                <w:sz w:val="18"/>
              </w:rPr>
              <w:t>0.7848</w:t>
            </w:r>
          </w:p>
        </w:tc>
        <w:tc>
          <w:tcPr>
            <w:tcW w:type="dxa" w:w="1077"/>
          </w:tcPr>
          <w:p>
            <w:r>
              <w:rPr>
                <w:sz w:val="18"/>
              </w:rPr>
              <w:t>0.7877</w:t>
            </w:r>
          </w:p>
        </w:tc>
        <w:tc>
          <w:tcPr>
            <w:tcW w:type="dxa" w:w="1077"/>
          </w:tcPr>
          <w:p>
            <w:r>
              <w:rPr>
                <w:sz w:val="18"/>
              </w:rPr>
              <w:t>0.7808</w:t>
            </w:r>
          </w:p>
        </w:tc>
        <w:tc>
          <w:tcPr>
            <w:tcW w:type="dxa" w:w="1077"/>
          </w:tcPr>
          <w:p>
            <w:r>
              <w:rPr>
                <w:sz w:val="18"/>
              </w:rPr>
              <w:t>0.7823</w:t>
            </w:r>
          </w:p>
        </w:tc>
      </w:tr>
    </w:tbl>
    <w:p/>
    <w:p>
      <w:pPr>
        <w:keepNext/>
      </w:pPr>
      <w:r>
        <w:rPr>
          <w:b/>
          <w:sz w:val="22"/>
        </w:rPr>
        <w:t>Bảng 2. ROC-AUC trung bình ± độ lệch chuẩn qua 3 seed</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814"/>
            <w:shd w:val="clear" w:color="auto" w:fill="DCE4F2"/>
          </w:tcPr>
          <w:p>
            <w:pPr>
              <w:keepNext/>
            </w:pPr>
            <w:r>
              <w:rPr>
                <w:b/>
                <w:sz w:val="16"/>
              </w:rPr>
              <w:t>Mô hình</w:t>
            </w:r>
          </w:p>
        </w:tc>
        <w:tc>
          <w:tcPr>
            <w:tcW w:type="dxa" w:w="1134"/>
            <w:shd w:val="clear" w:color="auto" w:fill="DCE4F2"/>
          </w:tcPr>
          <w:p>
            <w:pPr>
              <w:keepNext/>
            </w:pPr>
            <w:r>
              <w:rPr>
                <w:b/>
                <w:sz w:val="16"/>
              </w:rPr>
              <w:t>C0</w:t>
            </w:r>
          </w:p>
        </w:tc>
        <w:tc>
          <w:tcPr>
            <w:tcW w:type="dxa" w:w="1134"/>
            <w:shd w:val="clear" w:color="auto" w:fill="DCE4F2"/>
          </w:tcPr>
          <w:p>
            <w:pPr>
              <w:keepNext/>
            </w:pPr>
            <w:r>
              <w:rPr>
                <w:b/>
                <w:sz w:val="16"/>
              </w:rPr>
              <w:t>C1</w:t>
            </w:r>
          </w:p>
        </w:tc>
        <w:tc>
          <w:tcPr>
            <w:tcW w:type="dxa" w:w="1134"/>
            <w:shd w:val="clear" w:color="auto" w:fill="DCE4F2"/>
          </w:tcPr>
          <w:p>
            <w:pPr>
              <w:keepNext/>
            </w:pPr>
            <w:r>
              <w:rPr>
                <w:b/>
                <w:sz w:val="16"/>
              </w:rPr>
              <w:t>C2</w:t>
            </w:r>
          </w:p>
        </w:tc>
        <w:tc>
          <w:tcPr>
            <w:tcW w:type="dxa" w:w="1134"/>
            <w:shd w:val="clear" w:color="auto" w:fill="DCE4F2"/>
          </w:tcPr>
          <w:p>
            <w:pPr>
              <w:keepNext/>
            </w:pPr>
            <w:r>
              <w:rPr>
                <w:b/>
                <w:sz w:val="16"/>
              </w:rPr>
              <w:t>C3</w:t>
            </w:r>
          </w:p>
        </w:tc>
        <w:tc>
          <w:tcPr>
            <w:tcW w:type="dxa" w:w="1134"/>
            <w:shd w:val="clear" w:color="auto" w:fill="DCE4F2"/>
          </w:tcPr>
          <w:p>
            <w:pPr>
              <w:keepNext/>
            </w:pPr>
            <w:r>
              <w:rPr>
                <w:b/>
                <w:sz w:val="16"/>
              </w:rPr>
              <w:t>C4</w:t>
            </w:r>
          </w:p>
        </w:tc>
        <w:tc>
          <w:tcPr>
            <w:tcW w:type="dxa" w:w="1134"/>
            <w:shd w:val="clear" w:color="auto" w:fill="DCE4F2"/>
          </w:tcPr>
          <w:p>
            <w:pPr>
              <w:keepNext/>
            </w:pPr>
            <w:r>
              <w:rPr>
                <w:b/>
                <w:sz w:val="16"/>
              </w:rPr>
              <w:t>Trung bình</w:t>
            </w:r>
          </w:p>
        </w:tc>
        <w:tc>
          <w:tcPr>
            <w:tcW w:type="dxa" w:w="1134"/>
            <w:shd w:val="clear" w:color="auto" w:fill="DCE4F2"/>
          </w:tcPr>
          <w:p>
            <w:pPr>
              <w:keepNext/>
            </w:pPr>
            <w:r>
              <w:rPr>
                <w:b/>
                <w:sz w:val="16"/>
              </w:rPr>
              <w:t>Kém nhất</w:t>
            </w:r>
          </w:p>
        </w:tc>
      </w:tr>
      <w:tr>
        <w:tc>
          <w:tcPr>
            <w:tcW w:type="dxa" w:w="1814"/>
          </w:tcPr>
          <w:p>
            <w:r>
              <w:rPr>
                <w:sz w:val="16"/>
              </w:rPr>
              <w:t>Centralized HeteroGNN</w:t>
            </w:r>
          </w:p>
        </w:tc>
        <w:tc>
          <w:tcPr>
            <w:tcW w:type="dxa" w:w="1134"/>
          </w:tcPr>
          <w:p>
            <w:r>
              <w:rPr>
                <w:sz w:val="16"/>
              </w:rPr>
              <w:t>0.7810 ± 0.0018</w:t>
            </w:r>
          </w:p>
        </w:tc>
        <w:tc>
          <w:tcPr>
            <w:tcW w:type="dxa" w:w="1134"/>
          </w:tcPr>
          <w:p>
            <w:r>
              <w:rPr>
                <w:sz w:val="16"/>
              </w:rPr>
              <w:t>0.7737 ± 0.0014</w:t>
            </w:r>
          </w:p>
        </w:tc>
        <w:tc>
          <w:tcPr>
            <w:tcW w:type="dxa" w:w="1134"/>
          </w:tcPr>
          <w:p>
            <w:r>
              <w:rPr>
                <w:sz w:val="16"/>
              </w:rPr>
              <w:t>0.7864 ± 0.0005</w:t>
            </w:r>
          </w:p>
        </w:tc>
        <w:tc>
          <w:tcPr>
            <w:tcW w:type="dxa" w:w="1134"/>
          </w:tcPr>
          <w:p>
            <w:r>
              <w:rPr>
                <w:sz w:val="16"/>
              </w:rPr>
              <w:t>0.7872 ± 0.0009</w:t>
            </w:r>
          </w:p>
        </w:tc>
        <w:tc>
          <w:tcPr>
            <w:tcW w:type="dxa" w:w="1134"/>
          </w:tcPr>
          <w:p>
            <w:r>
              <w:rPr>
                <w:sz w:val="16"/>
              </w:rPr>
              <w:t>0.7858 ± 0.0023</w:t>
            </w:r>
          </w:p>
        </w:tc>
        <w:tc>
          <w:tcPr>
            <w:tcW w:type="dxa" w:w="1134"/>
          </w:tcPr>
          <w:p>
            <w:r>
              <w:rPr>
                <w:sz w:val="16"/>
              </w:rPr>
              <w:t>0.7847 ± 0.0016</w:t>
            </w:r>
          </w:p>
        </w:tc>
        <w:tc>
          <w:tcPr>
            <w:tcW w:type="dxa" w:w="1134"/>
          </w:tcPr>
          <w:p>
            <w:r>
              <w:rPr>
                <w:sz w:val="16"/>
              </w:rPr>
              <w:t>0.7737 ± 0.0014</w:t>
            </w:r>
          </w:p>
        </w:tc>
      </w:tr>
      <w:tr>
        <w:tc>
          <w:tcPr>
            <w:tcW w:type="dxa" w:w="1814"/>
          </w:tcPr>
          <w:p>
            <w:r>
              <w:rPr>
                <w:sz w:val="16"/>
              </w:rPr>
              <w:t>Local-only</w:t>
            </w:r>
          </w:p>
        </w:tc>
        <w:tc>
          <w:tcPr>
            <w:tcW w:type="dxa" w:w="1134"/>
          </w:tcPr>
          <w:p>
            <w:r>
              <w:rPr>
                <w:sz w:val="16"/>
              </w:rPr>
              <w:t>0.7490 ± 0.0018</w:t>
            </w:r>
          </w:p>
        </w:tc>
        <w:tc>
          <w:tcPr>
            <w:tcW w:type="dxa" w:w="1134"/>
          </w:tcPr>
          <w:p>
            <w:r>
              <w:rPr>
                <w:sz w:val="16"/>
              </w:rPr>
              <w:t>0.7422 ± 0.0036</w:t>
            </w:r>
          </w:p>
        </w:tc>
        <w:tc>
          <w:tcPr>
            <w:tcW w:type="dxa" w:w="1134"/>
          </w:tcPr>
          <w:p>
            <w:r>
              <w:rPr>
                <w:sz w:val="16"/>
              </w:rPr>
              <w:t>0.7662 ± 0.0035</w:t>
            </w:r>
          </w:p>
        </w:tc>
        <w:tc>
          <w:tcPr>
            <w:tcW w:type="dxa" w:w="1134"/>
          </w:tcPr>
          <w:p>
            <w:r>
              <w:rPr>
                <w:sz w:val="16"/>
              </w:rPr>
              <w:t>0.7702 ± 0.0021</w:t>
            </w:r>
          </w:p>
        </w:tc>
        <w:tc>
          <w:tcPr>
            <w:tcW w:type="dxa" w:w="1134"/>
          </w:tcPr>
          <w:p>
            <w:r>
              <w:rPr>
                <w:sz w:val="16"/>
              </w:rPr>
              <w:t>0.7737 ± 0.0014</w:t>
            </w:r>
          </w:p>
        </w:tc>
        <w:tc>
          <w:tcPr>
            <w:tcW w:type="dxa" w:w="1134"/>
          </w:tcPr>
          <w:p>
            <w:r>
              <w:rPr>
                <w:sz w:val="16"/>
              </w:rPr>
              <w:t>0.7670 ± 0.0011</w:t>
            </w:r>
          </w:p>
        </w:tc>
        <w:tc>
          <w:tcPr>
            <w:tcW w:type="dxa" w:w="1134"/>
          </w:tcPr>
          <w:p>
            <w:r>
              <w:rPr>
                <w:sz w:val="16"/>
              </w:rPr>
              <w:t>0.7422 ± 0.0036</w:t>
            </w:r>
          </w:p>
        </w:tc>
      </w:tr>
      <w:tr>
        <w:tc>
          <w:tcPr>
            <w:tcW w:type="dxa" w:w="1814"/>
          </w:tcPr>
          <w:p>
            <w:r>
              <w:rPr>
                <w:sz w:val="16"/>
              </w:rPr>
              <w:t>FedAvg</w:t>
            </w:r>
          </w:p>
        </w:tc>
        <w:tc>
          <w:tcPr>
            <w:tcW w:type="dxa" w:w="1134"/>
          </w:tcPr>
          <w:p>
            <w:r>
              <w:rPr>
                <w:sz w:val="16"/>
              </w:rPr>
              <w:t>0.7793 ± 0.0020</w:t>
            </w:r>
          </w:p>
        </w:tc>
        <w:tc>
          <w:tcPr>
            <w:tcW w:type="dxa" w:w="1134"/>
          </w:tcPr>
          <w:p>
            <w:r>
              <w:rPr>
                <w:sz w:val="16"/>
              </w:rPr>
              <w:t>0.7738 ± 0.0035</w:t>
            </w:r>
          </w:p>
        </w:tc>
        <w:tc>
          <w:tcPr>
            <w:tcW w:type="dxa" w:w="1134"/>
          </w:tcPr>
          <w:p>
            <w:r>
              <w:rPr>
                <w:sz w:val="16"/>
              </w:rPr>
              <w:t>0.7774 ± 0.0018</w:t>
            </w:r>
          </w:p>
        </w:tc>
        <w:tc>
          <w:tcPr>
            <w:tcW w:type="dxa" w:w="1134"/>
          </w:tcPr>
          <w:p>
            <w:r>
              <w:rPr>
                <w:sz w:val="16"/>
              </w:rPr>
              <w:t>0.7868 ± 0.0013</w:t>
            </w:r>
          </w:p>
        </w:tc>
        <w:tc>
          <w:tcPr>
            <w:tcW w:type="dxa" w:w="1134"/>
          </w:tcPr>
          <w:p>
            <w:r>
              <w:rPr>
                <w:sz w:val="16"/>
              </w:rPr>
              <w:t>0.7845 ± 0.0016</w:t>
            </w:r>
          </w:p>
        </w:tc>
        <w:tc>
          <w:tcPr>
            <w:tcW w:type="dxa" w:w="1134"/>
          </w:tcPr>
          <w:p>
            <w:r>
              <w:rPr>
                <w:sz w:val="16"/>
              </w:rPr>
              <w:t>0.7835 ± 0.0013</w:t>
            </w:r>
          </w:p>
        </w:tc>
        <w:tc>
          <w:tcPr>
            <w:tcW w:type="dxa" w:w="1134"/>
          </w:tcPr>
          <w:p>
            <w:r>
              <w:rPr>
                <w:sz w:val="16"/>
              </w:rPr>
              <w:t>0.7731 ± 0.0023</w:t>
            </w:r>
          </w:p>
        </w:tc>
      </w:tr>
      <w:tr>
        <w:tc>
          <w:tcPr>
            <w:tcW w:type="dxa" w:w="1814"/>
          </w:tcPr>
          <w:p>
            <w:r>
              <w:rPr>
                <w:sz w:val="16"/>
              </w:rPr>
              <w:t>Ditto</w:t>
            </w:r>
          </w:p>
        </w:tc>
        <w:tc>
          <w:tcPr>
            <w:tcW w:type="dxa" w:w="1134"/>
          </w:tcPr>
          <w:p>
            <w:r>
              <w:rPr>
                <w:sz w:val="16"/>
              </w:rPr>
              <w:t>0.7803 ± 0.0018</w:t>
            </w:r>
          </w:p>
        </w:tc>
        <w:tc>
          <w:tcPr>
            <w:tcW w:type="dxa" w:w="1134"/>
          </w:tcPr>
          <w:p>
            <w:r>
              <w:rPr>
                <w:sz w:val="16"/>
              </w:rPr>
              <w:t>0.7728 ± 0.0033</w:t>
            </w:r>
          </w:p>
        </w:tc>
        <w:tc>
          <w:tcPr>
            <w:tcW w:type="dxa" w:w="1134"/>
          </w:tcPr>
          <w:p>
            <w:r>
              <w:rPr>
                <w:sz w:val="16"/>
              </w:rPr>
              <w:t>0.7837 ± 0.0040</w:t>
            </w:r>
          </w:p>
        </w:tc>
        <w:tc>
          <w:tcPr>
            <w:tcW w:type="dxa" w:w="1134"/>
          </w:tcPr>
          <w:p>
            <w:r>
              <w:rPr>
                <w:sz w:val="16"/>
              </w:rPr>
              <w:t>0.7861 ± 0.0019</w:t>
            </w:r>
          </w:p>
        </w:tc>
        <w:tc>
          <w:tcPr>
            <w:tcW w:type="dxa" w:w="1134"/>
          </w:tcPr>
          <w:p>
            <w:r>
              <w:rPr>
                <w:sz w:val="16"/>
              </w:rPr>
              <w:t>0.7810 ± 0.0003</w:t>
            </w:r>
          </w:p>
        </w:tc>
        <w:tc>
          <w:tcPr>
            <w:tcW w:type="dxa" w:w="1134"/>
          </w:tcPr>
          <w:p>
            <w:r>
              <w:rPr>
                <w:sz w:val="16"/>
              </w:rPr>
              <w:t>0.7818 ± 0.0006</w:t>
            </w:r>
          </w:p>
        </w:tc>
        <w:tc>
          <w:tcPr>
            <w:tcW w:type="dxa" w:w="1134"/>
          </w:tcPr>
          <w:p>
            <w:r>
              <w:rPr>
                <w:sz w:val="16"/>
              </w:rPr>
              <w:t>0.7728 ± 0.0033</w:t>
            </w:r>
          </w:p>
        </w:tc>
      </w:tr>
    </w:tbl>
    <w:p/>
    <w:p>
      <w:pPr>
        <w:pStyle w:val="Heading1"/>
      </w:pPr>
      <w:r>
        <w:t>2. Kết luận chính</w:t>
      </w:r>
    </w:p>
    <w:p>
      <w:r>
        <w:t>2.1. FedAvg tốt hơn Local-only là kết luận chắc chắn nhất. FedAvg thắng ở 15/15 cặp client × seed; mức tăng AUC trung bình theo client là +0.0156, +0.0165 và +0.0174 ở seed 42, 1 và 2. Tổ chức nhỏ được lợi nhiều hơn ở mọi seed: C0 và C1 tăng từ +0.027 đến +0.038, C4 chỉ tăng khoảng +0.011.</w:t>
      </w:r>
    </w:p>
    <w:p>
      <w:r>
        <w:t>2.2. FedAvg tương đương Centralized, trừ C2. Chênh lệch AUC trung bình của FedAvg so với Centralized là −0.0023, −0.0034 và +0.0021; dấu thay đổi theo seed nên không có khác biệt. Riêng C2 thấp hơn Centralized ở cả 3 seed (−0.0080, −0.0086, −0.0105): đây là tổ chức duy nhất mà FedAvg thực sự kém hơn việc gom dữ liệu về một chỗ.</w:t>
      </w:r>
    </w:p>
    <w:p>
      <w:r>
        <w:t>2.3. Ditto không tốt hơn FedAvg trên tổng thể. AUC trung bình theo client của Ditto thấp hơn FedAvg ở cả 3 seed (−0.0012, −0.0011, −0.0027); Ditto chỉ thắng 7/15 cặp client × seed.</w:t>
      </w:r>
    </w:p>
    <w:p>
      <w:pPr>
        <w:keepNext/>
      </w:pPr>
      <w:r>
        <w:rPr>
          <w:b/>
          <w:sz w:val="22"/>
        </w:rPr>
        <w:t>Bảng 3. Chênh lệch ROC-AUC Ditto − FedAvg theo từng seed</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304"/>
            <w:shd w:val="clear" w:color="auto" w:fill="DCE4F2"/>
          </w:tcPr>
          <w:p>
            <w:pPr>
              <w:keepNext/>
            </w:pPr>
            <w:r>
              <w:rPr>
                <w:b/>
                <w:sz w:val="20"/>
              </w:rPr>
              <w:t>Client</w:t>
            </w:r>
          </w:p>
        </w:tc>
        <w:tc>
          <w:tcPr>
            <w:tcW w:type="dxa" w:w="1134"/>
            <w:shd w:val="clear" w:color="auto" w:fill="DCE4F2"/>
          </w:tcPr>
          <w:p>
            <w:pPr>
              <w:keepNext/>
            </w:pPr>
            <w:r>
              <w:rPr>
                <w:b/>
                <w:sz w:val="20"/>
              </w:rPr>
              <w:t>Seed 42</w:t>
            </w:r>
          </w:p>
        </w:tc>
        <w:tc>
          <w:tcPr>
            <w:tcW w:type="dxa" w:w="1134"/>
            <w:shd w:val="clear" w:color="auto" w:fill="DCE4F2"/>
          </w:tcPr>
          <w:p>
            <w:pPr>
              <w:keepNext/>
            </w:pPr>
            <w:r>
              <w:rPr>
                <w:b/>
                <w:sz w:val="20"/>
              </w:rPr>
              <w:t>Seed 1</w:t>
            </w:r>
          </w:p>
        </w:tc>
        <w:tc>
          <w:tcPr>
            <w:tcW w:type="dxa" w:w="1134"/>
            <w:shd w:val="clear" w:color="auto" w:fill="DCE4F2"/>
          </w:tcPr>
          <w:p>
            <w:pPr>
              <w:keepNext/>
            </w:pPr>
            <w:r>
              <w:rPr>
                <w:b/>
                <w:sz w:val="20"/>
              </w:rPr>
              <w:t>Seed 2</w:t>
            </w:r>
          </w:p>
        </w:tc>
        <w:tc>
          <w:tcPr>
            <w:tcW w:type="dxa" w:w="4649"/>
            <w:shd w:val="clear" w:color="auto" w:fill="DCE4F2"/>
          </w:tcPr>
          <w:p>
            <w:pPr>
              <w:keepNext/>
            </w:pPr>
            <w:r>
              <w:rPr>
                <w:b/>
                <w:sz w:val="20"/>
              </w:rPr>
              <w:t>Nhận xét</w:t>
            </w:r>
          </w:p>
        </w:tc>
      </w:tr>
      <w:tr>
        <w:tc>
          <w:tcPr>
            <w:tcW w:type="dxa" w:w="1304"/>
          </w:tcPr>
          <w:p>
            <w:r>
              <w:rPr>
                <w:sz w:val="20"/>
              </w:rPr>
              <w:t>C2</w:t>
            </w:r>
          </w:p>
        </w:tc>
        <w:tc>
          <w:tcPr>
            <w:tcW w:type="dxa" w:w="1134"/>
          </w:tcPr>
          <w:p>
            <w:r>
              <w:rPr>
                <w:sz w:val="20"/>
              </w:rPr>
              <w:t>+0.0082</w:t>
            </w:r>
          </w:p>
        </w:tc>
        <w:tc>
          <w:tcPr>
            <w:tcW w:type="dxa" w:w="1134"/>
          </w:tcPr>
          <w:p>
            <w:r>
              <w:rPr>
                <w:sz w:val="20"/>
              </w:rPr>
              <w:t>+0.0014</w:t>
            </w:r>
          </w:p>
        </w:tc>
        <w:tc>
          <w:tcPr>
            <w:tcW w:type="dxa" w:w="1134"/>
          </w:tcPr>
          <w:p>
            <w:r>
              <w:rPr>
                <w:sz w:val="20"/>
              </w:rPr>
              <w:t>+0.0094</w:t>
            </w:r>
          </w:p>
        </w:tc>
        <w:tc>
          <w:tcPr>
            <w:tcW w:type="dxa" w:w="4649"/>
          </w:tcPr>
          <w:p>
            <w:r>
              <w:rPr>
                <w:sz w:val="20"/>
              </w:rPr>
              <w:t>Luôn dương nhưng độ lớn dao động mạnh</w:t>
            </w:r>
          </w:p>
        </w:tc>
      </w:tr>
      <w:tr>
        <w:tc>
          <w:tcPr>
            <w:tcW w:type="dxa" w:w="1304"/>
          </w:tcPr>
          <w:p>
            <w:r>
              <w:rPr>
                <w:sz w:val="20"/>
              </w:rPr>
              <w:t>C4</w:t>
            </w:r>
          </w:p>
        </w:tc>
        <w:tc>
          <w:tcPr>
            <w:tcW w:type="dxa" w:w="1134"/>
          </w:tcPr>
          <w:p>
            <w:r>
              <w:rPr>
                <w:sz w:val="20"/>
              </w:rPr>
              <w:t>−0.0031</w:t>
            </w:r>
          </w:p>
        </w:tc>
        <w:tc>
          <w:tcPr>
            <w:tcW w:type="dxa" w:w="1134"/>
          </w:tcPr>
          <w:p>
            <w:r>
              <w:rPr>
                <w:sz w:val="20"/>
              </w:rPr>
              <w:t>−0.0020</w:t>
            </w:r>
          </w:p>
        </w:tc>
        <w:tc>
          <w:tcPr>
            <w:tcW w:type="dxa" w:w="1134"/>
          </w:tcPr>
          <w:p>
            <w:r>
              <w:rPr>
                <w:sz w:val="20"/>
              </w:rPr>
              <w:t>−0.0055</w:t>
            </w:r>
          </w:p>
        </w:tc>
        <w:tc>
          <w:tcPr>
            <w:tcW w:type="dxa" w:w="4649"/>
          </w:tcPr>
          <w:p>
            <w:r>
              <w:rPr>
                <w:sz w:val="20"/>
              </w:rPr>
              <w:t>Luôn âm</w:t>
            </w:r>
          </w:p>
        </w:tc>
      </w:tr>
      <w:tr>
        <w:tc>
          <w:tcPr>
            <w:tcW w:type="dxa" w:w="1304"/>
          </w:tcPr>
          <w:p>
            <w:r>
              <w:rPr>
                <w:sz w:val="20"/>
              </w:rPr>
              <w:t>C0</w:t>
            </w:r>
          </w:p>
        </w:tc>
        <w:tc>
          <w:tcPr>
            <w:tcW w:type="dxa" w:w="1134"/>
          </w:tcPr>
          <w:p>
            <w:r>
              <w:rPr>
                <w:sz w:val="20"/>
              </w:rPr>
              <w:t>+0.0019</w:t>
            </w:r>
          </w:p>
        </w:tc>
        <w:tc>
          <w:tcPr>
            <w:tcW w:type="dxa" w:w="1134"/>
          </w:tcPr>
          <w:p>
            <w:r>
              <w:rPr>
                <w:sz w:val="20"/>
              </w:rPr>
              <w:t>+0.0034</w:t>
            </w:r>
          </w:p>
        </w:tc>
        <w:tc>
          <w:tcPr>
            <w:tcW w:type="dxa" w:w="1134"/>
          </w:tcPr>
          <w:p>
            <w:r>
              <w:rPr>
                <w:sz w:val="20"/>
              </w:rPr>
              <w:t>−0.0024</w:t>
            </w:r>
          </w:p>
        </w:tc>
        <w:tc>
          <w:tcPr>
            <w:tcW w:type="dxa" w:w="4649"/>
          </w:tcPr>
          <w:p>
            <w:r>
              <w:rPr>
                <w:sz w:val="20"/>
              </w:rPr>
              <w:t>Đổi dấu, không có xu hướng</w:t>
            </w:r>
          </w:p>
        </w:tc>
      </w:tr>
      <w:tr>
        <w:tc>
          <w:tcPr>
            <w:tcW w:type="dxa" w:w="1304"/>
          </w:tcPr>
          <w:p>
            <w:r>
              <w:rPr>
                <w:sz w:val="20"/>
              </w:rPr>
              <w:t>C1</w:t>
            </w:r>
          </w:p>
        </w:tc>
        <w:tc>
          <w:tcPr>
            <w:tcW w:type="dxa" w:w="1134"/>
          </w:tcPr>
          <w:p>
            <w:r>
              <w:rPr>
                <w:sz w:val="20"/>
              </w:rPr>
              <w:t>+0.0016</w:t>
            </w:r>
          </w:p>
        </w:tc>
        <w:tc>
          <w:tcPr>
            <w:tcW w:type="dxa" w:w="1134"/>
          </w:tcPr>
          <w:p>
            <w:r>
              <w:rPr>
                <w:sz w:val="20"/>
              </w:rPr>
              <w:t>−0.0017</w:t>
            </w:r>
          </w:p>
        </w:tc>
        <w:tc>
          <w:tcPr>
            <w:tcW w:type="dxa" w:w="1134"/>
          </w:tcPr>
          <w:p>
            <w:r>
              <w:rPr>
                <w:sz w:val="20"/>
              </w:rPr>
              <w:t>−0.0029</w:t>
            </w:r>
          </w:p>
        </w:tc>
        <w:tc>
          <w:tcPr>
            <w:tcW w:type="dxa" w:w="4649"/>
          </w:tcPr>
          <w:p>
            <w:r>
              <w:rPr>
                <w:sz w:val="20"/>
              </w:rPr>
              <w:t>Đổi dấu, không có xu hướng</w:t>
            </w:r>
          </w:p>
        </w:tc>
      </w:tr>
      <w:tr>
        <w:tc>
          <w:tcPr>
            <w:tcW w:type="dxa" w:w="1304"/>
          </w:tcPr>
          <w:p>
            <w:r>
              <w:rPr>
                <w:sz w:val="20"/>
              </w:rPr>
              <w:t>C3</w:t>
            </w:r>
          </w:p>
        </w:tc>
        <w:tc>
          <w:tcPr>
            <w:tcW w:type="dxa" w:w="1134"/>
          </w:tcPr>
          <w:p>
            <w:r>
              <w:rPr>
                <w:sz w:val="20"/>
              </w:rPr>
              <w:t>−0.0013</w:t>
            </w:r>
          </w:p>
        </w:tc>
        <w:tc>
          <w:tcPr>
            <w:tcW w:type="dxa" w:w="1134"/>
          </w:tcPr>
          <w:p>
            <w:r>
              <w:rPr>
                <w:sz w:val="20"/>
              </w:rPr>
              <w:t>−0.0014</w:t>
            </w:r>
          </w:p>
        </w:tc>
        <w:tc>
          <w:tcPr>
            <w:tcW w:type="dxa" w:w="1134"/>
          </w:tcPr>
          <w:p>
            <w:r>
              <w:rPr>
                <w:sz w:val="20"/>
              </w:rPr>
              <w:t>+0.0006</w:t>
            </w:r>
          </w:p>
        </w:tc>
        <w:tc>
          <w:tcPr>
            <w:tcW w:type="dxa" w:w="4649"/>
          </w:tcPr>
          <w:p>
            <w:r>
              <w:rPr>
                <w:sz w:val="20"/>
              </w:rPr>
              <w:t>Đổi dấu, không có xu hướng</w:t>
            </w:r>
          </w:p>
        </w:tc>
      </w:tr>
      <w:tr>
        <w:tc>
          <w:tcPr>
            <w:tcW w:type="dxa" w:w="1304"/>
          </w:tcPr>
          <w:p>
            <w:r>
              <w:rPr>
                <w:sz w:val="20"/>
              </w:rPr>
              <w:t>Trung bình</w:t>
            </w:r>
          </w:p>
        </w:tc>
        <w:tc>
          <w:tcPr>
            <w:tcW w:type="dxa" w:w="1134"/>
          </w:tcPr>
          <w:p>
            <w:r>
              <w:rPr>
                <w:sz w:val="20"/>
              </w:rPr>
              <w:t>−0.0012</w:t>
            </w:r>
          </w:p>
        </w:tc>
        <w:tc>
          <w:tcPr>
            <w:tcW w:type="dxa" w:w="1134"/>
          </w:tcPr>
          <w:p>
            <w:r>
              <w:rPr>
                <w:sz w:val="20"/>
              </w:rPr>
              <w:t>−0.0011</w:t>
            </w:r>
          </w:p>
        </w:tc>
        <w:tc>
          <w:tcPr>
            <w:tcW w:type="dxa" w:w="1134"/>
          </w:tcPr>
          <w:p>
            <w:r>
              <w:rPr>
                <w:sz w:val="20"/>
              </w:rPr>
              <w:t>−0.0027</w:t>
            </w:r>
          </w:p>
        </w:tc>
        <w:tc>
          <w:tcPr>
            <w:tcW w:type="dxa" w:w="4649"/>
          </w:tcPr>
          <w:p>
            <w:r>
              <w:rPr>
                <w:sz w:val="20"/>
              </w:rPr>
              <w:t>Luôn âm</w:t>
            </w:r>
          </w:p>
        </w:tc>
      </w:tr>
    </w:tbl>
    <w:p/>
    <w:p>
      <w:r>
        <w:t>2.4. Kết quả seed 42 trong báo cáo tiến độ hơi lạc quan về Ditto. Seed 42 cho mức tăng +0.008 ở C2, trong khi seed 1 chỉ cho +0.0014; trung bình qua 3 seed là +0.0063 ± 0.0043. Hướng của kết luận (Ditto có lợi cho C2) vẫn đúng, nhưng độ lớn không chắc chắn.</w:t>
      </w:r>
    </w:p>
    <w:p>
      <w:pPr>
        <w:pStyle w:val="Heading1"/>
      </w:pPr>
      <w:r>
        <w:t>3. Độ dao động giữa các seed</w:t>
      </w:r>
    </w:p>
    <w:p>
      <w:pPr>
        <w:pStyle w:val="ListBullet"/>
      </w:pPr>
      <w:r>
        <w:t>Độ lệch chuẩn của AUC từng client qua seed nằm trong khoảng 0.0003 – 0.0040. Client nhỏ dao động nhiều hơn (C1, C2 khoảng 0.0035 – 0.0040), C4 ít nhất (0.0003 – 0.0023).</w:t>
      </w:r>
    </w:p>
    <w:p>
      <w:pPr>
        <w:pStyle w:val="ListBullet"/>
      </w:pPr>
      <w:r>
        <w:t>Mọi chênh lệch dưới khoảng 0.004 AUC giữa hai phương pháp nằm trong mức nhiễu do seed. Các so sánh dựa trên một seed với chênh lệch cỡ 0.002 (ví dụ FedPer hoặc FedProx so với FedAvg) chưa đủ cơ sở để kết luận.</w:t>
      </w:r>
    </w:p>
    <w:p>
      <w:pPr>
        <w:pStyle w:val="ListBullet"/>
      </w:pPr>
      <w:r>
        <w:t>Cận trên Centralized cũng dao động (0.7856, 0.7856, 0.7828), nên so sánh với một giá trị Centralized duy nhất chưa hoàn toàn công bằng.</w:t>
      </w:r>
    </w:p>
    <w:p>
      <w:pPr>
        <w:pStyle w:val="Heading1"/>
      </w:pPr>
      <w:r>
        <w:t>4. Thứ hạng và client khó nhất</w:t>
      </w:r>
    </w:p>
    <w:p>
      <w:pPr>
        <w:pStyle w:val="ListBullet"/>
      </w:pPr>
      <w:r>
        <w:t>Thứ hạng AUC trung bình theo client: seed 42 và 1 là Centralized &gt; FedAvg &gt; Ditto &gt; Local-only; seed 2 là FedAvg &gt; Centralized &gt; Ditto &gt; Local-only. Ditto và Local-only giữ vị trí 3 và 4 ở mọi seed.</w:t>
      </w:r>
    </w:p>
    <w:p>
      <w:pPr>
        <w:pStyle w:val="ListBullet"/>
      </w:pPr>
      <w:r>
        <w:t>C1 là client khó nhất: AUC thấp nhất ở mọi mô hình và mọi seed, trừ FedAvg ở seed 2 (C2 thấp nhất). C1 có 5 vùng, không có vùng hạng 1 và 13.3% khách hàng ở vùng hạng 3.</w:t>
      </w:r>
    </w:p>
    <w:p>
      <w:pPr>
        <w:pStyle w:val="Heading1"/>
      </w:pPr>
      <w:r>
        <w:t>5. Quá trình huấn luyện</w:t>
      </w:r>
    </w:p>
    <w:p>
      <w:pPr>
        <w:keepNext/>
      </w:pPr>
      <w:r>
        <w:rPr>
          <w:b/>
          <w:sz w:val="22"/>
        </w:rPr>
        <w:t>Bảng 4. Epoch / round tốt nhất theo seed</w:t>
      </w:r>
    </w:p>
    <w:tbl>
      <w:tblPr>
        <w:tblStyle w:val="TableGrid"/>
        <w:tblW w:type="auto" w:w="0"/>
        <w:tblLook w:firstColumn="1" w:firstRow="1" w:lastColumn="0" w:lastRow="0" w:noHBand="0" w:noVBand="1" w:val="04A0"/>
      </w:tblPr>
      <w:tblGrid>
        <w:gridCol w:w="2353"/>
        <w:gridCol w:w="2353"/>
        <w:gridCol w:w="2353"/>
        <w:gridCol w:w="2353"/>
      </w:tblGrid>
      <w:tr>
        <w:tc>
          <w:tcPr>
            <w:tcW w:type="dxa" w:w="3685"/>
            <w:shd w:val="clear" w:color="auto" w:fill="DCE4F2"/>
          </w:tcPr>
          <w:p>
            <w:pPr>
              <w:keepNext/>
            </w:pPr>
            <w:r>
              <w:rPr>
                <w:b/>
                <w:sz w:val="20"/>
              </w:rPr>
              <w:t>Mô hình</w:t>
            </w:r>
          </w:p>
        </w:tc>
        <w:tc>
          <w:tcPr>
            <w:tcW w:type="dxa" w:w="1701"/>
            <w:shd w:val="clear" w:color="auto" w:fill="DCE4F2"/>
          </w:tcPr>
          <w:p>
            <w:pPr>
              <w:keepNext/>
            </w:pPr>
            <w:r>
              <w:rPr>
                <w:b/>
                <w:sz w:val="20"/>
              </w:rPr>
              <w:t>Seed 42</w:t>
            </w:r>
          </w:p>
        </w:tc>
        <w:tc>
          <w:tcPr>
            <w:tcW w:type="dxa" w:w="1701"/>
            <w:shd w:val="clear" w:color="auto" w:fill="DCE4F2"/>
          </w:tcPr>
          <w:p>
            <w:pPr>
              <w:keepNext/>
            </w:pPr>
            <w:r>
              <w:rPr>
                <w:b/>
                <w:sz w:val="20"/>
              </w:rPr>
              <w:t>Seed 1</w:t>
            </w:r>
          </w:p>
        </w:tc>
        <w:tc>
          <w:tcPr>
            <w:tcW w:type="dxa" w:w="1701"/>
            <w:shd w:val="clear" w:color="auto" w:fill="DCE4F2"/>
          </w:tcPr>
          <w:p>
            <w:pPr>
              <w:keepNext/>
            </w:pPr>
            <w:r>
              <w:rPr>
                <w:b/>
                <w:sz w:val="20"/>
              </w:rPr>
              <w:t>Seed 2</w:t>
            </w:r>
          </w:p>
        </w:tc>
      </w:tr>
      <w:tr>
        <w:tc>
          <w:tcPr>
            <w:tcW w:type="dxa" w:w="3685"/>
          </w:tcPr>
          <w:p>
            <w:r>
              <w:rPr>
                <w:sz w:val="20"/>
              </w:rPr>
              <w:t>Centralized HeteroGNN (epoch)</w:t>
            </w:r>
          </w:p>
        </w:tc>
        <w:tc>
          <w:tcPr>
            <w:tcW w:type="dxa" w:w="1701"/>
          </w:tcPr>
          <w:p>
            <w:r>
              <w:rPr>
                <w:sz w:val="20"/>
              </w:rPr>
              <w:t>6</w:t>
            </w:r>
          </w:p>
        </w:tc>
        <w:tc>
          <w:tcPr>
            <w:tcW w:type="dxa" w:w="1701"/>
          </w:tcPr>
          <w:p>
            <w:r>
              <w:rPr>
                <w:sz w:val="20"/>
              </w:rPr>
              <w:t>5</w:t>
            </w:r>
          </w:p>
        </w:tc>
        <w:tc>
          <w:tcPr>
            <w:tcW w:type="dxa" w:w="1701"/>
          </w:tcPr>
          <w:p>
            <w:r>
              <w:rPr>
                <w:sz w:val="20"/>
              </w:rPr>
              <w:t>7</w:t>
            </w:r>
          </w:p>
        </w:tc>
      </w:tr>
      <w:tr>
        <w:tc>
          <w:tcPr>
            <w:tcW w:type="dxa" w:w="3685"/>
          </w:tcPr>
          <w:p>
            <w:r>
              <w:rPr>
                <w:sz w:val="20"/>
              </w:rPr>
              <w:t>FedAvg (round)</w:t>
            </w:r>
          </w:p>
        </w:tc>
        <w:tc>
          <w:tcPr>
            <w:tcW w:type="dxa" w:w="1701"/>
          </w:tcPr>
          <w:p>
            <w:r>
              <w:rPr>
                <w:sz w:val="20"/>
              </w:rPr>
              <w:t>15</w:t>
            </w:r>
          </w:p>
        </w:tc>
        <w:tc>
          <w:tcPr>
            <w:tcW w:type="dxa" w:w="1701"/>
          </w:tcPr>
          <w:p>
            <w:r>
              <w:rPr>
                <w:sz w:val="20"/>
              </w:rPr>
              <w:t>14</w:t>
            </w:r>
          </w:p>
        </w:tc>
        <w:tc>
          <w:tcPr>
            <w:tcW w:type="dxa" w:w="1701"/>
          </w:tcPr>
          <w:p>
            <w:r>
              <w:rPr>
                <w:sz w:val="20"/>
              </w:rPr>
              <w:t>14</w:t>
            </w:r>
          </w:p>
        </w:tc>
      </w:tr>
      <w:tr>
        <w:tc>
          <w:tcPr>
            <w:tcW w:type="dxa" w:w="3685"/>
          </w:tcPr>
          <w:p>
            <w:r>
              <w:rPr>
                <w:sz w:val="20"/>
              </w:rPr>
              <w:t>Ditto (round)</w:t>
            </w:r>
          </w:p>
        </w:tc>
        <w:tc>
          <w:tcPr>
            <w:tcW w:type="dxa" w:w="1701"/>
          </w:tcPr>
          <w:p>
            <w:r>
              <w:rPr>
                <w:sz w:val="20"/>
              </w:rPr>
              <w:t>15</w:t>
            </w:r>
          </w:p>
        </w:tc>
        <w:tc>
          <w:tcPr>
            <w:tcW w:type="dxa" w:w="1701"/>
          </w:tcPr>
          <w:p>
            <w:r>
              <w:rPr>
                <w:sz w:val="20"/>
              </w:rPr>
              <w:t>16</w:t>
            </w:r>
          </w:p>
        </w:tc>
        <w:tc>
          <w:tcPr>
            <w:tcW w:type="dxa" w:w="1701"/>
          </w:tcPr>
          <w:p>
            <w:r>
              <w:rPr>
                <w:sz w:val="20"/>
              </w:rPr>
              <w:t>17</w:t>
            </w:r>
          </w:p>
        </w:tc>
      </w:tr>
    </w:tbl>
    <w:p/>
    <w:p>
      <w:r>
        <w:t>Các mô hình hội tụ ở cùng giai đoạn với mọi seed; không có lần chạy bất thường.</w:t>
      </w:r>
    </w:p>
    <w:p>
      <w:pPr>
        <w:pStyle w:val="Heading1"/>
      </w:pPr>
      <w:r>
        <w:t>6. Kết luận</w:t>
      </w:r>
    </w:p>
    <w:p>
      <w:r>
        <w:t>Qua 3 seed huấn luyện, hợp tác qua FedAvg cải thiện ổn định mọi tổ chức so với huấn luyện riêng (+0.017 AUC trung bình, đến +0.03 ở tổ chức nhỏ) và đạt hiệu năng tương đương huấn luyện tập trung, trừ tổ chức nhỏ và đặc thù nhất (C2). Cá nhân hóa bằng Ditto chỉ cải thiện nhất quán ở C2 (+0.006 ± 0.004) và làm giảm nhẹ ở tổ chức lớn nhất (C4); trên tổng thể, Ditto không vượt FedAvg. Độ dao động giữa các seed (đến 0.004 AUC) lớn hơn phần lớn chênh lệch giữa các phương pháp Personalized FL quan sát được với một seed. Ba seed chỉ cho thấy chênh lệch nhất quán về dấu, chưa đủ để kiểm định thống kê chính thức.</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color w:val="2B4A8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color w:val="2B4A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color w:val="2B4A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kết quả qua nhiều seed huấn luyện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