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Open Sans" w:cs="Open Sans" w:eastAsia="Open Sans" w:hAnsi="Open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Basic grid: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Inters</w:t>
      </w:r>
      <w:r w:rsidDel="00000000" w:rsidR="00000000" w:rsidRPr="00000000">
        <w:rPr>
          <w:rtl w:val="0"/>
        </w:rPr>
        <w:t xml:space="preserve">ecting lines that divide pages into small squares, which allows you to easily lay out elements in a design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Borders</w:t>
      </w:r>
      <w:r w:rsidDel="00000000" w:rsidR="00000000" w:rsidRPr="00000000">
        <w:rPr>
          <w:rtl w:val="0"/>
        </w:rPr>
        <w:t xml:space="preserve">: A method of containment that uses continuous lines that often form shapes, like squares or rectangles, to break up sections of a page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Containment: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use of visual barriers to keep elements of a design neat and organized; the four methods of containment are dividers, borders, fill, and shadow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285f4"/>
          <w:sz w:val="60"/>
          <w:szCs w:val="60"/>
        </w:rPr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Dividers: </w:t>
      </w:r>
      <w:r w:rsidDel="00000000" w:rsidR="00000000" w:rsidRPr="00000000">
        <w:rPr>
          <w:rtl w:val="0"/>
        </w:rPr>
        <w:t xml:space="preserve">A method of containment that uses single lines to separate sections of a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Fidelity: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closely a design matches the look and feel of the final product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Fill</w:t>
      </w:r>
      <w:r w:rsidDel="00000000" w:rsidR="00000000" w:rsidRPr="00000000">
        <w:rPr>
          <w:rtl w:val="0"/>
        </w:rPr>
        <w:t xml:space="preserve">: A method of containment that assigns colors to borders and shapes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Font: </w:t>
      </w:r>
      <w:r w:rsidDel="00000000" w:rsidR="00000000" w:rsidRPr="00000000">
        <w:rPr>
          <w:rtl w:val="0"/>
        </w:rPr>
        <w:t xml:space="preserve">The size, thickness, and emphasis of characters of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Open Sans" w:cs="Open Sans" w:eastAsia="Open Sans" w:hAnsi="Open Sans"/>
          <w:b w:val="1"/>
          <w:color w:val="434343"/>
          <w:shd w:fill="c9daf8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High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fidelity: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design that closely matches the look and feel of the final product and is more refined or polished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called “hi-fi” for 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Iconography: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 system of graphic images or symbols associated with a subject or an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Layouts: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Ways to arrange elements on a page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Layout grid: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series of columns and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alleys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that allow you to organize elements in a design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Low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fidelity: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design that has a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lower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amount of complexity and is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less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refined or polished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c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alled “lo-fi” for 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Mockup: </w:t>
      </w:r>
      <w:r w:rsidDel="00000000" w:rsidR="00000000" w:rsidRPr="00000000">
        <w:rPr>
          <w:rtl w:val="0"/>
        </w:rPr>
        <w:t xml:space="preserve">A high-fidelity design that represents your final product, without the interactivity of a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Negative (w</w:t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hite) space</w:t>
      </w: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gaps between elements in a design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Shadows</w:t>
      </w:r>
      <w:r w:rsidDel="00000000" w:rsidR="00000000" w:rsidRPr="00000000">
        <w:rPr>
          <w:rtl w:val="0"/>
        </w:rPr>
        <w:t xml:space="preserve">: A method of containment that creates dimension in combination with borders or fill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Typography: </w:t>
      </w:r>
      <w:r w:rsidDel="00000000" w:rsidR="00000000" w:rsidRPr="00000000">
        <w:rPr>
          <w:rtl w:val="0"/>
        </w:rPr>
        <w:t xml:space="preserve">The technique of arranging letters and text to make the language readable, clear, and visually appealing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Typographic hierarchy: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ordering of typefaces and fonts in a layout to create divisions that show users where to focus and how to find information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Typeface: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The overall style of text, distinguished by stroke weight, shape,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type of serif,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and line lengths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Type classification: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general system to describe styles of type, like serif and sans serif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Visual design: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How a product or technology appears to users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8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39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oogle Sans" w:cs="Google Sans" w:eastAsia="Google Sans" w:hAnsi="Google Sans"/>
        <w:color w:val="666666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