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spacing w:after="280"/>
        <w:jc w:val="center"/>
      </w:pPr>
      <w:r>
        <w:rPr>
          <w:rFonts w:ascii="Times New Roman" w:hAnsi="Times New Roman" w:eastAsia="黑体"/>
          <w:b/>
          <w:color w:val="143D5B"/>
          <w:sz w:val="35"/>
        </w:rPr>
        <w:t>面向通信拓扑退化的三无人机协同决策训练暴露塑形方法</w:t>
      </w:r>
    </w:p>
    <w:p>
      <w:pPr>
        <w:jc w:val="center"/>
      </w:pPr>
      <w:r>
        <w:rPr>
          <w:rFonts w:ascii="Times New Roman" w:hAnsi="Times New Roman" w:eastAsia="宋体"/>
          <w:b w:val="0"/>
          <w:color w:val="4C5660"/>
          <w:sz w:val="26"/>
        </w:rPr>
        <w:t>——基于有界自适应故障组重加权的受控研究</w:t>
      </w:r>
    </w:p>
    <w:p/>
    <w:p/>
    <w:p/>
    <w:p/>
    <w:p/>
    <w:p>
      <w:pPr>
        <w:jc w:val="center"/>
      </w:pPr>
      <w:r>
        <w:rPr>
          <w:rFonts w:ascii="Times New Roman" w:hAnsi="Times New Roman" w:eastAsia="宋体"/>
          <w:b w:val="0"/>
          <w:color w:val="4C5660"/>
          <w:sz w:val="24"/>
        </w:rPr>
        <w:t>中文投稿初稿  V2</w:t>
      </w:r>
    </w:p>
    <w:p>
      <w:pPr>
        <w:jc w:val="center"/>
      </w:pPr>
      <w:r>
        <w:rPr>
          <w:rFonts w:ascii="Times New Roman" w:hAnsi="Times New Roman" w:eastAsia="宋体"/>
          <w:sz w:val="24"/>
        </w:rPr>
        <w:t>2026 年 9 月</w:t>
      </w:r>
    </w:p>
    <w:p>
      <w:r>
        <w:br w:type="page"/>
      </w:r>
    </w:p>
    <w:p>
      <w:pPr>
        <w:spacing w:before="280" w:after="120"/>
      </w:pPr>
      <w:r>
        <w:rPr>
          <w:rFonts w:ascii="Times New Roman" w:hAnsi="Times New Roman" w:eastAsia="黑体"/>
          <w:b/>
          <w:color w:val="1A4C72"/>
          <w:sz w:val="28"/>
        </w:rPr>
        <w:t>摘  要</w:t>
      </w:r>
    </w:p>
    <w:p>
      <w:pPr>
        <w:spacing w:line="348" w:lineRule="auto" w:after="100"/>
        <w:ind w:firstLine="420"/>
        <w:jc w:val="both"/>
      </w:pPr>
      <w:r>
        <w:rPr>
          <w:rFonts w:ascii="Times New Roman" w:hAnsi="Times New Roman" w:eastAsia="宋体"/>
          <w:sz w:val="21"/>
        </w:rPr>
        <w:t>多无人机协同任务依赖目标信息沿感知、通信与任务支撑路径到达相应角色。继电节点故障不仅减少可用通信边，还会改变攻击角色可合法使用的信息来源，从而使训练阶段接触的故障分布与部署阶段的拓扑退化需求发生失配。本文研究训练暴露分配这一可隔离变量：在策略骨干、集中训练分散执行框架、PPO 目标、奖励、观测、动作、执行期信息边界、名义条件质量、故障支持集合和训练预算保持一致时，改变多个冻结故障组在 reset 阶段的采样质量，能否改善故障条件下的协同任务端点。为此，提出一种有界自适应拓扑重加权方法 DRTP。该方法以故障组回报相对名义组回报的差异作为训练期困难代理，周期性更新故障组采样分布，并以概率上下界保证所有冻结组持续被暴露。</w:t>
        <w:br/>
        <w:br/>
        <w:t>在轻量三自由度、三架异构无人机协作拦截环境的正式五种子受控队列中，DRTP 相比均匀拓扑随机化 UTR 的 F0、非名义平均和非名义最差回报的配对平均增益分别为 52.13、55.00 和 63.01，三项端点均为 5/5 个训练种子正向；非名义平均超时率由 0.874 降至 0.694。碰撞率由 0.0051 升至 0.0080，因此本文不将任务得分提升表述为全面安全改进。采样遥测表明训练暴露分布确已改变，但不足以单独证明策略内部的信息恢复机制。本文结论限定于冻结的三无人机继电故障合同：拓扑语义驱动的有界暴露重加权可在该受控设置中提升队列级故障任务表现；跨训练队列的一致性、修复后的跨规模结果以及语义消融仍需作为后续证据补充。</w:t>
      </w:r>
    </w:p>
    <w:p>
      <w:r>
        <w:rPr>
          <w:rFonts w:ascii="Times New Roman" w:hAnsi="Times New Roman" w:eastAsia="黑体"/>
          <w:b/>
          <w:sz w:val="21"/>
        </w:rPr>
        <w:t>关键词：</w:t>
      </w:r>
      <w:r>
        <w:rPr>
          <w:rFonts w:ascii="Times New Roman" w:hAnsi="Times New Roman" w:eastAsia="宋体"/>
          <w:sz w:val="21"/>
        </w:rPr>
        <w:t>多智能体强化学习；无人机协同；通信拓扑退化；继电故障；训练暴露分配；固定终点评估</w:t>
      </w:r>
    </w:p>
    <w:p>
      <w:pPr>
        <w:spacing w:before="280" w:after="120"/>
      </w:pPr>
      <w:r>
        <w:rPr>
          <w:rFonts w:ascii="Times New Roman" w:hAnsi="Times New Roman" w:eastAsia="黑体"/>
          <w:b/>
          <w:color w:val="1A4C72"/>
          <w:sz w:val="28"/>
        </w:rPr>
        <w:t>1 引言</w:t>
      </w:r>
    </w:p>
    <w:p>
      <w:pPr>
        <w:spacing w:line="348" w:lineRule="auto" w:after="100"/>
        <w:ind w:firstLine="420"/>
        <w:jc w:val="both"/>
      </w:pPr>
      <w:r>
        <w:rPr>
          <w:rFonts w:ascii="Times New Roman" w:hAnsi="Times New Roman" w:eastAsia="宋体"/>
          <w:sz w:val="21"/>
        </w:rPr>
        <w:t>在多无人机协同任务中，飞行器的运动能力并不能单独决定任务是否完成。侦察、继电与攻击等角色必须在局部感知、通信约束和任务时序共同限制下形成可执行的协作链。当信息不能沿合法路径及时抵达需要使用它的角色时，个体即使具有足够的机动能力，也可能无法完成后续协同动作。因此，通信拓扑退化应被理解为改变协同决策信息结构的事件，而不只是叠加在动力学上的随机噪声。</w:t>
      </w:r>
    </w:p>
    <w:p>
      <w:pPr>
        <w:spacing w:line="348" w:lineRule="auto" w:after="100"/>
        <w:ind w:firstLine="420"/>
        <w:jc w:val="both"/>
      </w:pPr>
      <w:r>
        <w:rPr>
          <w:rFonts w:ascii="Times New Roman" w:hAnsi="Times New Roman" w:eastAsia="宋体"/>
          <w:sz w:val="21"/>
        </w:rPr>
        <w:t>现有无人机协同决策研究已从任务建模、策略学习与仿真验证等层面讨论了通信约束和部分可观测性的重要性[1-4]。另一方面，强化学习中的课程学习、域随机化和优先级采样表明，训练条件的组织方式会影响策略所获得的能力[2,5]。然而，在继电依赖的协作任务中，不同故障条件并非只在扰动幅度上不同：它们可能改变故障起始时刻、持续时间、缓存时效以及可用信息支撑路径。若训练预算在这些条件之间始终均匀分配，训练过程虽然覆盖了故障多样性，却未必把更多学习机会分配给当前策略最难适应的结构性退化条件。</w:t>
      </w:r>
    </w:p>
    <w:p>
      <w:pPr>
        <w:spacing w:line="348" w:lineRule="auto" w:after="100"/>
        <w:ind w:firstLine="420"/>
        <w:jc w:val="both"/>
      </w:pPr>
      <w:r>
        <w:rPr>
          <w:rFonts w:ascii="Times New Roman" w:hAnsi="Times New Roman" w:eastAsia="宋体"/>
          <w:sz w:val="21"/>
        </w:rPr>
        <w:t>本文不试图在执行期恢复不可见状态，也不引入新的通信协议、图网络输入或奖励塑形。相反，我们将问题缩小为一个可检验的训练干预：在执行接口与学习器完全匹配的前提下，仅改变训练 reset 时冻结故障组的暴露质量，是否足以改变固定终点评价下的故障协同表现。该定位使拓扑退化问题、算法变化项与主要因果对照可以被清晰分离。</w:t>
      </w:r>
    </w:p>
    <w:p>
      <w:pPr>
        <w:spacing w:line="348" w:lineRule="auto" w:after="100"/>
        <w:ind w:firstLine="420"/>
        <w:jc w:val="both"/>
      </w:pPr>
      <w:r>
        <w:rPr>
          <w:rFonts w:ascii="Times New Roman" w:hAnsi="Times New Roman" w:eastAsia="宋体"/>
          <w:sz w:val="21"/>
        </w:rPr>
        <w:t>据此，本文提出动态继电拓扑重加权方法 DRTP。其核心不是为每个故障组预设一套固定难度标签，而是以组级已完成 episode 回报相对名义组的偏离构建训练期困难代理，在给定上下界内动态调整故障组质量。该设计保持名义条件质量和故障支持集合不变，因而将训练暴露分配作为唯一主要差异。本文的主要贡献包括：</w:t>
        <w:br/>
        <w:t>（1）将继电故障下的通信拓扑退化表述为合法信息支撑路径变化，并据此提出一个受控的训练分布设计问题；</w:t>
        <w:br/>
        <w:t>（2）提出不改变策略结构、优化目标和执行期信息边界的有界自适应故障组重加权机制；</w:t>
        <w:br/>
        <w:t>（3）以固定 10M 终点、五个训练种子、共同评价带和可靠性指标为基础，报告主要受控比较及其跨队列适用范围。</w:t>
      </w:r>
    </w:p>
    <w:p>
      <w:r>
        <w:drawing>
          <wp:inline xmlns:a="http://schemas.openxmlformats.org/drawingml/2006/main" xmlns:pic="http://schemas.openxmlformats.org/drawingml/2006/picture">
            <wp:extent cx="5652000" cy="2302139"/>
            <wp:docPr id="1" name="Picture 1"/>
            <wp:cNvGraphicFramePr>
              <a:graphicFrameLocks noChangeAspect="1"/>
            </wp:cNvGraphicFramePr>
            <a:graphic>
              <a:graphicData uri="http://schemas.openxmlformats.org/drawingml/2006/picture">
                <pic:pic>
                  <pic:nvPicPr>
                    <pic:cNvPr id="0" name="fig1_topology_degradation.png"/>
                    <pic:cNvPicPr/>
                  </pic:nvPicPr>
                  <pic:blipFill>
                    <a:blip r:embed="rId9"/>
                    <a:stretch>
                      <a:fillRect/>
                    </a:stretch>
                  </pic:blipFill>
                  <pic:spPr>
                    <a:xfrm>
                      <a:off x="0" y="0"/>
                      <a:ext cx="5652000" cy="2302139"/>
                    </a:xfrm>
                    <a:prstGeom prst="rect"/>
                  </pic:spPr>
                </pic:pic>
              </a:graphicData>
            </a:graphic>
          </wp:inline>
        </w:drawing>
      </w:r>
    </w:p>
    <w:p>
      <w:pPr>
        <w:spacing w:after="160"/>
        <w:jc w:val="center"/>
      </w:pPr>
      <w:r>
        <w:rPr>
          <w:rFonts w:ascii="Times New Roman" w:hAnsi="Times New Roman" w:eastAsia="宋体"/>
          <w:sz w:val="19"/>
        </w:rPr>
        <w:t>图 1 继电故障下的信息支撑路径退化与协同决策问题示意</w:t>
      </w:r>
    </w:p>
    <w:p>
      <w:pPr>
        <w:spacing w:before="280" w:after="120"/>
      </w:pPr>
      <w:r>
        <w:rPr>
          <w:rFonts w:ascii="Times New Roman" w:hAnsi="Times New Roman" w:eastAsia="黑体"/>
          <w:b/>
          <w:color w:val="1A4C72"/>
          <w:sz w:val="28"/>
        </w:rPr>
        <w:t>2 相关研究与本文定位</w:t>
      </w:r>
    </w:p>
    <w:p>
      <w:pPr>
        <w:spacing w:before="180" w:after="120"/>
      </w:pPr>
      <w:r>
        <w:rPr>
          <w:rFonts w:ascii="Times New Roman" w:hAnsi="Times New Roman" w:eastAsia="宋体"/>
          <w:b/>
          <w:color w:val="000000"/>
          <w:sz w:val="23"/>
        </w:rPr>
        <w:t>2.1 通信受限无人机协同与拓扑退化</w:t>
      </w:r>
    </w:p>
    <w:p>
      <w:pPr>
        <w:spacing w:line="348" w:lineRule="auto" w:after="100"/>
        <w:ind w:firstLine="420"/>
        <w:jc w:val="both"/>
      </w:pPr>
      <w:r>
        <w:rPr>
          <w:rFonts w:ascii="Times New Roman" w:hAnsi="Times New Roman" w:eastAsia="宋体"/>
          <w:sz w:val="21"/>
        </w:rPr>
        <w:t>无人机集群协同通常需要在局部观测、异构角色和通信约束下完成感知—信息传递—决策—行动闭环。有人—无人机协同、无人集群博弈对抗和空战智能决策等研究均指出，信息共享条件会直接影响任务分工与协同效率[1,3,4,6]。本文沿用这一系统视角，但将研究焦点置于训练阶段：继电节点故障改变合法信息路径后，不同拓扑条件应获得怎样的训练暴露。</w:t>
      </w:r>
    </w:p>
    <w:p>
      <w:pPr>
        <w:spacing w:before="180" w:after="120"/>
      </w:pPr>
      <w:r>
        <w:rPr>
          <w:rFonts w:ascii="Times New Roman" w:hAnsi="Times New Roman" w:eastAsia="宋体"/>
          <w:b/>
          <w:color w:val="000000"/>
          <w:sz w:val="23"/>
        </w:rPr>
        <w:t>2.2 训练条件组织与优先级机制</w:t>
      </w:r>
    </w:p>
    <w:p>
      <w:pPr>
        <w:spacing w:line="348" w:lineRule="auto" w:after="100"/>
        <w:ind w:firstLine="420"/>
        <w:jc w:val="both"/>
      </w:pPr>
      <w:r>
        <w:rPr>
          <w:rFonts w:ascii="Times New Roman" w:hAnsi="Times New Roman" w:eastAsia="宋体"/>
          <w:sz w:val="21"/>
        </w:rPr>
        <w:t>课程学习通过任务阶段或难度递进改善学习过程，优先级机制则依据通用学习信号改变采样频率。两类思想说明训练分布本身是可设计变量。DRTP 与它们的关系是：DRTP 同样在训练阶段调整条件暴露，但其采样对象是预先冻结的故障拓扑组，适应信号为相对名义任务的组级表现，且采样概率受到显式边界约束。因而，本文不把外部优先级方法当作与 UTR 完全等价的因果对照，而把 UTR–DRTP 的同架构匹配比较视为主要证据。</w:t>
      </w:r>
    </w:p>
    <w:tbl>
      <w:tblPr>
        <w:tblStyle w:val="TableGrid"/>
        <w:tblW w:type="auto" w:w="0"/>
        <w:jc w:val="center"/>
        <w:tblLook w:firstColumn="1" w:firstRow="1" w:lastColumn="0" w:lastRow="0" w:noHBand="0" w:noVBand="1" w:val="04A0"/>
      </w:tblPr>
      <w:tblGrid>
        <w:gridCol w:w="2394"/>
        <w:gridCol w:w="2394"/>
        <w:gridCol w:w="2394"/>
        <w:gridCol w:w="2394"/>
      </w:tblGrid>
      <w:tr>
        <w:tc>
          <w:tcPr>
            <w:tcW w:type="dxa" w:w="1757"/>
            <w:shd w:fill="1A4C72"/>
            <w:tcBorders>
              <w:top w:val="single" w:sz="4" w:color="B7C9D6"/>
              <w:left w:val="single" w:sz="4" w:color="B7C9D6"/>
              <w:bottom w:val="single" w:sz="4" w:color="B7C9D6"/>
              <w:right w:val="single" w:sz="4" w:color="B7C9D6"/>
            </w:tcBorders>
            <w:vAlign w:val="center"/>
          </w:tcPr>
          <w:p>
            <w:pPr>
              <w:jc w:val="center"/>
            </w:pPr>
            <w:r>
              <w:rPr>
                <w:rFonts w:ascii="Times New Roman" w:hAnsi="Times New Roman" w:eastAsia="宋体"/>
                <w:b/>
                <w:color w:val="FFFFFF"/>
                <w:sz w:val="17"/>
              </w:rPr>
              <w:t>维度</w:t>
            </w:r>
          </w:p>
        </w:tc>
        <w:tc>
          <w:tcPr>
            <w:tcW w:type="dxa" w:w="2041"/>
            <w:shd w:fill="1A4C72"/>
            <w:tcBorders>
              <w:top w:val="single" w:sz="4" w:color="B7C9D6"/>
              <w:left w:val="single" w:sz="4" w:color="B7C9D6"/>
              <w:bottom w:val="single" w:sz="4" w:color="B7C9D6"/>
              <w:right w:val="single" w:sz="4" w:color="B7C9D6"/>
            </w:tcBorders>
            <w:vAlign w:val="center"/>
          </w:tcPr>
          <w:p>
            <w:pPr>
              <w:jc w:val="center"/>
            </w:pPr>
            <w:r>
              <w:rPr>
                <w:rFonts w:ascii="Times New Roman" w:hAnsi="Times New Roman" w:eastAsia="宋体"/>
                <w:b/>
                <w:color w:val="FFFFFF"/>
                <w:sz w:val="17"/>
              </w:rPr>
              <w:t>UTR</w:t>
            </w:r>
          </w:p>
        </w:tc>
        <w:tc>
          <w:tcPr>
            <w:tcW w:type="dxa" w:w="2665"/>
            <w:shd w:fill="1A4C72"/>
            <w:tcBorders>
              <w:top w:val="single" w:sz="4" w:color="B7C9D6"/>
              <w:left w:val="single" w:sz="4" w:color="B7C9D6"/>
              <w:bottom w:val="single" w:sz="4" w:color="B7C9D6"/>
              <w:right w:val="single" w:sz="4" w:color="B7C9D6"/>
            </w:tcBorders>
            <w:vAlign w:val="center"/>
          </w:tcPr>
          <w:p>
            <w:pPr>
              <w:jc w:val="center"/>
            </w:pPr>
            <w:r>
              <w:rPr>
                <w:rFonts w:ascii="Times New Roman" w:hAnsi="Times New Roman" w:eastAsia="宋体"/>
                <w:b/>
                <w:color w:val="FFFFFF"/>
                <w:sz w:val="17"/>
              </w:rPr>
              <w:t>通用优先级采样</w:t>
            </w:r>
          </w:p>
        </w:tc>
        <w:tc>
          <w:tcPr>
            <w:tcW w:type="dxa" w:w="2394"/>
            <w:shd w:fill="1A4C72"/>
            <w:tcBorders>
              <w:top w:val="single" w:sz="4" w:color="B7C9D6"/>
              <w:left w:val="single" w:sz="4" w:color="B7C9D6"/>
              <w:bottom w:val="single" w:sz="4" w:color="B7C9D6"/>
              <w:right w:val="single" w:sz="4" w:color="B7C9D6"/>
            </w:tcBorders>
            <w:vAlign w:val="center"/>
          </w:tcPr>
          <w:p>
            <w:pPr>
              <w:jc w:val="center"/>
            </w:pPr>
            <w:r>
              <w:rPr>
                <w:rFonts w:ascii="Times New Roman" w:hAnsi="Times New Roman" w:eastAsia="宋体"/>
                <w:b/>
                <w:color w:val="FFFFFF"/>
                <w:sz w:val="17"/>
              </w:rPr>
              <w:t>DRTP</w:t>
            </w:r>
          </w:p>
        </w:tc>
      </w:tr>
      <w:tr>
        <w:tc>
          <w:tcPr>
            <w:tcW w:type="dxa" w:w="1757"/>
            <w:tcBorders>
              <w:top w:val="single" w:sz="4" w:color="B7C9D6"/>
              <w:left w:val="single" w:sz="4" w:color="B7C9D6"/>
              <w:bottom w:val="single" w:sz="4" w:color="B7C9D6"/>
              <w:right w:val="single" w:sz="4" w:color="B7C9D6"/>
            </w:tcBorders>
            <w:vAlign w:val="center"/>
          </w:tcPr>
          <w:p>
            <w:pPr>
              <w:jc w:val="left"/>
            </w:pPr>
            <w:r>
              <w:rPr>
                <w:rFonts w:ascii="Times New Roman" w:hAnsi="Times New Roman" w:eastAsia="宋体"/>
                <w:sz w:val="17"/>
              </w:rPr>
              <w:t>采样对象</w:t>
            </w:r>
          </w:p>
        </w:tc>
        <w:tc>
          <w:tcPr>
            <w:tcW w:type="dxa" w:w="2041"/>
            <w:tcBorders>
              <w:top w:val="single" w:sz="4" w:color="B7C9D6"/>
              <w:left w:val="single" w:sz="4" w:color="B7C9D6"/>
              <w:bottom w:val="single" w:sz="4" w:color="B7C9D6"/>
              <w:right w:val="single" w:sz="4" w:color="B7C9D6"/>
            </w:tcBorders>
            <w:vAlign w:val="center"/>
          </w:tcPr>
          <w:p>
            <w:pPr>
              <w:jc w:val="center"/>
            </w:pPr>
            <w:r>
              <w:rPr>
                <w:rFonts w:ascii="Times New Roman" w:hAnsi="Times New Roman" w:eastAsia="宋体"/>
                <w:sz w:val="17"/>
              </w:rPr>
              <w:t>冻结故障组</w:t>
            </w:r>
          </w:p>
        </w:tc>
        <w:tc>
          <w:tcPr>
            <w:tcW w:type="dxa" w:w="2665"/>
            <w:tcBorders>
              <w:top w:val="single" w:sz="4" w:color="B7C9D6"/>
              <w:left w:val="single" w:sz="4" w:color="B7C9D6"/>
              <w:bottom w:val="single" w:sz="4" w:color="B7C9D6"/>
              <w:right w:val="single" w:sz="4" w:color="B7C9D6"/>
            </w:tcBorders>
            <w:vAlign w:val="center"/>
          </w:tcPr>
          <w:p>
            <w:pPr>
              <w:jc w:val="center"/>
            </w:pPr>
            <w:r>
              <w:rPr>
                <w:rFonts w:ascii="Times New Roman" w:hAnsi="Times New Roman" w:eastAsia="宋体"/>
                <w:sz w:val="17"/>
              </w:rPr>
              <w:t>rollout/样本或环境片段</w:t>
            </w:r>
          </w:p>
        </w:tc>
        <w:tc>
          <w:tcPr>
            <w:tcW w:type="dxa" w:w="2394"/>
            <w:tcBorders>
              <w:top w:val="single" w:sz="4" w:color="B7C9D6"/>
              <w:left w:val="single" w:sz="4" w:color="B7C9D6"/>
              <w:bottom w:val="single" w:sz="4" w:color="B7C9D6"/>
              <w:right w:val="single" w:sz="4" w:color="B7C9D6"/>
            </w:tcBorders>
            <w:vAlign w:val="center"/>
          </w:tcPr>
          <w:p>
            <w:pPr>
              <w:jc w:val="center"/>
            </w:pPr>
            <w:r>
              <w:rPr>
                <w:rFonts w:ascii="Times New Roman" w:hAnsi="Times New Roman" w:eastAsia="宋体"/>
                <w:sz w:val="17"/>
              </w:rPr>
              <w:t>冻结故障拓扑组</w:t>
            </w:r>
          </w:p>
        </w:tc>
      </w:tr>
      <w:tr>
        <w:tc>
          <w:tcPr>
            <w:tcW w:type="dxa" w:w="1757"/>
            <w:tcBorders>
              <w:top w:val="single" w:sz="4" w:color="B7C9D6"/>
              <w:left w:val="single" w:sz="4" w:color="B7C9D6"/>
              <w:bottom w:val="single" w:sz="4" w:color="B7C9D6"/>
              <w:right w:val="single" w:sz="4" w:color="B7C9D6"/>
            </w:tcBorders>
            <w:shd w:fill="EEF4F8"/>
            <w:vAlign w:val="center"/>
          </w:tcPr>
          <w:p>
            <w:pPr>
              <w:jc w:val="left"/>
            </w:pPr>
            <w:r>
              <w:rPr>
                <w:rFonts w:ascii="Times New Roman" w:hAnsi="Times New Roman" w:eastAsia="宋体"/>
                <w:sz w:val="17"/>
              </w:rPr>
              <w:t>适应信号</w:t>
            </w:r>
          </w:p>
        </w:tc>
        <w:tc>
          <w:tcPr>
            <w:tcW w:type="dxa" w:w="2041"/>
            <w:tcBorders>
              <w:top w:val="single" w:sz="4" w:color="B7C9D6"/>
              <w:left w:val="single" w:sz="4" w:color="B7C9D6"/>
              <w:bottom w:val="single" w:sz="4" w:color="B7C9D6"/>
              <w:right w:val="single" w:sz="4" w:color="B7C9D6"/>
            </w:tcBorders>
            <w:shd w:fill="EEF4F8"/>
            <w:vAlign w:val="center"/>
          </w:tcPr>
          <w:p>
            <w:pPr>
              <w:jc w:val="center"/>
            </w:pPr>
            <w:r>
              <w:rPr>
                <w:rFonts w:ascii="Times New Roman" w:hAnsi="Times New Roman" w:eastAsia="宋体"/>
                <w:sz w:val="17"/>
              </w:rPr>
              <w:t>无</w:t>
            </w:r>
          </w:p>
        </w:tc>
        <w:tc>
          <w:tcPr>
            <w:tcW w:type="dxa" w:w="2665"/>
            <w:tcBorders>
              <w:top w:val="single" w:sz="4" w:color="B7C9D6"/>
              <w:left w:val="single" w:sz="4" w:color="B7C9D6"/>
              <w:bottom w:val="single" w:sz="4" w:color="B7C9D6"/>
              <w:right w:val="single" w:sz="4" w:color="B7C9D6"/>
            </w:tcBorders>
            <w:shd w:fill="EEF4F8"/>
            <w:vAlign w:val="center"/>
          </w:tcPr>
          <w:p>
            <w:pPr>
              <w:jc w:val="center"/>
            </w:pPr>
            <w:r>
              <w:rPr>
                <w:rFonts w:ascii="Times New Roman" w:hAnsi="Times New Roman" w:eastAsia="宋体"/>
                <w:sz w:val="17"/>
              </w:rPr>
              <w:t>通用优先级信号</w:t>
            </w:r>
          </w:p>
        </w:tc>
        <w:tc>
          <w:tcPr>
            <w:tcW w:type="dxa" w:w="2394"/>
            <w:tcBorders>
              <w:top w:val="single" w:sz="4" w:color="B7C9D6"/>
              <w:left w:val="single" w:sz="4" w:color="B7C9D6"/>
              <w:bottom w:val="single" w:sz="4" w:color="B7C9D6"/>
              <w:right w:val="single" w:sz="4" w:color="B7C9D6"/>
            </w:tcBorders>
            <w:shd w:fill="EEF4F8"/>
            <w:vAlign w:val="center"/>
          </w:tcPr>
          <w:p>
            <w:pPr>
              <w:jc w:val="center"/>
            </w:pPr>
            <w:r>
              <w:rPr>
                <w:rFonts w:ascii="Times New Roman" w:hAnsi="Times New Roman" w:eastAsia="宋体"/>
                <w:sz w:val="17"/>
              </w:rPr>
              <w:t>组级名义相对回报</w:t>
            </w:r>
          </w:p>
        </w:tc>
      </w:tr>
      <w:tr>
        <w:tc>
          <w:tcPr>
            <w:tcW w:type="dxa" w:w="1757"/>
            <w:tcBorders>
              <w:top w:val="single" w:sz="4" w:color="B7C9D6"/>
              <w:left w:val="single" w:sz="4" w:color="B7C9D6"/>
              <w:bottom w:val="single" w:sz="4" w:color="B7C9D6"/>
              <w:right w:val="single" w:sz="4" w:color="B7C9D6"/>
            </w:tcBorders>
            <w:vAlign w:val="center"/>
          </w:tcPr>
          <w:p>
            <w:pPr>
              <w:jc w:val="left"/>
            </w:pPr>
            <w:r>
              <w:rPr>
                <w:rFonts w:ascii="Times New Roman" w:hAnsi="Times New Roman" w:eastAsia="宋体"/>
                <w:sz w:val="17"/>
              </w:rPr>
              <w:t>拓扑语义</w:t>
            </w:r>
          </w:p>
        </w:tc>
        <w:tc>
          <w:tcPr>
            <w:tcW w:type="dxa" w:w="2041"/>
            <w:tcBorders>
              <w:top w:val="single" w:sz="4" w:color="B7C9D6"/>
              <w:left w:val="single" w:sz="4" w:color="B7C9D6"/>
              <w:bottom w:val="single" w:sz="4" w:color="B7C9D6"/>
              <w:right w:val="single" w:sz="4" w:color="B7C9D6"/>
            </w:tcBorders>
            <w:vAlign w:val="center"/>
          </w:tcPr>
          <w:p>
            <w:pPr>
              <w:jc w:val="center"/>
            </w:pPr>
            <w:r>
              <w:rPr>
                <w:rFonts w:ascii="Times New Roman" w:hAnsi="Times New Roman" w:eastAsia="宋体"/>
                <w:sz w:val="17"/>
              </w:rPr>
              <w:t>无显式使用</w:t>
            </w:r>
          </w:p>
        </w:tc>
        <w:tc>
          <w:tcPr>
            <w:tcW w:type="dxa" w:w="2665"/>
            <w:tcBorders>
              <w:top w:val="single" w:sz="4" w:color="B7C9D6"/>
              <w:left w:val="single" w:sz="4" w:color="B7C9D6"/>
              <w:bottom w:val="single" w:sz="4" w:color="B7C9D6"/>
              <w:right w:val="single" w:sz="4" w:color="B7C9D6"/>
            </w:tcBorders>
            <w:vAlign w:val="center"/>
          </w:tcPr>
          <w:p>
            <w:pPr>
              <w:jc w:val="center"/>
            </w:pPr>
            <w:r>
              <w:rPr>
                <w:rFonts w:ascii="Times New Roman" w:hAnsi="Times New Roman" w:eastAsia="宋体"/>
                <w:sz w:val="17"/>
              </w:rPr>
              <w:t>不要求</w:t>
            </w:r>
          </w:p>
        </w:tc>
        <w:tc>
          <w:tcPr>
            <w:tcW w:type="dxa" w:w="2394"/>
            <w:tcBorders>
              <w:top w:val="single" w:sz="4" w:color="B7C9D6"/>
              <w:left w:val="single" w:sz="4" w:color="B7C9D6"/>
              <w:bottom w:val="single" w:sz="4" w:color="B7C9D6"/>
              <w:right w:val="single" w:sz="4" w:color="B7C9D6"/>
            </w:tcBorders>
            <w:vAlign w:val="center"/>
          </w:tcPr>
          <w:p>
            <w:pPr>
              <w:jc w:val="center"/>
            </w:pPr>
            <w:r>
              <w:rPr>
                <w:rFonts w:ascii="Times New Roman" w:hAnsi="Times New Roman" w:eastAsia="宋体"/>
                <w:sz w:val="17"/>
              </w:rPr>
              <w:t>作为条件组定义</w:t>
            </w:r>
          </w:p>
        </w:tc>
      </w:tr>
      <w:tr>
        <w:tc>
          <w:tcPr>
            <w:tcW w:type="dxa" w:w="1757"/>
            <w:tcBorders>
              <w:top w:val="single" w:sz="4" w:color="B7C9D6"/>
              <w:left w:val="single" w:sz="4" w:color="B7C9D6"/>
              <w:bottom w:val="single" w:sz="4" w:color="B7C9D6"/>
              <w:right w:val="single" w:sz="4" w:color="B7C9D6"/>
            </w:tcBorders>
            <w:shd w:fill="EEF4F8"/>
            <w:vAlign w:val="center"/>
          </w:tcPr>
          <w:p>
            <w:pPr>
              <w:jc w:val="left"/>
            </w:pPr>
            <w:r>
              <w:rPr>
                <w:rFonts w:ascii="Times New Roman" w:hAnsi="Times New Roman" w:eastAsia="宋体"/>
                <w:sz w:val="17"/>
              </w:rPr>
              <w:t>执行期接口</w:t>
            </w:r>
          </w:p>
        </w:tc>
        <w:tc>
          <w:tcPr>
            <w:tcW w:type="dxa" w:w="2041"/>
            <w:tcBorders>
              <w:top w:val="single" w:sz="4" w:color="B7C9D6"/>
              <w:left w:val="single" w:sz="4" w:color="B7C9D6"/>
              <w:bottom w:val="single" w:sz="4" w:color="B7C9D6"/>
              <w:right w:val="single" w:sz="4" w:color="B7C9D6"/>
            </w:tcBorders>
            <w:shd w:fill="EEF4F8"/>
            <w:vAlign w:val="center"/>
          </w:tcPr>
          <w:p>
            <w:pPr>
              <w:jc w:val="center"/>
            </w:pPr>
            <w:r>
              <w:rPr>
                <w:rFonts w:ascii="Times New Roman" w:hAnsi="Times New Roman" w:eastAsia="宋体"/>
                <w:sz w:val="17"/>
              </w:rPr>
              <w:t>不变</w:t>
            </w:r>
          </w:p>
        </w:tc>
        <w:tc>
          <w:tcPr>
            <w:tcW w:type="dxa" w:w="2665"/>
            <w:tcBorders>
              <w:top w:val="single" w:sz="4" w:color="B7C9D6"/>
              <w:left w:val="single" w:sz="4" w:color="B7C9D6"/>
              <w:bottom w:val="single" w:sz="4" w:color="B7C9D6"/>
              <w:right w:val="single" w:sz="4" w:color="B7C9D6"/>
            </w:tcBorders>
            <w:shd w:fill="EEF4F8"/>
            <w:vAlign w:val="center"/>
          </w:tcPr>
          <w:p>
            <w:pPr>
              <w:jc w:val="center"/>
            </w:pPr>
            <w:r>
              <w:rPr>
                <w:rFonts w:ascii="Times New Roman" w:hAnsi="Times New Roman" w:eastAsia="宋体"/>
                <w:sz w:val="17"/>
              </w:rPr>
              <w:t>视实现而定</w:t>
            </w:r>
          </w:p>
        </w:tc>
        <w:tc>
          <w:tcPr>
            <w:tcW w:type="dxa" w:w="2394"/>
            <w:tcBorders>
              <w:top w:val="single" w:sz="4" w:color="B7C9D6"/>
              <w:left w:val="single" w:sz="4" w:color="B7C9D6"/>
              <w:bottom w:val="single" w:sz="4" w:color="B7C9D6"/>
              <w:right w:val="single" w:sz="4" w:color="B7C9D6"/>
            </w:tcBorders>
            <w:shd w:fill="EEF4F8"/>
            <w:vAlign w:val="center"/>
          </w:tcPr>
          <w:p>
            <w:pPr>
              <w:jc w:val="center"/>
            </w:pPr>
            <w:r>
              <w:rPr>
                <w:rFonts w:ascii="Times New Roman" w:hAnsi="Times New Roman" w:eastAsia="宋体"/>
                <w:sz w:val="17"/>
              </w:rPr>
              <w:t>不变</w:t>
            </w:r>
          </w:p>
        </w:tc>
      </w:tr>
      <w:tr>
        <w:tc>
          <w:tcPr>
            <w:tcW w:type="dxa" w:w="1757"/>
            <w:tcBorders>
              <w:top w:val="single" w:sz="4" w:color="B7C9D6"/>
              <w:left w:val="single" w:sz="4" w:color="B7C9D6"/>
              <w:bottom w:val="single" w:sz="4" w:color="B7C9D6"/>
              <w:right w:val="single" w:sz="4" w:color="B7C9D6"/>
            </w:tcBorders>
            <w:vAlign w:val="center"/>
          </w:tcPr>
          <w:p>
            <w:pPr>
              <w:jc w:val="left"/>
            </w:pPr>
            <w:r>
              <w:rPr>
                <w:rFonts w:ascii="Times New Roman" w:hAnsi="Times New Roman" w:eastAsia="宋体"/>
                <w:sz w:val="17"/>
              </w:rPr>
              <w:t>主要作用位置</w:t>
            </w:r>
          </w:p>
        </w:tc>
        <w:tc>
          <w:tcPr>
            <w:tcW w:type="dxa" w:w="2041"/>
            <w:tcBorders>
              <w:top w:val="single" w:sz="4" w:color="B7C9D6"/>
              <w:left w:val="single" w:sz="4" w:color="B7C9D6"/>
              <w:bottom w:val="single" w:sz="4" w:color="B7C9D6"/>
              <w:right w:val="single" w:sz="4" w:color="B7C9D6"/>
            </w:tcBorders>
            <w:vAlign w:val="center"/>
          </w:tcPr>
          <w:p>
            <w:pPr>
              <w:jc w:val="center"/>
            </w:pPr>
            <w:r>
              <w:rPr>
                <w:rFonts w:ascii="Times New Roman" w:hAnsi="Times New Roman" w:eastAsia="宋体"/>
                <w:sz w:val="17"/>
              </w:rPr>
              <w:t>reset</w:t>
            </w:r>
          </w:p>
        </w:tc>
        <w:tc>
          <w:tcPr>
            <w:tcW w:type="dxa" w:w="2665"/>
            <w:tcBorders>
              <w:top w:val="single" w:sz="4" w:color="B7C9D6"/>
              <w:left w:val="single" w:sz="4" w:color="B7C9D6"/>
              <w:bottom w:val="single" w:sz="4" w:color="B7C9D6"/>
              <w:right w:val="single" w:sz="4" w:color="B7C9D6"/>
            </w:tcBorders>
            <w:vAlign w:val="center"/>
          </w:tcPr>
          <w:p>
            <w:pPr>
              <w:jc w:val="center"/>
            </w:pPr>
            <w:r>
              <w:rPr>
                <w:rFonts w:ascii="Times New Roman" w:hAnsi="Times New Roman" w:eastAsia="宋体"/>
                <w:sz w:val="17"/>
              </w:rPr>
              <w:t>训练采样</w:t>
            </w:r>
          </w:p>
        </w:tc>
        <w:tc>
          <w:tcPr>
            <w:tcW w:type="dxa" w:w="2394"/>
            <w:tcBorders>
              <w:top w:val="single" w:sz="4" w:color="B7C9D6"/>
              <w:left w:val="single" w:sz="4" w:color="B7C9D6"/>
              <w:bottom w:val="single" w:sz="4" w:color="B7C9D6"/>
              <w:right w:val="single" w:sz="4" w:color="B7C9D6"/>
            </w:tcBorders>
            <w:vAlign w:val="center"/>
          </w:tcPr>
          <w:p>
            <w:pPr>
              <w:jc w:val="center"/>
            </w:pPr>
            <w:r>
              <w:rPr>
                <w:rFonts w:ascii="Times New Roman" w:hAnsi="Times New Roman" w:eastAsia="宋体"/>
                <w:sz w:val="17"/>
              </w:rPr>
              <w:t>reset</w:t>
            </w:r>
          </w:p>
        </w:tc>
      </w:tr>
    </w:tbl>
    <w:p>
      <w:pPr>
        <w:spacing w:after="40"/>
      </w:pPr>
    </w:p>
    <w:p>
      <w:pPr>
        <w:spacing w:after="160"/>
        <w:jc w:val="center"/>
      </w:pPr>
      <w:r>
        <w:rPr>
          <w:rFonts w:ascii="Times New Roman" w:hAnsi="Times New Roman" w:eastAsia="宋体"/>
          <w:sz w:val="19"/>
        </w:rPr>
        <w:t>表 1 训练条件组织方法的概念性比较</w:t>
      </w:r>
    </w:p>
    <w:p>
      <w:pPr>
        <w:spacing w:before="280" w:after="120"/>
      </w:pPr>
      <w:r>
        <w:rPr>
          <w:rFonts w:ascii="Times New Roman" w:hAnsi="Times New Roman" w:eastAsia="黑体"/>
          <w:b/>
          <w:color w:val="1A4C72"/>
          <w:sz w:val="28"/>
        </w:rPr>
        <w:t>3 问题建模与 DRTP 方法</w:t>
      </w:r>
    </w:p>
    <w:p>
      <w:pPr>
        <w:spacing w:before="180" w:after="120"/>
      </w:pPr>
      <w:r>
        <w:rPr>
          <w:rFonts w:ascii="Times New Roman" w:hAnsi="Times New Roman" w:eastAsia="宋体"/>
          <w:b/>
          <w:color w:val="000000"/>
          <w:sz w:val="23"/>
        </w:rPr>
        <w:t>3.1 三无人机继电依赖协作任务</w:t>
      </w:r>
    </w:p>
    <w:p>
      <w:pPr>
        <w:spacing w:line="348" w:lineRule="auto" w:after="100"/>
        <w:ind w:firstLine="420"/>
        <w:jc w:val="both"/>
      </w:pPr>
      <w:r>
        <w:rPr>
          <w:rFonts w:ascii="Times New Roman" w:hAnsi="Times New Roman" w:eastAsia="宋体"/>
          <w:sz w:val="21"/>
        </w:rPr>
        <w:t>环境包含侦察、继电和攻击三类蓝方 UAV 以及一个目标，采用轻量三自由度离散控制。侦察角色获得目标线索；在攻击角色尚未进入直接感知包络时，攻击角色只能基于环境规则允许的、仍然新鲜的本地或送达缓存信息行动。继电节点在故障窗口内不能收发通信，故障后由侦察到攻击的直接送达只有在满足既定时序与合法性条件时才能成为替代来源。这里的“路径重构”指环境认可的信息来源改变，不表示策略访问了隐藏全局状态。</w:t>
      </w:r>
    </w:p>
    <w:p>
      <w:pPr>
        <w:spacing w:before="180" w:after="120"/>
      </w:pPr>
      <w:r>
        <w:rPr>
          <w:rFonts w:ascii="Times New Roman" w:hAnsi="Times New Roman" w:eastAsia="宋体"/>
          <w:b/>
          <w:color w:val="000000"/>
          <w:sz w:val="23"/>
        </w:rPr>
        <w:t>3.2 冻结条件组与训练暴露</w:t>
      </w:r>
    </w:p>
    <w:p>
      <w:pPr>
        <w:spacing w:line="348" w:lineRule="auto" w:after="100"/>
        <w:ind w:firstLine="420"/>
        <w:jc w:val="both"/>
      </w:pPr>
      <w:r>
        <w:rPr>
          <w:rFonts w:ascii="Times New Roman" w:hAnsi="Times New Roman" w:eastAsia="宋体"/>
          <w:sz w:val="21"/>
        </w:rPr>
        <w:t>每个训练条件写作 c=(g,m,τ,δ)，其中 g 为条件组，m 为组内冻结成员，τ 与 δ 分别为故障起始时刻和持续时间。训练集包含名义组 N 与六个故障组 F0、TE、TL、DS、DL 和 CP。名义质量固定为 0.50，剩余 0.50 在故障组之间分配；组内成员均匀抽取。UTR 的故障组条件质量为 q_u(g)=1/6。DRTP 从相同初值开始，仅在训练过程中更新 q(g)。</w:t>
      </w:r>
    </w:p>
    <w:p>
      <w:pPr>
        <w:spacing w:before="180" w:after="120"/>
      </w:pPr>
      <w:r>
        <w:rPr>
          <w:rFonts w:ascii="Times New Roman" w:hAnsi="Times New Roman" w:eastAsia="宋体"/>
          <w:b/>
          <w:color w:val="000000"/>
          <w:sz w:val="23"/>
        </w:rPr>
        <w:t>3.3 名义相对困难代理与有界更新</w:t>
      </w:r>
    </w:p>
    <w:p>
      <w:pPr>
        <w:spacing w:line="348" w:lineRule="auto" w:after="100"/>
        <w:ind w:firstLine="420"/>
        <w:jc w:val="both"/>
      </w:pPr>
      <w:r>
        <w:rPr>
          <w:rFonts w:ascii="Times New Roman" w:hAnsi="Times New Roman" w:eastAsia="宋体"/>
          <w:sz w:val="21"/>
        </w:rPr>
        <w:t>设 R̄g 和 R̄N 分别为故障组 g 与名义组的完成 episode 回报指数滑动平均。DRTP 使用 d_g=clip[(R̄N−R̄g)/max(|R̄N|,ε),0,dmax] 构造困难代理。该量刻画当前训练轨迹中故障组相对名义组的任务落差；它不是图连通性、最短路长度、策略不确定性或因果难度的估计。warm-up 后，采样器按照 q̃_g∝q_g exp{η(d_g−d̄)} 形成候选分布，再经平滑与有界单纯形投影得到 q_{u+1}。本文冻结的下界和上界分别为 0.05 与 0.35，从而防止单一故障组垄断训练暴露。</w:t>
      </w:r>
    </w:p>
    <w:p>
      <w:pPr>
        <w:spacing w:line="348" w:lineRule="auto" w:after="100"/>
        <w:ind w:firstLine="420"/>
        <w:jc w:val="both"/>
      </w:pPr>
      <w:r>
        <w:rPr>
          <w:rFonts w:ascii="Times New Roman" w:hAnsi="Times New Roman" w:eastAsia="宋体"/>
          <w:sz w:val="21"/>
        </w:rPr>
        <w:t>DRTP 的唯一作用位置是 reset 阶段。actor、critic、PPO 目标、奖励、观测、动作、环境动力学、名义条件质量、故障支持集合和终点评价协议均与 UTR 相同。因此，若固定终点出现差异，其直接可归因的干预是训练期间故障组的暴露分配，而不是策略容量或执行期额外信息。</w:t>
      </w:r>
    </w:p>
    <w:p>
      <w:r>
        <w:drawing>
          <wp:inline xmlns:a="http://schemas.openxmlformats.org/drawingml/2006/main" xmlns:pic="http://schemas.openxmlformats.org/drawingml/2006/picture">
            <wp:extent cx="5652000" cy="2846522"/>
            <wp:docPr id="2" name="Picture 2"/>
            <wp:cNvGraphicFramePr>
              <a:graphicFrameLocks noChangeAspect="1"/>
            </wp:cNvGraphicFramePr>
            <a:graphic>
              <a:graphicData uri="http://schemas.openxmlformats.org/drawingml/2006/picture">
                <pic:pic>
                  <pic:nvPicPr>
                    <pic:cNvPr id="0" name="fig2_drtp_framework.png"/>
                    <pic:cNvPicPr/>
                  </pic:nvPicPr>
                  <pic:blipFill>
                    <a:blip r:embed="rId10"/>
                    <a:stretch>
                      <a:fillRect/>
                    </a:stretch>
                  </pic:blipFill>
                  <pic:spPr>
                    <a:xfrm>
                      <a:off x="0" y="0"/>
                      <a:ext cx="5652000" cy="2846522"/>
                    </a:xfrm>
                    <a:prstGeom prst="rect"/>
                  </pic:spPr>
                </pic:pic>
              </a:graphicData>
            </a:graphic>
          </wp:inline>
        </w:drawing>
      </w:r>
    </w:p>
    <w:p>
      <w:pPr>
        <w:spacing w:after="160"/>
        <w:jc w:val="center"/>
      </w:pPr>
      <w:r>
        <w:rPr>
          <w:rFonts w:ascii="Times New Roman" w:hAnsi="Times New Roman" w:eastAsia="宋体"/>
          <w:sz w:val="19"/>
        </w:rPr>
        <w:t>图 2 DRTP 训练期拓扑感知暴露塑形框架</w:t>
      </w:r>
    </w:p>
    <w:p>
      <w:r>
        <w:drawing>
          <wp:inline xmlns:a="http://schemas.openxmlformats.org/drawingml/2006/main" xmlns:pic="http://schemas.openxmlformats.org/drawingml/2006/picture">
            <wp:extent cx="5652000" cy="2230865"/>
            <wp:docPr id="3" name="Picture 3"/>
            <wp:cNvGraphicFramePr>
              <a:graphicFrameLocks noChangeAspect="1"/>
            </wp:cNvGraphicFramePr>
            <a:graphic>
              <a:graphicData uri="http://schemas.openxmlformats.org/drawingml/2006/picture">
                <pic:pic>
                  <pic:nvPicPr>
                    <pic:cNvPr id="0" name="fig3_controlled_comparison.png"/>
                    <pic:cNvPicPr/>
                  </pic:nvPicPr>
                  <pic:blipFill>
                    <a:blip r:embed="rId11"/>
                    <a:stretch>
                      <a:fillRect/>
                    </a:stretch>
                  </pic:blipFill>
                  <pic:spPr>
                    <a:xfrm>
                      <a:off x="0" y="0"/>
                      <a:ext cx="5652000" cy="2230865"/>
                    </a:xfrm>
                    <a:prstGeom prst="rect"/>
                  </pic:spPr>
                </pic:pic>
              </a:graphicData>
            </a:graphic>
          </wp:inline>
        </w:drawing>
      </w:r>
    </w:p>
    <w:p>
      <w:pPr>
        <w:spacing w:after="160"/>
        <w:jc w:val="center"/>
      </w:pPr>
      <w:r>
        <w:rPr>
          <w:rFonts w:ascii="Times New Roman" w:hAnsi="Times New Roman" w:eastAsia="宋体"/>
          <w:sz w:val="19"/>
        </w:rPr>
        <w:t>图 3 UTR–DRTP 主要受控比较的固定项与唯一变化项</w:t>
      </w:r>
    </w:p>
    <w:p>
      <w:pPr>
        <w:spacing w:before="280" w:after="120"/>
      </w:pPr>
      <w:r>
        <w:rPr>
          <w:rFonts w:ascii="Times New Roman" w:hAnsi="Times New Roman" w:eastAsia="黑体"/>
          <w:b/>
          <w:color w:val="1A4C72"/>
          <w:sz w:val="28"/>
        </w:rPr>
        <w:t>4 实验设计</w:t>
      </w:r>
    </w:p>
    <w:p>
      <w:pPr>
        <w:spacing w:before="180" w:after="120"/>
      </w:pPr>
      <w:r>
        <w:rPr>
          <w:rFonts w:ascii="Times New Roman" w:hAnsi="Times New Roman" w:eastAsia="宋体"/>
          <w:b/>
          <w:color w:val="000000"/>
          <w:sz w:val="23"/>
        </w:rPr>
        <w:t>4.1 研究问题与报告原则</w:t>
      </w:r>
    </w:p>
    <w:p>
      <w:pPr>
        <w:spacing w:line="348" w:lineRule="auto" w:after="100"/>
        <w:ind w:firstLine="420"/>
        <w:jc w:val="both"/>
      </w:pPr>
      <w:r>
        <w:rPr>
          <w:rFonts w:ascii="Times New Roman" w:hAnsi="Times New Roman" w:eastAsia="宋体"/>
          <w:sz w:val="21"/>
        </w:rPr>
        <w:t>本文围绕以下问题组织证据。RQ1：DRTP 是否在冻结正式合同内改善典型故障与跨条件故障端点？RQ2：回报变化是否伴随超时、碰撞、约束违规或故障触发方面的可靠性权衡？RQ3：采样器是否确实改变了训练暴露，以及这些遥测能证明什么？RQ4：独立队列和外部参考如何限定结论适用范围？训练种子是独立统计单位；同一策略在不同 episode 和条件上的评价记录用于估计该种子的端点，不被当作额外独立训练重复。</w:t>
      </w:r>
    </w:p>
    <w:tbl>
      <w:tblPr>
        <w:tblStyle w:val="TableGrid"/>
        <w:tblW w:type="auto" w:w="0"/>
        <w:jc w:val="center"/>
        <w:tblLook w:firstColumn="1" w:firstRow="1" w:lastColumn="0" w:lastRow="0" w:noHBand="0" w:noVBand="1" w:val="04A0"/>
      </w:tblPr>
      <w:tblGrid>
        <w:gridCol w:w="4788"/>
        <w:gridCol w:w="4788"/>
      </w:tblGrid>
      <w:tr>
        <w:tc>
          <w:tcPr>
            <w:tcW w:type="dxa" w:w="1871"/>
            <w:shd w:fill="1A4C72"/>
            <w:tcBorders>
              <w:top w:val="single" w:sz="4" w:color="B7C9D6"/>
              <w:left w:val="single" w:sz="4" w:color="B7C9D6"/>
              <w:bottom w:val="single" w:sz="4" w:color="B7C9D6"/>
              <w:right w:val="single" w:sz="4" w:color="B7C9D6"/>
            </w:tcBorders>
            <w:vAlign w:val="center"/>
          </w:tcPr>
          <w:p>
            <w:pPr>
              <w:jc w:val="center"/>
            </w:pPr>
            <w:r>
              <w:rPr>
                <w:rFonts w:ascii="Times New Roman" w:hAnsi="Times New Roman" w:eastAsia="宋体"/>
                <w:b/>
                <w:color w:val="FFFFFF"/>
                <w:sz w:val="17"/>
              </w:rPr>
              <w:t>项目</w:t>
            </w:r>
          </w:p>
        </w:tc>
        <w:tc>
          <w:tcPr>
            <w:tcW w:type="dxa" w:w="4592"/>
            <w:shd w:fill="1A4C72"/>
            <w:tcBorders>
              <w:top w:val="single" w:sz="4" w:color="B7C9D6"/>
              <w:left w:val="single" w:sz="4" w:color="B7C9D6"/>
              <w:bottom w:val="single" w:sz="4" w:color="B7C9D6"/>
              <w:right w:val="single" w:sz="4" w:color="B7C9D6"/>
            </w:tcBorders>
            <w:vAlign w:val="center"/>
          </w:tcPr>
          <w:p>
            <w:pPr>
              <w:jc w:val="center"/>
            </w:pPr>
            <w:r>
              <w:rPr>
                <w:rFonts w:ascii="Times New Roman" w:hAnsi="Times New Roman" w:eastAsia="宋体"/>
                <w:b/>
                <w:color w:val="FFFFFF"/>
                <w:sz w:val="17"/>
              </w:rPr>
              <w:t>冻结设置</w:t>
            </w:r>
          </w:p>
        </w:tc>
      </w:tr>
      <w:tr>
        <w:tc>
          <w:tcPr>
            <w:tcW w:type="dxa" w:w="1871"/>
            <w:tcBorders>
              <w:top w:val="single" w:sz="4" w:color="B7C9D6"/>
              <w:left w:val="single" w:sz="4" w:color="B7C9D6"/>
              <w:bottom w:val="single" w:sz="4" w:color="B7C9D6"/>
              <w:right w:val="single" w:sz="4" w:color="B7C9D6"/>
            </w:tcBorders>
            <w:vAlign w:val="center"/>
          </w:tcPr>
          <w:p>
            <w:pPr>
              <w:jc w:val="left"/>
            </w:pPr>
            <w:r>
              <w:rPr>
                <w:rFonts w:ascii="Times New Roman" w:hAnsi="Times New Roman" w:eastAsia="宋体"/>
                <w:sz w:val="17"/>
              </w:rPr>
              <w:t>任务环境</w:t>
            </w:r>
          </w:p>
        </w:tc>
        <w:tc>
          <w:tcPr>
            <w:tcW w:type="dxa" w:w="4592"/>
            <w:tcBorders>
              <w:top w:val="single" w:sz="4" w:color="B7C9D6"/>
              <w:left w:val="single" w:sz="4" w:color="B7C9D6"/>
              <w:bottom w:val="single" w:sz="4" w:color="B7C9D6"/>
              <w:right w:val="single" w:sz="4" w:color="B7C9D6"/>
            </w:tcBorders>
            <w:vAlign w:val="center"/>
          </w:tcPr>
          <w:p>
            <w:pPr>
              <w:jc w:val="center"/>
            </w:pPr>
            <w:r>
              <w:rPr>
                <w:rFonts w:ascii="Times New Roman" w:hAnsi="Times New Roman" w:eastAsia="宋体"/>
                <w:sz w:val="17"/>
              </w:rPr>
              <w:t>3DOF 三 UAV 异构协作；继电依赖信息边界</w:t>
            </w:r>
          </w:p>
        </w:tc>
      </w:tr>
      <w:tr>
        <w:tc>
          <w:tcPr>
            <w:tcW w:type="dxa" w:w="1871"/>
            <w:tcBorders>
              <w:top w:val="single" w:sz="4" w:color="B7C9D6"/>
              <w:left w:val="single" w:sz="4" w:color="B7C9D6"/>
              <w:bottom w:val="single" w:sz="4" w:color="B7C9D6"/>
              <w:right w:val="single" w:sz="4" w:color="B7C9D6"/>
            </w:tcBorders>
            <w:shd w:fill="EEF4F8"/>
            <w:vAlign w:val="center"/>
          </w:tcPr>
          <w:p>
            <w:pPr>
              <w:jc w:val="left"/>
            </w:pPr>
            <w:r>
              <w:rPr>
                <w:rFonts w:ascii="Times New Roman" w:hAnsi="Times New Roman" w:eastAsia="宋体"/>
                <w:sz w:val="17"/>
              </w:rPr>
              <w:t>主要比较</w:t>
            </w:r>
          </w:p>
        </w:tc>
        <w:tc>
          <w:tcPr>
            <w:tcW w:type="dxa" w:w="4592"/>
            <w:tcBorders>
              <w:top w:val="single" w:sz="4" w:color="B7C9D6"/>
              <w:left w:val="single" w:sz="4" w:color="B7C9D6"/>
              <w:bottom w:val="single" w:sz="4" w:color="B7C9D6"/>
              <w:right w:val="single" w:sz="4" w:color="B7C9D6"/>
            </w:tcBorders>
            <w:shd w:fill="EEF4F8"/>
            <w:vAlign w:val="center"/>
          </w:tcPr>
          <w:p>
            <w:pPr>
              <w:jc w:val="center"/>
            </w:pPr>
            <w:r>
              <w:rPr>
                <w:rFonts w:ascii="Times New Roman" w:hAnsi="Times New Roman" w:eastAsia="宋体"/>
                <w:sz w:val="17"/>
              </w:rPr>
              <w:t>UTR-SG 与 DRTP-SG</w:t>
            </w:r>
          </w:p>
        </w:tc>
      </w:tr>
      <w:tr>
        <w:tc>
          <w:tcPr>
            <w:tcW w:type="dxa" w:w="1871"/>
            <w:tcBorders>
              <w:top w:val="single" w:sz="4" w:color="B7C9D6"/>
              <w:left w:val="single" w:sz="4" w:color="B7C9D6"/>
              <w:bottom w:val="single" w:sz="4" w:color="B7C9D6"/>
              <w:right w:val="single" w:sz="4" w:color="B7C9D6"/>
            </w:tcBorders>
            <w:vAlign w:val="center"/>
          </w:tcPr>
          <w:p>
            <w:pPr>
              <w:jc w:val="left"/>
            </w:pPr>
            <w:r>
              <w:rPr>
                <w:rFonts w:ascii="Times New Roman" w:hAnsi="Times New Roman" w:eastAsia="宋体"/>
                <w:sz w:val="17"/>
              </w:rPr>
              <w:t>唯一变化</w:t>
            </w:r>
          </w:p>
        </w:tc>
        <w:tc>
          <w:tcPr>
            <w:tcW w:type="dxa" w:w="4592"/>
            <w:tcBorders>
              <w:top w:val="single" w:sz="4" w:color="B7C9D6"/>
              <w:left w:val="single" w:sz="4" w:color="B7C9D6"/>
              <w:bottom w:val="single" w:sz="4" w:color="B7C9D6"/>
              <w:right w:val="single" w:sz="4" w:color="B7C9D6"/>
            </w:tcBorders>
            <w:vAlign w:val="center"/>
          </w:tcPr>
          <w:p>
            <w:pPr>
              <w:jc w:val="center"/>
            </w:pPr>
            <w:r>
              <w:rPr>
                <w:rFonts w:ascii="Times New Roman" w:hAnsi="Times New Roman" w:eastAsia="宋体"/>
                <w:sz w:val="17"/>
              </w:rPr>
              <w:t>故障组 reset 条件质量：均匀 vs 有界自适应</w:t>
            </w:r>
          </w:p>
        </w:tc>
      </w:tr>
      <w:tr>
        <w:tc>
          <w:tcPr>
            <w:tcW w:type="dxa" w:w="1871"/>
            <w:tcBorders>
              <w:top w:val="single" w:sz="4" w:color="B7C9D6"/>
              <w:left w:val="single" w:sz="4" w:color="B7C9D6"/>
              <w:bottom w:val="single" w:sz="4" w:color="B7C9D6"/>
              <w:right w:val="single" w:sz="4" w:color="B7C9D6"/>
            </w:tcBorders>
            <w:shd w:fill="EEF4F8"/>
            <w:vAlign w:val="center"/>
          </w:tcPr>
          <w:p>
            <w:pPr>
              <w:jc w:val="left"/>
            </w:pPr>
            <w:r>
              <w:rPr>
                <w:rFonts w:ascii="Times New Roman" w:hAnsi="Times New Roman" w:eastAsia="宋体"/>
                <w:sz w:val="17"/>
              </w:rPr>
              <w:t>共同项</w:t>
            </w:r>
          </w:p>
        </w:tc>
        <w:tc>
          <w:tcPr>
            <w:tcW w:type="dxa" w:w="4592"/>
            <w:tcBorders>
              <w:top w:val="single" w:sz="4" w:color="B7C9D6"/>
              <w:left w:val="single" w:sz="4" w:color="B7C9D6"/>
              <w:bottom w:val="single" w:sz="4" w:color="B7C9D6"/>
              <w:right w:val="single" w:sz="4" w:color="B7C9D6"/>
            </w:tcBorders>
            <w:shd w:fill="EEF4F8"/>
            <w:vAlign w:val="center"/>
          </w:tcPr>
          <w:p>
            <w:pPr>
              <w:jc w:val="center"/>
            </w:pPr>
            <w:r>
              <w:rPr>
                <w:rFonts w:ascii="Times New Roman" w:hAnsi="Times New Roman" w:eastAsia="宋体"/>
                <w:sz w:val="17"/>
              </w:rPr>
              <w:t>Actor/Critic、PPO、奖励、观测、动作、环境、预算、评价带</w:t>
            </w:r>
          </w:p>
        </w:tc>
      </w:tr>
      <w:tr>
        <w:tc>
          <w:tcPr>
            <w:tcW w:type="dxa" w:w="1871"/>
            <w:tcBorders>
              <w:top w:val="single" w:sz="4" w:color="B7C9D6"/>
              <w:left w:val="single" w:sz="4" w:color="B7C9D6"/>
              <w:bottom w:val="single" w:sz="4" w:color="B7C9D6"/>
              <w:right w:val="single" w:sz="4" w:color="B7C9D6"/>
            </w:tcBorders>
            <w:vAlign w:val="center"/>
          </w:tcPr>
          <w:p>
            <w:pPr>
              <w:jc w:val="left"/>
            </w:pPr>
            <w:r>
              <w:rPr>
                <w:rFonts w:ascii="Times New Roman" w:hAnsi="Times New Roman" w:eastAsia="宋体"/>
                <w:sz w:val="17"/>
              </w:rPr>
              <w:t>训练单位</w:t>
            </w:r>
          </w:p>
        </w:tc>
        <w:tc>
          <w:tcPr>
            <w:tcW w:type="dxa" w:w="4592"/>
            <w:tcBorders>
              <w:top w:val="single" w:sz="4" w:color="B7C9D6"/>
              <w:left w:val="single" w:sz="4" w:color="B7C9D6"/>
              <w:bottom w:val="single" w:sz="4" w:color="B7C9D6"/>
              <w:right w:val="single" w:sz="4" w:color="B7C9D6"/>
            </w:tcBorders>
            <w:vAlign w:val="center"/>
          </w:tcPr>
          <w:p>
            <w:pPr>
              <w:jc w:val="center"/>
            </w:pPr>
            <w:r>
              <w:rPr>
                <w:rFonts w:ascii="Times New Roman" w:hAnsi="Times New Roman" w:eastAsia="宋体"/>
                <w:sz w:val="17"/>
              </w:rPr>
              <w:t>5 个配对训练种子</w:t>
            </w:r>
          </w:p>
        </w:tc>
      </w:tr>
      <w:tr>
        <w:tc>
          <w:tcPr>
            <w:tcW w:type="dxa" w:w="1871"/>
            <w:tcBorders>
              <w:top w:val="single" w:sz="4" w:color="B7C9D6"/>
              <w:left w:val="single" w:sz="4" w:color="B7C9D6"/>
              <w:bottom w:val="single" w:sz="4" w:color="B7C9D6"/>
              <w:right w:val="single" w:sz="4" w:color="B7C9D6"/>
            </w:tcBorders>
            <w:shd w:fill="EEF4F8"/>
            <w:vAlign w:val="center"/>
          </w:tcPr>
          <w:p>
            <w:pPr>
              <w:jc w:val="left"/>
            </w:pPr>
            <w:r>
              <w:rPr>
                <w:rFonts w:ascii="Times New Roman" w:hAnsi="Times New Roman" w:eastAsia="宋体"/>
                <w:sz w:val="17"/>
              </w:rPr>
              <w:t>训练预算</w:t>
            </w:r>
          </w:p>
        </w:tc>
        <w:tc>
          <w:tcPr>
            <w:tcW w:type="dxa" w:w="4592"/>
            <w:tcBorders>
              <w:top w:val="single" w:sz="4" w:color="B7C9D6"/>
              <w:left w:val="single" w:sz="4" w:color="B7C9D6"/>
              <w:bottom w:val="single" w:sz="4" w:color="B7C9D6"/>
              <w:right w:val="single" w:sz="4" w:color="B7C9D6"/>
            </w:tcBorders>
            <w:shd w:fill="EEF4F8"/>
            <w:vAlign w:val="center"/>
          </w:tcPr>
          <w:p>
            <w:pPr>
              <w:jc w:val="center"/>
            </w:pPr>
            <w:r>
              <w:rPr>
                <w:rFonts w:ascii="Times New Roman" w:hAnsi="Times New Roman" w:eastAsia="宋体"/>
                <w:sz w:val="17"/>
              </w:rPr>
              <w:t>39,063 updates；10,000,128 环境步/条轨迹</w:t>
            </w:r>
          </w:p>
        </w:tc>
      </w:tr>
      <w:tr>
        <w:tc>
          <w:tcPr>
            <w:tcW w:type="dxa" w:w="1871"/>
            <w:tcBorders>
              <w:top w:val="single" w:sz="4" w:color="B7C9D6"/>
              <w:left w:val="single" w:sz="4" w:color="B7C9D6"/>
              <w:bottom w:val="single" w:sz="4" w:color="B7C9D6"/>
              <w:right w:val="single" w:sz="4" w:color="B7C9D6"/>
            </w:tcBorders>
            <w:vAlign w:val="center"/>
          </w:tcPr>
          <w:p>
            <w:pPr>
              <w:jc w:val="left"/>
            </w:pPr>
            <w:r>
              <w:rPr>
                <w:rFonts w:ascii="Times New Roman" w:hAnsi="Times New Roman" w:eastAsia="宋体"/>
                <w:sz w:val="17"/>
              </w:rPr>
              <w:t>检查点规则</w:t>
            </w:r>
          </w:p>
        </w:tc>
        <w:tc>
          <w:tcPr>
            <w:tcW w:type="dxa" w:w="4592"/>
            <w:tcBorders>
              <w:top w:val="single" w:sz="4" w:color="B7C9D6"/>
              <w:left w:val="single" w:sz="4" w:color="B7C9D6"/>
              <w:bottom w:val="single" w:sz="4" w:color="B7C9D6"/>
              <w:right w:val="single" w:sz="4" w:color="B7C9D6"/>
            </w:tcBorders>
            <w:vAlign w:val="center"/>
          </w:tcPr>
          <w:p>
            <w:pPr>
              <w:jc w:val="center"/>
            </w:pPr>
            <w:r>
              <w:rPr>
                <w:rFonts w:ascii="Times New Roman" w:hAnsi="Times New Roman" w:eastAsia="宋体"/>
                <w:sz w:val="17"/>
              </w:rPr>
              <w:t>固定最终 10M checkpoint</w:t>
            </w:r>
          </w:p>
        </w:tc>
      </w:tr>
      <w:tr>
        <w:tc>
          <w:tcPr>
            <w:tcW w:type="dxa" w:w="1871"/>
            <w:tcBorders>
              <w:top w:val="single" w:sz="4" w:color="B7C9D6"/>
              <w:left w:val="single" w:sz="4" w:color="B7C9D6"/>
              <w:bottom w:val="single" w:sz="4" w:color="B7C9D6"/>
              <w:right w:val="single" w:sz="4" w:color="B7C9D6"/>
            </w:tcBorders>
            <w:shd w:fill="EEF4F8"/>
            <w:vAlign w:val="center"/>
          </w:tcPr>
          <w:p>
            <w:pPr>
              <w:jc w:val="left"/>
            </w:pPr>
            <w:r>
              <w:rPr>
                <w:rFonts w:ascii="Times New Roman" w:hAnsi="Times New Roman" w:eastAsia="宋体"/>
                <w:sz w:val="17"/>
              </w:rPr>
              <w:t>评价带</w:t>
            </w:r>
          </w:p>
        </w:tc>
        <w:tc>
          <w:tcPr>
            <w:tcW w:type="dxa" w:w="4592"/>
            <w:tcBorders>
              <w:top w:val="single" w:sz="4" w:color="B7C9D6"/>
              <w:left w:val="single" w:sz="4" w:color="B7C9D6"/>
              <w:bottom w:val="single" w:sz="4" w:color="B7C9D6"/>
              <w:right w:val="single" w:sz="4" w:color="B7C9D6"/>
            </w:tcBorders>
            <w:shd w:fill="EEF4F8"/>
            <w:vAlign w:val="center"/>
          </w:tcPr>
          <w:p>
            <w:pPr>
              <w:jc w:val="center"/>
            </w:pPr>
            <w:r>
              <w:rPr>
                <w:rFonts w:ascii="Times New Roman" w:hAnsi="Times New Roman" w:eastAsia="宋体"/>
                <w:sz w:val="17"/>
              </w:rPr>
              <w:t>12 条固定条件，每条件 100 episodes</w:t>
            </w:r>
          </w:p>
        </w:tc>
      </w:tr>
    </w:tbl>
    <w:p>
      <w:pPr>
        <w:spacing w:after="40"/>
      </w:pPr>
    </w:p>
    <w:p>
      <w:pPr>
        <w:spacing w:after="160"/>
        <w:jc w:val="center"/>
      </w:pPr>
      <w:r>
        <w:rPr>
          <w:rFonts w:ascii="Times New Roman" w:hAnsi="Times New Roman" w:eastAsia="宋体"/>
          <w:sz w:val="19"/>
        </w:rPr>
        <w:t>表 2 正式受控实验协议</w:t>
      </w:r>
    </w:p>
    <w:p>
      <w:pPr>
        <w:spacing w:before="180" w:after="120"/>
      </w:pPr>
      <w:r>
        <w:rPr>
          <w:rFonts w:ascii="Times New Roman" w:hAnsi="Times New Roman" w:eastAsia="宋体"/>
          <w:b/>
          <w:color w:val="000000"/>
          <w:sz w:val="23"/>
        </w:rPr>
        <w:t>4.2 端点与证据分层</w:t>
      </w:r>
    </w:p>
    <w:p>
      <w:pPr>
        <w:spacing w:line="348" w:lineRule="auto" w:after="100"/>
        <w:ind w:firstLine="420"/>
        <w:jc w:val="both"/>
      </w:pPr>
      <w:r>
        <w:rPr>
          <w:rFonts w:ascii="Times New Roman" w:hAnsi="Times New Roman" w:eastAsia="宋体"/>
          <w:sz w:val="21"/>
        </w:rPr>
        <w:t>主要任务端点为名义回报、F0 回报、非名义平均回报与非名义最差回报；可靠性指标为成功、超时、碰撞与约束违规。由于正式评价条件属于冻结训练支持集合，本文将非名义端点称为跨条件故障端点，而不称为严格 OOD。正式五种子配对队列承担主要比较；后续独立队列用于考察跨队列方向；PLR-style 外部参考用于定位通用优先级机制的相对表现。不同层级不合并为一个扩大后的确认性样本。</w:t>
      </w:r>
    </w:p>
    <w:p>
      <w:pPr>
        <w:spacing w:before="280" w:after="120"/>
      </w:pPr>
      <w:r>
        <w:rPr>
          <w:rFonts w:ascii="Times New Roman" w:hAnsi="Times New Roman" w:eastAsia="黑体"/>
          <w:b/>
          <w:color w:val="1A4C72"/>
          <w:sz w:val="28"/>
        </w:rPr>
        <w:t>5 结果</w:t>
      </w:r>
    </w:p>
    <w:p>
      <w:pPr>
        <w:spacing w:before="180" w:after="120"/>
      </w:pPr>
      <w:r>
        <w:rPr>
          <w:rFonts w:ascii="Times New Roman" w:hAnsi="Times New Roman" w:eastAsia="宋体"/>
          <w:b/>
          <w:color w:val="000000"/>
          <w:sz w:val="23"/>
        </w:rPr>
        <w:t>5.1 RQ1：DRTP 改变了正式队列上的故障协同端点</w:t>
      </w:r>
    </w:p>
    <w:p>
      <w:pPr>
        <w:spacing w:line="348" w:lineRule="auto" w:after="100"/>
        <w:ind w:firstLine="420"/>
        <w:jc w:val="both"/>
      </w:pPr>
      <w:r>
        <w:rPr>
          <w:rFonts w:ascii="Times New Roman" w:hAnsi="Times New Roman" w:eastAsia="宋体"/>
          <w:sz w:val="21"/>
        </w:rPr>
        <w:t>正式五种子队列的固定 10M 终点评价显示，DRTP 在四个汇总端点上均高于 UTR。尤其是故障相关端点，F0、非名义平均和非名义最差回报的配对平均增益分别为 52.13、55.00 和 63.01，且五个训练种子全部呈正向。该结果表明，在统一的策略结构、训练预算和故障支持集合下，有界自适应暴露分配与更高的队列级故障任务端点相联系。名义端点的配对平均增益为 33.48，4/5 种子为正，说明这一训练干预并未以系统性降低名义任务为代价。</w:t>
      </w:r>
    </w:p>
    <w:tbl>
      <w:tblPr>
        <w:tblStyle w:val="TableGrid"/>
        <w:tblW w:type="auto" w:w="0"/>
        <w:jc w:val="center"/>
        <w:tblLook w:firstColumn="1" w:firstRow="1" w:lastColumn="0" w:lastRow="0" w:noHBand="0" w:noVBand="1" w:val="04A0"/>
      </w:tblPr>
      <w:tblGrid>
        <w:gridCol w:w="1915"/>
        <w:gridCol w:w="1915"/>
        <w:gridCol w:w="1915"/>
        <w:gridCol w:w="1915"/>
        <w:gridCol w:w="1915"/>
      </w:tblGrid>
      <w:tr>
        <w:tc>
          <w:tcPr>
            <w:tcW w:type="dxa" w:w="2041"/>
            <w:shd w:fill="1A4C72"/>
            <w:tcBorders>
              <w:top w:val="single" w:sz="4" w:color="B7C9D6"/>
              <w:left w:val="single" w:sz="4" w:color="B7C9D6"/>
              <w:bottom w:val="single" w:sz="4" w:color="B7C9D6"/>
              <w:right w:val="single" w:sz="4" w:color="B7C9D6"/>
            </w:tcBorders>
            <w:vAlign w:val="center"/>
          </w:tcPr>
          <w:p>
            <w:pPr>
              <w:jc w:val="center"/>
            </w:pPr>
            <w:r>
              <w:rPr>
                <w:rFonts w:ascii="Times New Roman" w:hAnsi="Times New Roman" w:eastAsia="宋体"/>
                <w:b/>
                <w:color w:val="FFFFFF"/>
                <w:sz w:val="17"/>
              </w:rPr>
              <w:t>端点</w:t>
            </w:r>
          </w:p>
        </w:tc>
        <w:tc>
          <w:tcPr>
            <w:tcW w:type="dxa" w:w="1531"/>
            <w:shd w:fill="1A4C72"/>
            <w:tcBorders>
              <w:top w:val="single" w:sz="4" w:color="B7C9D6"/>
              <w:left w:val="single" w:sz="4" w:color="B7C9D6"/>
              <w:bottom w:val="single" w:sz="4" w:color="B7C9D6"/>
              <w:right w:val="single" w:sz="4" w:color="B7C9D6"/>
            </w:tcBorders>
            <w:vAlign w:val="center"/>
          </w:tcPr>
          <w:p>
            <w:pPr>
              <w:jc w:val="center"/>
            </w:pPr>
            <w:r>
              <w:rPr>
                <w:rFonts w:ascii="Times New Roman" w:hAnsi="Times New Roman" w:eastAsia="宋体"/>
                <w:b/>
                <w:color w:val="FFFFFF"/>
                <w:sz w:val="17"/>
              </w:rPr>
              <w:t>UTR 均值</w:t>
            </w:r>
          </w:p>
        </w:tc>
        <w:tc>
          <w:tcPr>
            <w:tcW w:type="dxa" w:w="1531"/>
            <w:shd w:fill="1A4C72"/>
            <w:tcBorders>
              <w:top w:val="single" w:sz="4" w:color="B7C9D6"/>
              <w:left w:val="single" w:sz="4" w:color="B7C9D6"/>
              <w:bottom w:val="single" w:sz="4" w:color="B7C9D6"/>
              <w:right w:val="single" w:sz="4" w:color="B7C9D6"/>
            </w:tcBorders>
            <w:vAlign w:val="center"/>
          </w:tcPr>
          <w:p>
            <w:pPr>
              <w:jc w:val="center"/>
            </w:pPr>
            <w:r>
              <w:rPr>
                <w:rFonts w:ascii="Times New Roman" w:hAnsi="Times New Roman" w:eastAsia="宋体"/>
                <w:b/>
                <w:color w:val="FFFFFF"/>
                <w:sz w:val="17"/>
              </w:rPr>
              <w:t>DRTP 均值</w:t>
            </w:r>
          </w:p>
        </w:tc>
        <w:tc>
          <w:tcPr>
            <w:tcW w:type="dxa" w:w="2041"/>
            <w:shd w:fill="1A4C72"/>
            <w:tcBorders>
              <w:top w:val="single" w:sz="4" w:color="B7C9D6"/>
              <w:left w:val="single" w:sz="4" w:color="B7C9D6"/>
              <w:bottom w:val="single" w:sz="4" w:color="B7C9D6"/>
              <w:right w:val="single" w:sz="4" w:color="B7C9D6"/>
            </w:tcBorders>
            <w:vAlign w:val="center"/>
          </w:tcPr>
          <w:p>
            <w:pPr>
              <w:jc w:val="center"/>
            </w:pPr>
            <w:r>
              <w:rPr>
                <w:rFonts w:ascii="Times New Roman" w:hAnsi="Times New Roman" w:eastAsia="宋体"/>
                <w:b/>
                <w:color w:val="FFFFFF"/>
                <w:sz w:val="17"/>
              </w:rPr>
              <w:t>DRTP−UTR 配对均值</w:t>
            </w:r>
          </w:p>
        </w:tc>
        <w:tc>
          <w:tcPr>
            <w:tcW w:type="dxa" w:w="1134"/>
            <w:shd w:fill="1A4C72"/>
            <w:tcBorders>
              <w:top w:val="single" w:sz="4" w:color="B7C9D6"/>
              <w:left w:val="single" w:sz="4" w:color="B7C9D6"/>
              <w:bottom w:val="single" w:sz="4" w:color="B7C9D6"/>
              <w:right w:val="single" w:sz="4" w:color="B7C9D6"/>
            </w:tcBorders>
            <w:vAlign w:val="center"/>
          </w:tcPr>
          <w:p>
            <w:pPr>
              <w:jc w:val="center"/>
            </w:pPr>
            <w:r>
              <w:rPr>
                <w:rFonts w:ascii="Times New Roman" w:hAnsi="Times New Roman" w:eastAsia="宋体"/>
                <w:b/>
                <w:color w:val="FFFFFF"/>
                <w:sz w:val="17"/>
              </w:rPr>
              <w:t>正向种子</w:t>
            </w:r>
          </w:p>
        </w:tc>
      </w:tr>
      <w:tr>
        <w:tc>
          <w:tcPr>
            <w:tcW w:type="dxa" w:w="2041"/>
            <w:tcBorders>
              <w:top w:val="single" w:sz="4" w:color="B7C9D6"/>
              <w:left w:val="single" w:sz="4" w:color="B7C9D6"/>
              <w:bottom w:val="single" w:sz="4" w:color="B7C9D6"/>
              <w:right w:val="single" w:sz="4" w:color="B7C9D6"/>
            </w:tcBorders>
            <w:vAlign w:val="center"/>
          </w:tcPr>
          <w:p>
            <w:pPr>
              <w:jc w:val="left"/>
            </w:pPr>
            <w:r>
              <w:rPr>
                <w:rFonts w:ascii="Times New Roman" w:hAnsi="Times New Roman" w:eastAsia="宋体"/>
                <w:sz w:val="17"/>
              </w:rPr>
              <w:t>名义 J</w:t>
            </w:r>
          </w:p>
        </w:tc>
        <w:tc>
          <w:tcPr>
            <w:tcW w:type="dxa" w:w="1531"/>
            <w:tcBorders>
              <w:top w:val="single" w:sz="4" w:color="B7C9D6"/>
              <w:left w:val="single" w:sz="4" w:color="B7C9D6"/>
              <w:bottom w:val="single" w:sz="4" w:color="B7C9D6"/>
              <w:right w:val="single" w:sz="4" w:color="B7C9D6"/>
            </w:tcBorders>
            <w:vAlign w:val="center"/>
          </w:tcPr>
          <w:p>
            <w:pPr>
              <w:jc w:val="center"/>
            </w:pPr>
            <w:r>
              <w:rPr>
                <w:rFonts w:ascii="Times New Roman" w:hAnsi="Times New Roman" w:eastAsia="宋体"/>
                <w:sz w:val="17"/>
              </w:rPr>
              <w:t>174.30</w:t>
            </w:r>
          </w:p>
        </w:tc>
        <w:tc>
          <w:tcPr>
            <w:tcW w:type="dxa" w:w="1531"/>
            <w:tcBorders>
              <w:top w:val="single" w:sz="4" w:color="B7C9D6"/>
              <w:left w:val="single" w:sz="4" w:color="B7C9D6"/>
              <w:bottom w:val="single" w:sz="4" w:color="B7C9D6"/>
              <w:right w:val="single" w:sz="4" w:color="B7C9D6"/>
            </w:tcBorders>
            <w:vAlign w:val="center"/>
          </w:tcPr>
          <w:p>
            <w:pPr>
              <w:jc w:val="center"/>
            </w:pPr>
            <w:r>
              <w:rPr>
                <w:rFonts w:ascii="Times New Roman" w:hAnsi="Times New Roman" w:eastAsia="宋体"/>
                <w:sz w:val="17"/>
              </w:rPr>
              <w:t>207.78</w:t>
            </w:r>
          </w:p>
        </w:tc>
        <w:tc>
          <w:tcPr>
            <w:tcW w:type="dxa" w:w="2041"/>
            <w:tcBorders>
              <w:top w:val="single" w:sz="4" w:color="B7C9D6"/>
              <w:left w:val="single" w:sz="4" w:color="B7C9D6"/>
              <w:bottom w:val="single" w:sz="4" w:color="B7C9D6"/>
              <w:right w:val="single" w:sz="4" w:color="B7C9D6"/>
            </w:tcBorders>
            <w:vAlign w:val="center"/>
          </w:tcPr>
          <w:p>
            <w:pPr>
              <w:jc w:val="center"/>
            </w:pPr>
            <w:r>
              <w:rPr>
                <w:rFonts w:ascii="Times New Roman" w:hAnsi="Times New Roman" w:eastAsia="宋体"/>
                <w:sz w:val="17"/>
              </w:rPr>
              <w:t>+33.48</w:t>
            </w:r>
          </w:p>
        </w:tc>
        <w:tc>
          <w:tcPr>
            <w:tcW w:type="dxa" w:w="1134"/>
            <w:tcBorders>
              <w:top w:val="single" w:sz="4" w:color="B7C9D6"/>
              <w:left w:val="single" w:sz="4" w:color="B7C9D6"/>
              <w:bottom w:val="single" w:sz="4" w:color="B7C9D6"/>
              <w:right w:val="single" w:sz="4" w:color="B7C9D6"/>
            </w:tcBorders>
            <w:vAlign w:val="center"/>
          </w:tcPr>
          <w:p>
            <w:pPr>
              <w:jc w:val="center"/>
            </w:pPr>
            <w:r>
              <w:rPr>
                <w:rFonts w:ascii="Times New Roman" w:hAnsi="Times New Roman" w:eastAsia="宋体"/>
                <w:sz w:val="17"/>
              </w:rPr>
              <w:t>4/5</w:t>
            </w:r>
          </w:p>
        </w:tc>
      </w:tr>
      <w:tr>
        <w:tc>
          <w:tcPr>
            <w:tcW w:type="dxa" w:w="2041"/>
            <w:tcBorders>
              <w:top w:val="single" w:sz="4" w:color="B7C9D6"/>
              <w:left w:val="single" w:sz="4" w:color="B7C9D6"/>
              <w:bottom w:val="single" w:sz="4" w:color="B7C9D6"/>
              <w:right w:val="single" w:sz="4" w:color="B7C9D6"/>
            </w:tcBorders>
            <w:shd w:fill="EEF4F8"/>
            <w:vAlign w:val="center"/>
          </w:tcPr>
          <w:p>
            <w:pPr>
              <w:jc w:val="left"/>
            </w:pPr>
            <w:r>
              <w:rPr>
                <w:rFonts w:ascii="Times New Roman" w:hAnsi="Times New Roman" w:eastAsia="宋体"/>
                <w:sz w:val="17"/>
              </w:rPr>
              <w:t>F0 J</w:t>
            </w:r>
          </w:p>
        </w:tc>
        <w:tc>
          <w:tcPr>
            <w:tcW w:type="dxa" w:w="1531"/>
            <w:tcBorders>
              <w:top w:val="single" w:sz="4" w:color="B7C9D6"/>
              <w:left w:val="single" w:sz="4" w:color="B7C9D6"/>
              <w:bottom w:val="single" w:sz="4" w:color="B7C9D6"/>
              <w:right w:val="single" w:sz="4" w:color="B7C9D6"/>
            </w:tcBorders>
            <w:shd w:fill="EEF4F8"/>
            <w:vAlign w:val="center"/>
          </w:tcPr>
          <w:p>
            <w:pPr>
              <w:jc w:val="center"/>
            </w:pPr>
            <w:r>
              <w:rPr>
                <w:rFonts w:ascii="Times New Roman" w:hAnsi="Times New Roman" w:eastAsia="宋体"/>
                <w:sz w:val="17"/>
              </w:rPr>
              <w:t>144.64</w:t>
            </w:r>
          </w:p>
        </w:tc>
        <w:tc>
          <w:tcPr>
            <w:tcW w:type="dxa" w:w="1531"/>
            <w:tcBorders>
              <w:top w:val="single" w:sz="4" w:color="B7C9D6"/>
              <w:left w:val="single" w:sz="4" w:color="B7C9D6"/>
              <w:bottom w:val="single" w:sz="4" w:color="B7C9D6"/>
              <w:right w:val="single" w:sz="4" w:color="B7C9D6"/>
            </w:tcBorders>
            <w:shd w:fill="EEF4F8"/>
            <w:vAlign w:val="center"/>
          </w:tcPr>
          <w:p>
            <w:pPr>
              <w:jc w:val="center"/>
            </w:pPr>
            <w:r>
              <w:rPr>
                <w:rFonts w:ascii="Times New Roman" w:hAnsi="Times New Roman" w:eastAsia="宋体"/>
                <w:sz w:val="17"/>
              </w:rPr>
              <w:t>196.77</w:t>
            </w:r>
          </w:p>
        </w:tc>
        <w:tc>
          <w:tcPr>
            <w:tcW w:type="dxa" w:w="2041"/>
            <w:tcBorders>
              <w:top w:val="single" w:sz="4" w:color="B7C9D6"/>
              <w:left w:val="single" w:sz="4" w:color="B7C9D6"/>
              <w:bottom w:val="single" w:sz="4" w:color="B7C9D6"/>
              <w:right w:val="single" w:sz="4" w:color="B7C9D6"/>
            </w:tcBorders>
            <w:shd w:fill="EEF4F8"/>
            <w:vAlign w:val="center"/>
          </w:tcPr>
          <w:p>
            <w:pPr>
              <w:jc w:val="center"/>
            </w:pPr>
            <w:r>
              <w:rPr>
                <w:rFonts w:ascii="Times New Roman" w:hAnsi="Times New Roman" w:eastAsia="宋体"/>
                <w:sz w:val="17"/>
              </w:rPr>
              <w:t>+52.13</w:t>
            </w:r>
          </w:p>
        </w:tc>
        <w:tc>
          <w:tcPr>
            <w:tcW w:type="dxa" w:w="1134"/>
            <w:tcBorders>
              <w:top w:val="single" w:sz="4" w:color="B7C9D6"/>
              <w:left w:val="single" w:sz="4" w:color="B7C9D6"/>
              <w:bottom w:val="single" w:sz="4" w:color="B7C9D6"/>
              <w:right w:val="single" w:sz="4" w:color="B7C9D6"/>
            </w:tcBorders>
            <w:shd w:fill="EEF4F8"/>
            <w:vAlign w:val="center"/>
          </w:tcPr>
          <w:p>
            <w:pPr>
              <w:jc w:val="center"/>
            </w:pPr>
            <w:r>
              <w:rPr>
                <w:rFonts w:ascii="Times New Roman" w:hAnsi="Times New Roman" w:eastAsia="宋体"/>
                <w:sz w:val="17"/>
              </w:rPr>
              <w:t>5/5</w:t>
            </w:r>
          </w:p>
        </w:tc>
      </w:tr>
      <w:tr>
        <w:tc>
          <w:tcPr>
            <w:tcW w:type="dxa" w:w="2041"/>
            <w:tcBorders>
              <w:top w:val="single" w:sz="4" w:color="B7C9D6"/>
              <w:left w:val="single" w:sz="4" w:color="B7C9D6"/>
              <w:bottom w:val="single" w:sz="4" w:color="B7C9D6"/>
              <w:right w:val="single" w:sz="4" w:color="B7C9D6"/>
            </w:tcBorders>
            <w:vAlign w:val="center"/>
          </w:tcPr>
          <w:p>
            <w:pPr>
              <w:jc w:val="left"/>
            </w:pPr>
            <w:r>
              <w:rPr>
                <w:rFonts w:ascii="Times New Roman" w:hAnsi="Times New Roman" w:eastAsia="宋体"/>
                <w:sz w:val="17"/>
              </w:rPr>
              <w:t>非名义平均 J</w:t>
            </w:r>
          </w:p>
        </w:tc>
        <w:tc>
          <w:tcPr>
            <w:tcW w:type="dxa" w:w="1531"/>
            <w:tcBorders>
              <w:top w:val="single" w:sz="4" w:color="B7C9D6"/>
              <w:left w:val="single" w:sz="4" w:color="B7C9D6"/>
              <w:bottom w:val="single" w:sz="4" w:color="B7C9D6"/>
              <w:right w:val="single" w:sz="4" w:color="B7C9D6"/>
            </w:tcBorders>
            <w:vAlign w:val="center"/>
          </w:tcPr>
          <w:p>
            <w:pPr>
              <w:jc w:val="center"/>
            </w:pPr>
            <w:r>
              <w:rPr>
                <w:rFonts w:ascii="Times New Roman" w:hAnsi="Times New Roman" w:eastAsia="宋体"/>
                <w:sz w:val="17"/>
              </w:rPr>
              <w:t>144.70</w:t>
            </w:r>
          </w:p>
        </w:tc>
        <w:tc>
          <w:tcPr>
            <w:tcW w:type="dxa" w:w="1531"/>
            <w:tcBorders>
              <w:top w:val="single" w:sz="4" w:color="B7C9D6"/>
              <w:left w:val="single" w:sz="4" w:color="B7C9D6"/>
              <w:bottom w:val="single" w:sz="4" w:color="B7C9D6"/>
              <w:right w:val="single" w:sz="4" w:color="B7C9D6"/>
            </w:tcBorders>
            <w:vAlign w:val="center"/>
          </w:tcPr>
          <w:p>
            <w:pPr>
              <w:jc w:val="center"/>
            </w:pPr>
            <w:r>
              <w:rPr>
                <w:rFonts w:ascii="Times New Roman" w:hAnsi="Times New Roman" w:eastAsia="宋体"/>
                <w:sz w:val="17"/>
              </w:rPr>
              <w:t>199.70</w:t>
            </w:r>
          </w:p>
        </w:tc>
        <w:tc>
          <w:tcPr>
            <w:tcW w:type="dxa" w:w="2041"/>
            <w:tcBorders>
              <w:top w:val="single" w:sz="4" w:color="B7C9D6"/>
              <w:left w:val="single" w:sz="4" w:color="B7C9D6"/>
              <w:bottom w:val="single" w:sz="4" w:color="B7C9D6"/>
              <w:right w:val="single" w:sz="4" w:color="B7C9D6"/>
            </w:tcBorders>
            <w:vAlign w:val="center"/>
          </w:tcPr>
          <w:p>
            <w:pPr>
              <w:jc w:val="center"/>
            </w:pPr>
            <w:r>
              <w:rPr>
                <w:rFonts w:ascii="Times New Roman" w:hAnsi="Times New Roman" w:eastAsia="宋体"/>
                <w:sz w:val="17"/>
              </w:rPr>
              <w:t>+55.00</w:t>
            </w:r>
          </w:p>
        </w:tc>
        <w:tc>
          <w:tcPr>
            <w:tcW w:type="dxa" w:w="1134"/>
            <w:tcBorders>
              <w:top w:val="single" w:sz="4" w:color="B7C9D6"/>
              <w:left w:val="single" w:sz="4" w:color="B7C9D6"/>
              <w:bottom w:val="single" w:sz="4" w:color="B7C9D6"/>
              <w:right w:val="single" w:sz="4" w:color="B7C9D6"/>
            </w:tcBorders>
            <w:vAlign w:val="center"/>
          </w:tcPr>
          <w:p>
            <w:pPr>
              <w:jc w:val="center"/>
            </w:pPr>
            <w:r>
              <w:rPr>
                <w:rFonts w:ascii="Times New Roman" w:hAnsi="Times New Roman" w:eastAsia="宋体"/>
                <w:sz w:val="17"/>
              </w:rPr>
              <w:t>5/5</w:t>
            </w:r>
          </w:p>
        </w:tc>
      </w:tr>
      <w:tr>
        <w:tc>
          <w:tcPr>
            <w:tcW w:type="dxa" w:w="2041"/>
            <w:tcBorders>
              <w:top w:val="single" w:sz="4" w:color="B7C9D6"/>
              <w:left w:val="single" w:sz="4" w:color="B7C9D6"/>
              <w:bottom w:val="single" w:sz="4" w:color="B7C9D6"/>
              <w:right w:val="single" w:sz="4" w:color="B7C9D6"/>
            </w:tcBorders>
            <w:shd w:fill="EEF4F8"/>
            <w:vAlign w:val="center"/>
          </w:tcPr>
          <w:p>
            <w:pPr>
              <w:jc w:val="left"/>
            </w:pPr>
            <w:r>
              <w:rPr>
                <w:rFonts w:ascii="Times New Roman" w:hAnsi="Times New Roman" w:eastAsia="宋体"/>
                <w:sz w:val="17"/>
              </w:rPr>
              <w:t>非名义最差 J</w:t>
            </w:r>
          </w:p>
        </w:tc>
        <w:tc>
          <w:tcPr>
            <w:tcW w:type="dxa" w:w="1531"/>
            <w:tcBorders>
              <w:top w:val="single" w:sz="4" w:color="B7C9D6"/>
              <w:left w:val="single" w:sz="4" w:color="B7C9D6"/>
              <w:bottom w:val="single" w:sz="4" w:color="B7C9D6"/>
              <w:right w:val="single" w:sz="4" w:color="B7C9D6"/>
            </w:tcBorders>
            <w:shd w:fill="EEF4F8"/>
            <w:vAlign w:val="center"/>
          </w:tcPr>
          <w:p>
            <w:pPr>
              <w:jc w:val="center"/>
            </w:pPr>
            <w:r>
              <w:rPr>
                <w:rFonts w:ascii="Times New Roman" w:hAnsi="Times New Roman" w:eastAsia="宋体"/>
                <w:sz w:val="17"/>
              </w:rPr>
              <w:t>124.44</w:t>
            </w:r>
          </w:p>
        </w:tc>
        <w:tc>
          <w:tcPr>
            <w:tcW w:type="dxa" w:w="1531"/>
            <w:tcBorders>
              <w:top w:val="single" w:sz="4" w:color="B7C9D6"/>
              <w:left w:val="single" w:sz="4" w:color="B7C9D6"/>
              <w:bottom w:val="single" w:sz="4" w:color="B7C9D6"/>
              <w:right w:val="single" w:sz="4" w:color="B7C9D6"/>
            </w:tcBorders>
            <w:shd w:fill="EEF4F8"/>
            <w:vAlign w:val="center"/>
          </w:tcPr>
          <w:p>
            <w:pPr>
              <w:jc w:val="center"/>
            </w:pPr>
            <w:r>
              <w:rPr>
                <w:rFonts w:ascii="Times New Roman" w:hAnsi="Times New Roman" w:eastAsia="宋体"/>
                <w:sz w:val="17"/>
              </w:rPr>
              <w:t>187.45</w:t>
            </w:r>
          </w:p>
        </w:tc>
        <w:tc>
          <w:tcPr>
            <w:tcW w:type="dxa" w:w="2041"/>
            <w:tcBorders>
              <w:top w:val="single" w:sz="4" w:color="B7C9D6"/>
              <w:left w:val="single" w:sz="4" w:color="B7C9D6"/>
              <w:bottom w:val="single" w:sz="4" w:color="B7C9D6"/>
              <w:right w:val="single" w:sz="4" w:color="B7C9D6"/>
            </w:tcBorders>
            <w:shd w:fill="EEF4F8"/>
            <w:vAlign w:val="center"/>
          </w:tcPr>
          <w:p>
            <w:pPr>
              <w:jc w:val="center"/>
            </w:pPr>
            <w:r>
              <w:rPr>
                <w:rFonts w:ascii="Times New Roman" w:hAnsi="Times New Roman" w:eastAsia="宋体"/>
                <w:sz w:val="17"/>
              </w:rPr>
              <w:t>+63.01</w:t>
            </w:r>
          </w:p>
        </w:tc>
        <w:tc>
          <w:tcPr>
            <w:tcW w:type="dxa" w:w="1134"/>
            <w:tcBorders>
              <w:top w:val="single" w:sz="4" w:color="B7C9D6"/>
              <w:left w:val="single" w:sz="4" w:color="B7C9D6"/>
              <w:bottom w:val="single" w:sz="4" w:color="B7C9D6"/>
              <w:right w:val="single" w:sz="4" w:color="B7C9D6"/>
            </w:tcBorders>
            <w:shd w:fill="EEF4F8"/>
            <w:vAlign w:val="center"/>
          </w:tcPr>
          <w:p>
            <w:pPr>
              <w:jc w:val="center"/>
            </w:pPr>
            <w:r>
              <w:rPr>
                <w:rFonts w:ascii="Times New Roman" w:hAnsi="Times New Roman" w:eastAsia="宋体"/>
                <w:sz w:val="17"/>
              </w:rPr>
              <w:t>5/5</w:t>
            </w:r>
          </w:p>
        </w:tc>
      </w:tr>
    </w:tbl>
    <w:p>
      <w:pPr>
        <w:spacing w:after="40"/>
      </w:pPr>
    </w:p>
    <w:p>
      <w:pPr>
        <w:spacing w:after="160"/>
        <w:jc w:val="center"/>
      </w:pPr>
      <w:r>
        <w:rPr>
          <w:rFonts w:ascii="Times New Roman" w:hAnsi="Times New Roman" w:eastAsia="宋体"/>
          <w:sz w:val="19"/>
        </w:rPr>
        <w:t>表 3 正式五种子队列的固定终点任务回报</w:t>
      </w:r>
    </w:p>
    <w:p>
      <w:r>
        <w:drawing>
          <wp:inline xmlns:a="http://schemas.openxmlformats.org/drawingml/2006/main" xmlns:pic="http://schemas.openxmlformats.org/drawingml/2006/picture">
            <wp:extent cx="5652000" cy="2725876"/>
            <wp:docPr id="4" name="Picture 4"/>
            <wp:cNvGraphicFramePr>
              <a:graphicFrameLocks noChangeAspect="1"/>
            </wp:cNvGraphicFramePr>
            <a:graphic>
              <a:graphicData uri="http://schemas.openxmlformats.org/drawingml/2006/picture">
                <pic:pic>
                  <pic:nvPicPr>
                    <pic:cNvPr id="0" name="fig4_formal_results.png"/>
                    <pic:cNvPicPr/>
                  </pic:nvPicPr>
                  <pic:blipFill>
                    <a:blip r:embed="rId12"/>
                    <a:stretch>
                      <a:fillRect/>
                    </a:stretch>
                  </pic:blipFill>
                  <pic:spPr>
                    <a:xfrm>
                      <a:off x="0" y="0"/>
                      <a:ext cx="5652000" cy="2725876"/>
                    </a:xfrm>
                    <a:prstGeom prst="rect"/>
                  </pic:spPr>
                </pic:pic>
              </a:graphicData>
            </a:graphic>
          </wp:inline>
        </w:drawing>
      </w:r>
    </w:p>
    <w:p>
      <w:pPr>
        <w:spacing w:after="160"/>
        <w:jc w:val="center"/>
      </w:pPr>
      <w:r>
        <w:rPr>
          <w:rFonts w:ascii="Times New Roman" w:hAnsi="Times New Roman" w:eastAsia="宋体"/>
          <w:sz w:val="19"/>
        </w:rPr>
        <w:t>图 4 正式五种子队列的任务端点均值。柱上数字为 DRTP−UTR 配对平均增益。</w:t>
      </w:r>
    </w:p>
    <w:p>
      <w:pPr>
        <w:spacing w:before="180" w:after="120"/>
      </w:pPr>
      <w:r>
        <w:rPr>
          <w:rFonts w:ascii="Times New Roman" w:hAnsi="Times New Roman" w:eastAsia="宋体"/>
          <w:b/>
          <w:color w:val="000000"/>
          <w:sz w:val="23"/>
        </w:rPr>
        <w:t>5.2 RQ2：任务收益伴随可见的可靠性权衡</w:t>
      </w:r>
    </w:p>
    <w:p>
      <w:pPr>
        <w:spacing w:line="348" w:lineRule="auto" w:after="100"/>
        <w:ind w:firstLine="420"/>
        <w:jc w:val="both"/>
      </w:pPr>
      <w:r>
        <w:rPr>
          <w:rFonts w:ascii="Times New Roman" w:hAnsi="Times New Roman" w:eastAsia="宋体"/>
          <w:sz w:val="21"/>
        </w:rPr>
        <w:t>非名义条件平均超时率从 UTR 的 0.8742 降至 DRTP 的 0.6938，五个种子中四个表现为下降。故障触发审计显示，两臂均实际接触故障条件，failure exposure 分别为 0.9986 和 0.9935，因此任务端点差异不能由“某一臂未被故障触发”解释。与此同时，平均碰撞率从 0.0051 变为 0.0080；两臂约束违规率均为零。因而，本文的主张是故障任务端点与平均超时的改善，而不是全面的安全性保证。</w:t>
      </w:r>
    </w:p>
    <w:tbl>
      <w:tblPr>
        <w:tblStyle w:val="TableGrid"/>
        <w:tblW w:type="auto" w:w="0"/>
        <w:jc w:val="center"/>
        <w:tblLook w:firstColumn="1" w:firstRow="1" w:lastColumn="0" w:lastRow="0" w:noHBand="0" w:noVBand="1" w:val="04A0"/>
      </w:tblPr>
      <w:tblGrid>
        <w:gridCol w:w="2394"/>
        <w:gridCol w:w="2394"/>
        <w:gridCol w:w="2394"/>
        <w:gridCol w:w="2394"/>
      </w:tblGrid>
      <w:tr>
        <w:tc>
          <w:tcPr>
            <w:tcW w:type="dxa" w:w="1984"/>
            <w:shd w:fill="1A4C72"/>
            <w:tcBorders>
              <w:top w:val="single" w:sz="4" w:color="B7C9D6"/>
              <w:left w:val="single" w:sz="4" w:color="B7C9D6"/>
              <w:bottom w:val="single" w:sz="4" w:color="B7C9D6"/>
              <w:right w:val="single" w:sz="4" w:color="B7C9D6"/>
            </w:tcBorders>
            <w:vAlign w:val="center"/>
          </w:tcPr>
          <w:p>
            <w:pPr>
              <w:jc w:val="center"/>
            </w:pPr>
            <w:r>
              <w:rPr>
                <w:rFonts w:ascii="Times New Roman" w:hAnsi="Times New Roman" w:eastAsia="宋体"/>
                <w:b/>
                <w:color w:val="FFFFFF"/>
                <w:sz w:val="17"/>
              </w:rPr>
              <w:t>指标</w:t>
            </w:r>
          </w:p>
        </w:tc>
        <w:tc>
          <w:tcPr>
            <w:tcW w:type="dxa" w:w="1247"/>
            <w:shd w:fill="1A4C72"/>
            <w:tcBorders>
              <w:top w:val="single" w:sz="4" w:color="B7C9D6"/>
              <w:left w:val="single" w:sz="4" w:color="B7C9D6"/>
              <w:bottom w:val="single" w:sz="4" w:color="B7C9D6"/>
              <w:right w:val="single" w:sz="4" w:color="B7C9D6"/>
            </w:tcBorders>
            <w:vAlign w:val="center"/>
          </w:tcPr>
          <w:p>
            <w:pPr>
              <w:jc w:val="center"/>
            </w:pPr>
            <w:r>
              <w:rPr>
                <w:rFonts w:ascii="Times New Roman" w:hAnsi="Times New Roman" w:eastAsia="宋体"/>
                <w:b/>
                <w:color w:val="FFFFFF"/>
                <w:sz w:val="17"/>
              </w:rPr>
              <w:t>UTR</w:t>
            </w:r>
          </w:p>
        </w:tc>
        <w:tc>
          <w:tcPr>
            <w:tcW w:type="dxa" w:w="1247"/>
            <w:shd w:fill="1A4C72"/>
            <w:tcBorders>
              <w:top w:val="single" w:sz="4" w:color="B7C9D6"/>
              <w:left w:val="single" w:sz="4" w:color="B7C9D6"/>
              <w:bottom w:val="single" w:sz="4" w:color="B7C9D6"/>
              <w:right w:val="single" w:sz="4" w:color="B7C9D6"/>
            </w:tcBorders>
            <w:vAlign w:val="center"/>
          </w:tcPr>
          <w:p>
            <w:pPr>
              <w:jc w:val="center"/>
            </w:pPr>
            <w:r>
              <w:rPr>
                <w:rFonts w:ascii="Times New Roman" w:hAnsi="Times New Roman" w:eastAsia="宋体"/>
                <w:b/>
                <w:color w:val="FFFFFF"/>
                <w:sz w:val="17"/>
              </w:rPr>
              <w:t>DRTP</w:t>
            </w:r>
          </w:p>
        </w:tc>
        <w:tc>
          <w:tcPr>
            <w:tcW w:type="dxa" w:w="3061"/>
            <w:shd w:fill="1A4C72"/>
            <w:tcBorders>
              <w:top w:val="single" w:sz="4" w:color="B7C9D6"/>
              <w:left w:val="single" w:sz="4" w:color="B7C9D6"/>
              <w:bottom w:val="single" w:sz="4" w:color="B7C9D6"/>
              <w:right w:val="single" w:sz="4" w:color="B7C9D6"/>
            </w:tcBorders>
            <w:vAlign w:val="center"/>
          </w:tcPr>
          <w:p>
            <w:pPr>
              <w:jc w:val="center"/>
            </w:pPr>
            <w:r>
              <w:rPr>
                <w:rFonts w:ascii="Times New Roman" w:hAnsi="Times New Roman" w:eastAsia="宋体"/>
                <w:b/>
                <w:color w:val="FFFFFF"/>
                <w:sz w:val="17"/>
              </w:rPr>
              <w:t>论文解释</w:t>
            </w:r>
          </w:p>
        </w:tc>
      </w:tr>
      <w:tr>
        <w:tc>
          <w:tcPr>
            <w:tcW w:type="dxa" w:w="1984"/>
            <w:tcBorders>
              <w:top w:val="single" w:sz="4" w:color="B7C9D6"/>
              <w:left w:val="single" w:sz="4" w:color="B7C9D6"/>
              <w:bottom w:val="single" w:sz="4" w:color="B7C9D6"/>
              <w:right w:val="single" w:sz="4" w:color="B7C9D6"/>
            </w:tcBorders>
            <w:vAlign w:val="center"/>
          </w:tcPr>
          <w:p>
            <w:pPr>
              <w:jc w:val="left"/>
            </w:pPr>
            <w:r>
              <w:rPr>
                <w:rFonts w:ascii="Times New Roman" w:hAnsi="Times New Roman" w:eastAsia="宋体"/>
                <w:sz w:val="17"/>
              </w:rPr>
              <w:t>非名义平均超时率</w:t>
            </w:r>
          </w:p>
        </w:tc>
        <w:tc>
          <w:tcPr>
            <w:tcW w:type="dxa" w:w="1247"/>
            <w:tcBorders>
              <w:top w:val="single" w:sz="4" w:color="B7C9D6"/>
              <w:left w:val="single" w:sz="4" w:color="B7C9D6"/>
              <w:bottom w:val="single" w:sz="4" w:color="B7C9D6"/>
              <w:right w:val="single" w:sz="4" w:color="B7C9D6"/>
            </w:tcBorders>
            <w:vAlign w:val="center"/>
          </w:tcPr>
          <w:p>
            <w:pPr>
              <w:jc w:val="center"/>
            </w:pPr>
            <w:r>
              <w:rPr>
                <w:rFonts w:ascii="Times New Roman" w:hAnsi="Times New Roman" w:eastAsia="宋体"/>
                <w:sz w:val="17"/>
              </w:rPr>
              <w:t>0.8742</w:t>
            </w:r>
          </w:p>
        </w:tc>
        <w:tc>
          <w:tcPr>
            <w:tcW w:type="dxa" w:w="1247"/>
            <w:tcBorders>
              <w:top w:val="single" w:sz="4" w:color="B7C9D6"/>
              <w:left w:val="single" w:sz="4" w:color="B7C9D6"/>
              <w:bottom w:val="single" w:sz="4" w:color="B7C9D6"/>
              <w:right w:val="single" w:sz="4" w:color="B7C9D6"/>
            </w:tcBorders>
            <w:vAlign w:val="center"/>
          </w:tcPr>
          <w:p>
            <w:pPr>
              <w:jc w:val="center"/>
            </w:pPr>
            <w:r>
              <w:rPr>
                <w:rFonts w:ascii="Times New Roman" w:hAnsi="Times New Roman" w:eastAsia="宋体"/>
                <w:sz w:val="17"/>
              </w:rPr>
              <w:t>0.6938</w:t>
            </w:r>
          </w:p>
        </w:tc>
        <w:tc>
          <w:tcPr>
            <w:tcW w:type="dxa" w:w="3061"/>
            <w:tcBorders>
              <w:top w:val="single" w:sz="4" w:color="B7C9D6"/>
              <w:left w:val="single" w:sz="4" w:color="B7C9D6"/>
              <w:bottom w:val="single" w:sz="4" w:color="B7C9D6"/>
              <w:right w:val="single" w:sz="4" w:color="B7C9D6"/>
            </w:tcBorders>
            <w:vAlign w:val="center"/>
          </w:tcPr>
          <w:p>
            <w:pPr>
              <w:jc w:val="center"/>
            </w:pPr>
            <w:r>
              <w:rPr>
                <w:rFonts w:ascii="Times New Roman" w:hAnsi="Times New Roman" w:eastAsia="宋体"/>
                <w:sz w:val="17"/>
              </w:rPr>
              <w:t>平均下降；并非逐种子单调</w:t>
            </w:r>
          </w:p>
        </w:tc>
      </w:tr>
      <w:tr>
        <w:tc>
          <w:tcPr>
            <w:tcW w:type="dxa" w:w="1984"/>
            <w:tcBorders>
              <w:top w:val="single" w:sz="4" w:color="B7C9D6"/>
              <w:left w:val="single" w:sz="4" w:color="B7C9D6"/>
              <w:bottom w:val="single" w:sz="4" w:color="B7C9D6"/>
              <w:right w:val="single" w:sz="4" w:color="B7C9D6"/>
            </w:tcBorders>
            <w:shd w:fill="EEF4F8"/>
            <w:vAlign w:val="center"/>
          </w:tcPr>
          <w:p>
            <w:pPr>
              <w:jc w:val="left"/>
            </w:pPr>
            <w:r>
              <w:rPr>
                <w:rFonts w:ascii="Times New Roman" w:hAnsi="Times New Roman" w:eastAsia="宋体"/>
                <w:sz w:val="17"/>
              </w:rPr>
              <w:t>非名义平均碰撞率</w:t>
            </w:r>
          </w:p>
        </w:tc>
        <w:tc>
          <w:tcPr>
            <w:tcW w:type="dxa" w:w="1247"/>
            <w:tcBorders>
              <w:top w:val="single" w:sz="4" w:color="B7C9D6"/>
              <w:left w:val="single" w:sz="4" w:color="B7C9D6"/>
              <w:bottom w:val="single" w:sz="4" w:color="B7C9D6"/>
              <w:right w:val="single" w:sz="4" w:color="B7C9D6"/>
            </w:tcBorders>
            <w:shd w:fill="EEF4F8"/>
            <w:vAlign w:val="center"/>
          </w:tcPr>
          <w:p>
            <w:pPr>
              <w:jc w:val="center"/>
            </w:pPr>
            <w:r>
              <w:rPr>
                <w:rFonts w:ascii="Times New Roman" w:hAnsi="Times New Roman" w:eastAsia="宋体"/>
                <w:sz w:val="17"/>
              </w:rPr>
              <w:t>0.0051</w:t>
            </w:r>
          </w:p>
        </w:tc>
        <w:tc>
          <w:tcPr>
            <w:tcW w:type="dxa" w:w="1247"/>
            <w:tcBorders>
              <w:top w:val="single" w:sz="4" w:color="B7C9D6"/>
              <w:left w:val="single" w:sz="4" w:color="B7C9D6"/>
              <w:bottom w:val="single" w:sz="4" w:color="B7C9D6"/>
              <w:right w:val="single" w:sz="4" w:color="B7C9D6"/>
            </w:tcBorders>
            <w:shd w:fill="EEF4F8"/>
            <w:vAlign w:val="center"/>
          </w:tcPr>
          <w:p>
            <w:pPr>
              <w:jc w:val="center"/>
            </w:pPr>
            <w:r>
              <w:rPr>
                <w:rFonts w:ascii="Times New Roman" w:hAnsi="Times New Roman" w:eastAsia="宋体"/>
                <w:sz w:val="17"/>
              </w:rPr>
              <w:t>0.0080</w:t>
            </w:r>
          </w:p>
        </w:tc>
        <w:tc>
          <w:tcPr>
            <w:tcW w:type="dxa" w:w="3061"/>
            <w:tcBorders>
              <w:top w:val="single" w:sz="4" w:color="B7C9D6"/>
              <w:left w:val="single" w:sz="4" w:color="B7C9D6"/>
              <w:bottom w:val="single" w:sz="4" w:color="B7C9D6"/>
              <w:right w:val="single" w:sz="4" w:color="B7C9D6"/>
            </w:tcBorders>
            <w:shd w:fill="EEF4F8"/>
            <w:vAlign w:val="center"/>
          </w:tcPr>
          <w:p>
            <w:pPr>
              <w:jc w:val="center"/>
            </w:pPr>
            <w:r>
              <w:rPr>
                <w:rFonts w:ascii="Times New Roman" w:hAnsi="Times New Roman" w:eastAsia="宋体"/>
                <w:sz w:val="17"/>
              </w:rPr>
              <w:t>不支持全面安全改善</w:t>
            </w:r>
          </w:p>
        </w:tc>
      </w:tr>
      <w:tr>
        <w:tc>
          <w:tcPr>
            <w:tcW w:type="dxa" w:w="1984"/>
            <w:tcBorders>
              <w:top w:val="single" w:sz="4" w:color="B7C9D6"/>
              <w:left w:val="single" w:sz="4" w:color="B7C9D6"/>
              <w:bottom w:val="single" w:sz="4" w:color="B7C9D6"/>
              <w:right w:val="single" w:sz="4" w:color="B7C9D6"/>
            </w:tcBorders>
            <w:vAlign w:val="center"/>
          </w:tcPr>
          <w:p>
            <w:pPr>
              <w:jc w:val="left"/>
            </w:pPr>
            <w:r>
              <w:rPr>
                <w:rFonts w:ascii="Times New Roman" w:hAnsi="Times New Roman" w:eastAsia="宋体"/>
                <w:sz w:val="17"/>
              </w:rPr>
              <w:t>约束违规率</w:t>
            </w:r>
          </w:p>
        </w:tc>
        <w:tc>
          <w:tcPr>
            <w:tcW w:type="dxa" w:w="1247"/>
            <w:tcBorders>
              <w:top w:val="single" w:sz="4" w:color="B7C9D6"/>
              <w:left w:val="single" w:sz="4" w:color="B7C9D6"/>
              <w:bottom w:val="single" w:sz="4" w:color="B7C9D6"/>
              <w:right w:val="single" w:sz="4" w:color="B7C9D6"/>
            </w:tcBorders>
            <w:vAlign w:val="center"/>
          </w:tcPr>
          <w:p>
            <w:pPr>
              <w:jc w:val="center"/>
            </w:pPr>
            <w:r>
              <w:rPr>
                <w:rFonts w:ascii="Times New Roman" w:hAnsi="Times New Roman" w:eastAsia="宋体"/>
                <w:sz w:val="17"/>
              </w:rPr>
              <w:t>0</w:t>
            </w:r>
          </w:p>
        </w:tc>
        <w:tc>
          <w:tcPr>
            <w:tcW w:type="dxa" w:w="1247"/>
            <w:tcBorders>
              <w:top w:val="single" w:sz="4" w:color="B7C9D6"/>
              <w:left w:val="single" w:sz="4" w:color="B7C9D6"/>
              <w:bottom w:val="single" w:sz="4" w:color="B7C9D6"/>
              <w:right w:val="single" w:sz="4" w:color="B7C9D6"/>
            </w:tcBorders>
            <w:vAlign w:val="center"/>
          </w:tcPr>
          <w:p>
            <w:pPr>
              <w:jc w:val="center"/>
            </w:pPr>
            <w:r>
              <w:rPr>
                <w:rFonts w:ascii="Times New Roman" w:hAnsi="Times New Roman" w:eastAsia="宋体"/>
                <w:sz w:val="17"/>
              </w:rPr>
              <w:t>0</w:t>
            </w:r>
          </w:p>
        </w:tc>
        <w:tc>
          <w:tcPr>
            <w:tcW w:type="dxa" w:w="3061"/>
            <w:tcBorders>
              <w:top w:val="single" w:sz="4" w:color="B7C9D6"/>
              <w:left w:val="single" w:sz="4" w:color="B7C9D6"/>
              <w:bottom w:val="single" w:sz="4" w:color="B7C9D6"/>
              <w:right w:val="single" w:sz="4" w:color="B7C9D6"/>
            </w:tcBorders>
            <w:vAlign w:val="center"/>
          </w:tcPr>
          <w:p>
            <w:pPr>
              <w:jc w:val="center"/>
            </w:pPr>
            <w:r>
              <w:rPr>
                <w:rFonts w:ascii="Times New Roman" w:hAnsi="Times New Roman" w:eastAsia="宋体"/>
                <w:sz w:val="17"/>
              </w:rPr>
              <w:t>共同为零，非 DRTP 独占优势</w:t>
            </w:r>
          </w:p>
        </w:tc>
      </w:tr>
      <w:tr>
        <w:tc>
          <w:tcPr>
            <w:tcW w:type="dxa" w:w="1984"/>
            <w:tcBorders>
              <w:top w:val="single" w:sz="4" w:color="B7C9D6"/>
              <w:left w:val="single" w:sz="4" w:color="B7C9D6"/>
              <w:bottom w:val="single" w:sz="4" w:color="B7C9D6"/>
              <w:right w:val="single" w:sz="4" w:color="B7C9D6"/>
            </w:tcBorders>
            <w:shd w:fill="EEF4F8"/>
            <w:vAlign w:val="center"/>
          </w:tcPr>
          <w:p>
            <w:pPr>
              <w:jc w:val="left"/>
            </w:pPr>
            <w:r>
              <w:rPr>
                <w:rFonts w:ascii="Times New Roman" w:hAnsi="Times New Roman" w:eastAsia="宋体"/>
                <w:sz w:val="17"/>
              </w:rPr>
              <w:t>故障触发暴露</w:t>
            </w:r>
          </w:p>
        </w:tc>
        <w:tc>
          <w:tcPr>
            <w:tcW w:type="dxa" w:w="1247"/>
            <w:tcBorders>
              <w:top w:val="single" w:sz="4" w:color="B7C9D6"/>
              <w:left w:val="single" w:sz="4" w:color="B7C9D6"/>
              <w:bottom w:val="single" w:sz="4" w:color="B7C9D6"/>
              <w:right w:val="single" w:sz="4" w:color="B7C9D6"/>
            </w:tcBorders>
            <w:shd w:fill="EEF4F8"/>
            <w:vAlign w:val="center"/>
          </w:tcPr>
          <w:p>
            <w:pPr>
              <w:jc w:val="center"/>
            </w:pPr>
            <w:r>
              <w:rPr>
                <w:rFonts w:ascii="Times New Roman" w:hAnsi="Times New Roman" w:eastAsia="宋体"/>
                <w:sz w:val="17"/>
              </w:rPr>
              <w:t>0.9986</w:t>
            </w:r>
          </w:p>
        </w:tc>
        <w:tc>
          <w:tcPr>
            <w:tcW w:type="dxa" w:w="1247"/>
            <w:tcBorders>
              <w:top w:val="single" w:sz="4" w:color="B7C9D6"/>
              <w:left w:val="single" w:sz="4" w:color="B7C9D6"/>
              <w:bottom w:val="single" w:sz="4" w:color="B7C9D6"/>
              <w:right w:val="single" w:sz="4" w:color="B7C9D6"/>
            </w:tcBorders>
            <w:shd w:fill="EEF4F8"/>
            <w:vAlign w:val="center"/>
          </w:tcPr>
          <w:p>
            <w:pPr>
              <w:jc w:val="center"/>
            </w:pPr>
            <w:r>
              <w:rPr>
                <w:rFonts w:ascii="Times New Roman" w:hAnsi="Times New Roman" w:eastAsia="宋体"/>
                <w:sz w:val="17"/>
              </w:rPr>
              <w:t>0.9935</w:t>
            </w:r>
          </w:p>
        </w:tc>
        <w:tc>
          <w:tcPr>
            <w:tcW w:type="dxa" w:w="3061"/>
            <w:tcBorders>
              <w:top w:val="single" w:sz="4" w:color="B7C9D6"/>
              <w:left w:val="single" w:sz="4" w:color="B7C9D6"/>
              <w:bottom w:val="single" w:sz="4" w:color="B7C9D6"/>
              <w:right w:val="single" w:sz="4" w:color="B7C9D6"/>
            </w:tcBorders>
            <w:shd w:fill="EEF4F8"/>
            <w:vAlign w:val="center"/>
          </w:tcPr>
          <w:p>
            <w:pPr>
              <w:jc w:val="center"/>
            </w:pPr>
            <w:r>
              <w:rPr>
                <w:rFonts w:ascii="Times New Roman" w:hAnsi="Times New Roman" w:eastAsia="宋体"/>
                <w:sz w:val="17"/>
              </w:rPr>
              <w:t>两臂均实际经历故障</w:t>
            </w:r>
          </w:p>
        </w:tc>
      </w:tr>
    </w:tbl>
    <w:p>
      <w:pPr>
        <w:spacing w:after="40"/>
      </w:pPr>
    </w:p>
    <w:p>
      <w:pPr>
        <w:spacing w:after="160"/>
        <w:jc w:val="center"/>
      </w:pPr>
      <w:r>
        <w:rPr>
          <w:rFonts w:ascii="Times New Roman" w:hAnsi="Times New Roman" w:eastAsia="宋体"/>
          <w:sz w:val="19"/>
        </w:rPr>
        <w:t>表 4 正式队列的可靠性与故障触发指标</w:t>
      </w:r>
    </w:p>
    <w:p>
      <w:pPr>
        <w:spacing w:before="180" w:after="120"/>
      </w:pPr>
      <w:r>
        <w:rPr>
          <w:rFonts w:ascii="Times New Roman" w:hAnsi="Times New Roman" w:eastAsia="宋体"/>
          <w:b/>
          <w:color w:val="000000"/>
          <w:sz w:val="23"/>
        </w:rPr>
        <w:t>5.3 RQ3：采样遥测验证干预发生，但不替代机制识别</w:t>
      </w:r>
    </w:p>
    <w:p>
      <w:pPr>
        <w:spacing w:line="348" w:lineRule="auto" w:after="100"/>
        <w:ind w:firstLine="420"/>
        <w:jc w:val="both"/>
      </w:pPr>
      <w:r>
        <w:rPr>
          <w:rFonts w:ascii="Times New Roman" w:hAnsi="Times New Roman" w:eastAsia="宋体"/>
          <w:sz w:val="21"/>
        </w:rPr>
        <w:t>DRTP 训练日志记录了故障组概率、组级回报 EMA、难度代理、选择计数以及边界投影状态。与保持均匀分配的 UTR 相比，这些日志确认采样器在训练中确实产生了非均匀的故障暴露。该证据支持“DRTP 被实际执行”的解释，也与训练暴露分配是唯一主要差异的设计相一致。不过，遥测本身不能证明某个 q 变化恢复了特定信息路径、降低了某类梯度冲突，或产生了超出本实验合同的泛化机制。</w:t>
      </w:r>
    </w:p>
    <w:p>
      <w:r>
        <w:drawing>
          <wp:inline xmlns:a="http://schemas.openxmlformats.org/drawingml/2006/main" xmlns:pic="http://schemas.openxmlformats.org/drawingml/2006/picture">
            <wp:extent cx="5508000" cy="2660100"/>
            <wp:docPr id="5" name="Picture 5"/>
            <wp:cNvGraphicFramePr>
              <a:graphicFrameLocks noChangeAspect="1"/>
            </wp:cNvGraphicFramePr>
            <a:graphic>
              <a:graphicData uri="http://schemas.openxmlformats.org/drawingml/2006/picture">
                <pic:pic>
                  <pic:nvPicPr>
                    <pic:cNvPr id="0" name="fig5_mechanism_schematic.png"/>
                    <pic:cNvPicPr/>
                  </pic:nvPicPr>
                  <pic:blipFill>
                    <a:blip r:embed="rId13"/>
                    <a:stretch>
                      <a:fillRect/>
                    </a:stretch>
                  </pic:blipFill>
                  <pic:spPr>
                    <a:xfrm>
                      <a:off x="0" y="0"/>
                      <a:ext cx="5508000" cy="2660100"/>
                    </a:xfrm>
                    <a:prstGeom prst="rect"/>
                  </pic:spPr>
                </pic:pic>
              </a:graphicData>
            </a:graphic>
          </wp:inline>
        </w:drawing>
      </w:r>
    </w:p>
    <w:p>
      <w:pPr>
        <w:spacing w:after="160"/>
        <w:jc w:val="center"/>
      </w:pPr>
      <w:r>
        <w:rPr>
          <w:rFonts w:ascii="Times New Roman" w:hAnsi="Times New Roman" w:eastAsia="宋体"/>
          <w:sz w:val="19"/>
        </w:rPr>
        <w:t>图 5 UTR 与 DRTP 的训练暴露机制示意。该图为方法结构图，不报告单一训练种子的实测最终概率。</w:t>
      </w:r>
    </w:p>
    <w:p>
      <w:pPr>
        <w:spacing w:before="180" w:after="120"/>
      </w:pPr>
      <w:r>
        <w:rPr>
          <w:rFonts w:ascii="Times New Roman" w:hAnsi="Times New Roman" w:eastAsia="宋体"/>
          <w:b/>
          <w:color w:val="000000"/>
          <w:sz w:val="23"/>
        </w:rPr>
        <w:t>5.4 RQ4：跨队列材料限定主结论的适用范围</w:t>
      </w:r>
    </w:p>
    <w:p>
      <w:pPr>
        <w:spacing w:line="348" w:lineRule="auto" w:after="100"/>
        <w:ind w:firstLine="420"/>
        <w:jc w:val="both"/>
      </w:pPr>
      <w:r>
        <w:rPr>
          <w:rFonts w:ascii="Times New Roman" w:hAnsi="Times New Roman" w:eastAsia="宋体"/>
          <w:sz w:val="21"/>
        </w:rPr>
        <w:t>零训练交叉评价诊断显示，正式 cohort 在两个冻结评价带上，F0、非名义平均和非名义最差端点的配对方向均保持正向。相反，独立训练 cohort 在相同类型端点上表现为非正向方向。该结果表明：在同一正式训练 cohort 内，主要方向不依赖于单一评价带；但训练队列间的方向并不可以被假定为同质。基于这一事实，本文将正式五种子受控比较作为主要结果，而不将后续独立 cohort 合并为更大的确认性样本。PLR-style 外部比较可说明通用优先级机制在部分队列也具有竞争性，但其结构和信号与 UTR–DRTP 主要因果对照不同，不能据此替换核心比较。</w:t>
      </w:r>
    </w:p>
    <w:p>
      <w:pPr>
        <w:spacing w:before="280" w:after="120"/>
      </w:pPr>
      <w:r>
        <w:rPr>
          <w:rFonts w:ascii="Times New Roman" w:hAnsi="Times New Roman" w:eastAsia="黑体"/>
          <w:b/>
          <w:color w:val="1A4C72"/>
          <w:sz w:val="28"/>
        </w:rPr>
        <w:t>6 讨论</w:t>
      </w:r>
    </w:p>
    <w:p>
      <w:pPr>
        <w:spacing w:before="180" w:after="120"/>
      </w:pPr>
      <w:r>
        <w:rPr>
          <w:rFonts w:ascii="Times New Roman" w:hAnsi="Times New Roman" w:eastAsia="宋体"/>
          <w:b/>
          <w:color w:val="000000"/>
          <w:sz w:val="23"/>
        </w:rPr>
        <w:t>6.1 为什么训练暴露分配可能影响拓扑退化下的协同</w:t>
      </w:r>
    </w:p>
    <w:p>
      <w:pPr>
        <w:spacing w:line="348" w:lineRule="auto" w:after="100"/>
        <w:ind w:firstLine="420"/>
        <w:jc w:val="both"/>
      </w:pPr>
      <w:r>
        <w:rPr>
          <w:rFonts w:ascii="Times New Roman" w:hAnsi="Times New Roman" w:eastAsia="宋体"/>
          <w:sz w:val="21"/>
        </w:rPr>
        <w:t>继电故障使协作任务面对的并非统一强度的扰动，而是一组在时序、持续时间和信息支撑路径上不同的条件。均匀暴露提供了覆盖，但并未对当前训练中持续落后的条件投入额外学习机会。DRTP 将组级名义相对回报差异转化为受限的训练资源分配，从而使策略在训练期间反复接触相对困难的故障组；概率边界同时保留其他组的覆盖。正式队列中故障平均与最差端点的共同提升，与这种“覆盖加重点”的训练塑形解释一致。</w:t>
      </w:r>
    </w:p>
    <w:p>
      <w:pPr>
        <w:spacing w:before="180" w:after="120"/>
      </w:pPr>
      <w:r>
        <w:rPr>
          <w:rFonts w:ascii="Times New Roman" w:hAnsi="Times New Roman" w:eastAsia="宋体"/>
          <w:b/>
          <w:color w:val="000000"/>
          <w:sz w:val="23"/>
        </w:rPr>
        <w:t>6.2 与通用优先级和课程组织的关系</w:t>
      </w:r>
    </w:p>
    <w:p>
      <w:pPr>
        <w:spacing w:line="348" w:lineRule="auto" w:after="100"/>
        <w:ind w:firstLine="420"/>
        <w:jc w:val="both"/>
      </w:pPr>
      <w:r>
        <w:rPr>
          <w:rFonts w:ascii="Times New Roman" w:hAnsi="Times New Roman" w:eastAsia="宋体"/>
          <w:sz w:val="21"/>
        </w:rPr>
        <w:t>DRTP 的价值不应被表述为通用优先级方法的普遍替代。通用优先级采样可能同样改变学习轨迹；课程学习也可通过不同任务组织改善训练稳定性。DRTP 的具体贡献在于将采样单元限制为冻结的、具有故障时序和信息路径语义的条件组，并把名义相对表现作为组级重加权信号。在本文证据范围内，这一设计提供了一个可审计且不修改执行期策略接口的拓扑退化训练方案。更强的“拓扑语义本身不可替代”主张需要 Fixed-DRTP 或 Random-DRTP 语义消融的独立结果支持。</w:t>
      </w:r>
    </w:p>
    <w:p>
      <w:pPr>
        <w:spacing w:before="180" w:after="120"/>
      </w:pPr>
      <w:r>
        <w:rPr>
          <w:rFonts w:ascii="Times New Roman" w:hAnsi="Times New Roman" w:eastAsia="宋体"/>
          <w:b/>
          <w:color w:val="000000"/>
          <w:sz w:val="23"/>
        </w:rPr>
        <w:t>6.3 适用范围与局限</w:t>
      </w:r>
    </w:p>
    <w:p>
      <w:pPr>
        <w:spacing w:line="348" w:lineRule="auto" w:after="100"/>
        <w:ind w:firstLine="420"/>
        <w:jc w:val="both"/>
      </w:pPr>
      <w:r>
        <w:rPr>
          <w:rFonts w:ascii="Times New Roman" w:hAnsi="Times New Roman" w:eastAsia="宋体"/>
          <w:sz w:val="21"/>
        </w:rPr>
        <w:t>本文使用轻量三自由度仿真环境，未开展实飞验证，也未将训练支持内的故障条件写成严格 OOD。正式证据来自一个五种子受控 cohort；独立 cohort 的反向结果表明跨训练随机性的稳定性仍是需要被明确报告的边界。任务回报与超时表现改善不意味着所有安全指标同步改善，碰撞率的变化已在表 4 中单独呈现。此外，当前仓库中的早期 6-UAV 结果存在故障注入时序无效的问题，不能进入本文证据链；修复后的 6-UAV 协议、运行开销与语义消融在获得可核验结果前均不作为结论依据。</w:t>
      </w:r>
    </w:p>
    <w:p>
      <w:pPr>
        <w:spacing w:before="280" w:after="120"/>
      </w:pPr>
      <w:r>
        <w:rPr>
          <w:rFonts w:ascii="Times New Roman" w:hAnsi="Times New Roman" w:eastAsia="黑体"/>
          <w:b/>
          <w:color w:val="1A4C72"/>
          <w:sz w:val="28"/>
        </w:rPr>
        <w:t>7 结论</w:t>
      </w:r>
    </w:p>
    <w:p>
      <w:pPr>
        <w:spacing w:line="348" w:lineRule="auto" w:after="100"/>
        <w:ind w:firstLine="420"/>
        <w:jc w:val="both"/>
      </w:pPr>
      <w:r>
        <w:rPr>
          <w:rFonts w:ascii="Times New Roman" w:hAnsi="Times New Roman" w:eastAsia="宋体"/>
          <w:sz w:val="21"/>
        </w:rPr>
        <w:t>本文从通信拓扑退化改变协同信息结构这一问题出发，研究了训练阶段故障条件暴露的可控分配。在三 UAV 继电依赖协作环境中，DRTP 保持执行期信息边界、策略骨干、PPO 目标和训练预算不变，仅以有界自适应机制重分配冻结故障组的 reset 质量。正式五种子固定终点评价表明，DRTP 在 F0、非名义平均和非名义最差回报上均呈现一致的配对正向方向，并伴随较低的平均超时率。该结果支持在所评估合同内采用拓扑语义驱动的训练暴露塑形；其跨队列稳定性、安全收益、跨规模迁移和语义独立作用仍应通过后续冻结实验进一步检验。</w:t>
      </w:r>
    </w:p>
    <w:p>
      <w:pPr>
        <w:spacing w:before="280" w:after="120"/>
      </w:pPr>
      <w:r>
        <w:rPr>
          <w:rFonts w:ascii="Times New Roman" w:hAnsi="Times New Roman" w:eastAsia="黑体"/>
          <w:b/>
          <w:color w:val="1A4C72"/>
          <w:sz w:val="28"/>
        </w:rPr>
        <w:t>参考文献</w:t>
      </w:r>
    </w:p>
    <w:p>
      <w:pPr>
        <w:spacing w:line="288" w:lineRule="auto"/>
        <w:ind w:left="170" w:hanging="170"/>
      </w:pPr>
      <w:r>
        <w:rPr>
          <w:rFonts w:ascii="Times New Roman" w:hAnsi="Times New Roman" w:eastAsia="宋体"/>
          <w:sz w:val="18"/>
        </w:rPr>
        <w:t>[1] 有人—无人机协同作战：概念、技术与挑战. 航空学报, 2024.（卷期页码待核验）</w:t>
      </w:r>
    </w:p>
    <w:p>
      <w:pPr>
        <w:spacing w:line="288" w:lineRule="auto"/>
        <w:ind w:left="170" w:hanging="170"/>
      </w:pPr>
      <w:r>
        <w:rPr>
          <w:rFonts w:ascii="Times New Roman" w:hAnsi="Times New Roman" w:eastAsia="宋体"/>
          <w:sz w:val="18"/>
        </w:rPr>
        <w:t>[2] Within-visual-range air combat maneuver decision-making in obstructed environments via a curriculum self-play soft actor-critic with an attention mechanism. Defence Technology.（作者、卷期页码待核验）</w:t>
      </w:r>
    </w:p>
    <w:p>
      <w:pPr>
        <w:spacing w:line="288" w:lineRule="auto"/>
        <w:ind w:left="170" w:hanging="170"/>
      </w:pPr>
      <w:r>
        <w:rPr>
          <w:rFonts w:ascii="Times New Roman" w:hAnsi="Times New Roman" w:eastAsia="宋体"/>
          <w:sz w:val="18"/>
        </w:rPr>
        <w:t>[3] 无人集群博弈对抗系统仿真验证及决策关键技术综述. 系统仿真学报.（卷期页码待核验）</w:t>
      </w:r>
    </w:p>
    <w:p>
      <w:pPr>
        <w:spacing w:line="288" w:lineRule="auto"/>
        <w:ind w:left="170" w:hanging="170"/>
      </w:pPr>
      <w:r>
        <w:rPr>
          <w:rFonts w:ascii="Times New Roman" w:hAnsi="Times New Roman" w:eastAsia="宋体"/>
          <w:sz w:val="18"/>
        </w:rPr>
        <w:t>[4] 熊威. 面向有人—无人机协同打击的智能决策方法研究. 系统工程与电子技术.（卷期页码待核验）</w:t>
      </w:r>
    </w:p>
    <w:p>
      <w:pPr>
        <w:spacing w:line="288" w:lineRule="auto"/>
        <w:ind w:left="170" w:hanging="170"/>
      </w:pPr>
      <w:r>
        <w:rPr>
          <w:rFonts w:ascii="Times New Roman" w:hAnsi="Times New Roman" w:eastAsia="宋体"/>
          <w:sz w:val="18"/>
        </w:rPr>
        <w:t>[5] A Hierarchical Deep Reinforcement Learning Framework for 6DOF Air Combat. IEEE Transactions on Systems, Man, and Cybernetics: Systems, 2023.</w:t>
      </w:r>
    </w:p>
    <w:p>
      <w:pPr>
        <w:spacing w:line="288" w:lineRule="auto"/>
        <w:ind w:left="170" w:hanging="170"/>
      </w:pPr>
      <w:r>
        <w:rPr>
          <w:rFonts w:ascii="Times New Roman" w:hAnsi="Times New Roman" w:eastAsia="宋体"/>
          <w:sz w:val="18"/>
        </w:rPr>
        <w:t>[6] Decision-making and confrontation in close-range air combat based on reinforcement learning. Chinese Journal of Aeronautics, 2025. DOI: 10.1016/j.cja.2025.103526.</w:t>
      </w:r>
    </w:p>
    <w:p>
      <w:pPr>
        <w:spacing w:line="288" w:lineRule="auto"/>
        <w:ind w:left="170" w:hanging="170"/>
      </w:pPr>
      <w:r>
        <w:rPr>
          <w:rFonts w:ascii="Times New Roman" w:hAnsi="Times New Roman" w:eastAsia="宋体"/>
          <w:sz w:val="18"/>
        </w:rPr>
        <w:t>[7] TODO（需补证）：DRTP 与 UTR 正式实验合同、评价带清单和结果归档的可公开引用形式。</w:t>
      </w:r>
    </w:p>
    <w:sectPr w:rsidR="00FC693F" w:rsidRPr="0006063C" w:rsidSect="00034616">
      <w:footerReference w:type="default" r:id="rId14"/>
      <w:pgSz w:w="12240" w:h="15840"/>
      <w:pgMar w:top="1247" w:right="1332" w:bottom="1191" w:left="133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宋体"/>
        <w:color w:val="646464"/>
        <w:sz w:val="16"/>
      </w:rPr>
      <w:t xml:space="preserve">DRTP 中文投稿初稿 V2  |  </w:t>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