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95" w:rsidRPr="00EF1760" w:rsidRDefault="00F80B95" w:rsidP="00F80B95">
      <w:pPr>
        <w:rPr>
          <w:b/>
        </w:rPr>
      </w:pPr>
      <w:r w:rsidRPr="00F80B95">
        <w:rPr>
          <w:rFonts w:hint="eastAsia"/>
          <w:b/>
          <w:color w:val="FF0000"/>
        </w:rPr>
        <w:t>环境空气</w:t>
      </w:r>
      <w:r>
        <w:rPr>
          <w:rFonts w:hint="eastAsia"/>
        </w:rPr>
        <w:t>（</w:t>
      </w:r>
      <w:r w:rsidRPr="00EF1760">
        <w:rPr>
          <w:rFonts w:hint="eastAsia"/>
          <w:b/>
        </w:rPr>
        <w:t>a</w:t>
      </w:r>
      <w:r w:rsidRPr="00EF1760">
        <w:rPr>
          <w:b/>
        </w:rPr>
        <w:t>mbient air</w:t>
      </w:r>
      <w:r>
        <w:t>）</w:t>
      </w:r>
      <w:r w:rsidRPr="00EF1760">
        <w:rPr>
          <w:rFonts w:hint="eastAsia"/>
          <w:b/>
        </w:rPr>
        <w:t>:</w:t>
      </w:r>
      <w:r w:rsidRPr="00EF1760">
        <w:rPr>
          <w:rFonts w:hint="eastAsia"/>
          <w:b/>
        </w:rPr>
        <w:t>指人群、</w:t>
      </w:r>
      <w:r w:rsidRPr="00EF1760">
        <w:rPr>
          <w:b/>
        </w:rPr>
        <w:t>植物</w:t>
      </w:r>
      <w:r w:rsidRPr="00EF1760">
        <w:rPr>
          <w:rFonts w:hint="eastAsia"/>
          <w:b/>
        </w:rPr>
        <w:t>、</w:t>
      </w:r>
      <w:r w:rsidRPr="00EF1760">
        <w:rPr>
          <w:b/>
        </w:rPr>
        <w:t>动物</w:t>
      </w:r>
      <w:r w:rsidRPr="00EF1760">
        <w:rPr>
          <w:rFonts w:hint="eastAsia"/>
          <w:b/>
        </w:rPr>
        <w:t>和建筑物所暴露的室外空气。</w:t>
      </w:r>
      <w:r w:rsidR="004C6A5C">
        <w:rPr>
          <w:rFonts w:hint="eastAsia"/>
          <w:b/>
        </w:rPr>
        <w:t xml:space="preserve"> </w:t>
      </w:r>
    </w:p>
    <w:p w:rsidR="00F80B95" w:rsidRPr="00EF1760" w:rsidRDefault="00F80B95" w:rsidP="00F80B95">
      <w:pPr>
        <w:rPr>
          <w:b/>
        </w:rPr>
      </w:pPr>
      <w:r w:rsidRPr="00F80B95">
        <w:rPr>
          <w:rFonts w:hint="eastAsia"/>
          <w:b/>
          <w:color w:val="FF0000"/>
        </w:rPr>
        <w:t>污染物项目</w:t>
      </w:r>
      <w:r>
        <w:rPr>
          <w:rFonts w:hint="eastAsia"/>
          <w:b/>
          <w:color w:val="FF0000"/>
        </w:rPr>
        <w:t>：</w:t>
      </w:r>
      <w:r w:rsidRPr="00EF1760">
        <w:rPr>
          <w:rFonts w:hint="eastAsia"/>
          <w:b/>
        </w:rPr>
        <w:t>二氧化硫</w:t>
      </w:r>
      <w:r w:rsidR="00EF1760" w:rsidRPr="00EF1760">
        <w:rPr>
          <w:rFonts w:hint="eastAsia"/>
          <w:b/>
        </w:rPr>
        <w:t>（</w:t>
      </w:r>
      <w:r w:rsidR="00EF1760" w:rsidRPr="00EF1760">
        <w:rPr>
          <w:rFonts w:hint="eastAsia"/>
          <w:b/>
        </w:rPr>
        <w:t>SO</w:t>
      </w:r>
      <w:r w:rsidR="00EF1760" w:rsidRPr="00EF1760">
        <w:rPr>
          <w:rFonts w:hint="eastAsia"/>
          <w:b/>
          <w:sz w:val="15"/>
          <w:szCs w:val="15"/>
        </w:rPr>
        <w:t>2</w:t>
      </w:r>
      <w:r w:rsidR="00EF1760" w:rsidRPr="00EF1760">
        <w:rPr>
          <w:rFonts w:hint="eastAsia"/>
          <w:b/>
        </w:rPr>
        <w:t>）</w:t>
      </w:r>
      <w:r w:rsidR="00EF1760" w:rsidRPr="00EF1760">
        <w:rPr>
          <w:b/>
        </w:rPr>
        <w:t>、二氧化氮</w:t>
      </w:r>
      <w:r w:rsidR="00EF1760" w:rsidRPr="00EF1760">
        <w:rPr>
          <w:rFonts w:hint="eastAsia"/>
          <w:b/>
        </w:rPr>
        <w:t>（</w:t>
      </w:r>
      <w:r w:rsidR="00EF1760" w:rsidRPr="00EF1760">
        <w:rPr>
          <w:rFonts w:hint="eastAsia"/>
          <w:b/>
        </w:rPr>
        <w:t>NO</w:t>
      </w:r>
      <w:r w:rsidR="00EF1760" w:rsidRPr="00EF1760">
        <w:rPr>
          <w:rFonts w:hint="eastAsia"/>
          <w:b/>
          <w:sz w:val="15"/>
          <w:szCs w:val="15"/>
        </w:rPr>
        <w:t>2</w:t>
      </w:r>
      <w:r w:rsidR="00EF1760" w:rsidRPr="00EF1760">
        <w:rPr>
          <w:b/>
        </w:rPr>
        <w:t>）</w:t>
      </w:r>
      <w:r w:rsidR="00EF1760" w:rsidRPr="00EF1760">
        <w:rPr>
          <w:rFonts w:hint="eastAsia"/>
          <w:b/>
        </w:rPr>
        <w:t>、</w:t>
      </w:r>
      <w:r w:rsidR="00EF1760" w:rsidRPr="00EF1760">
        <w:rPr>
          <w:b/>
        </w:rPr>
        <w:t>一氧化碳</w:t>
      </w:r>
      <w:r w:rsidR="00EF1760" w:rsidRPr="00EF1760">
        <w:rPr>
          <w:rFonts w:hint="eastAsia"/>
          <w:b/>
        </w:rPr>
        <w:t>（</w:t>
      </w:r>
      <w:r w:rsidR="00EF1760" w:rsidRPr="00EF1760">
        <w:rPr>
          <w:rFonts w:hint="eastAsia"/>
          <w:b/>
        </w:rPr>
        <w:t>CO</w:t>
      </w:r>
      <w:r w:rsidR="00EF1760" w:rsidRPr="00EF1760">
        <w:rPr>
          <w:rFonts w:hint="eastAsia"/>
          <w:b/>
        </w:rPr>
        <w:t>）、</w:t>
      </w:r>
      <w:r w:rsidR="00EF1760" w:rsidRPr="00EF1760">
        <w:rPr>
          <w:b/>
        </w:rPr>
        <w:t>臭氧</w:t>
      </w:r>
      <w:r w:rsidR="00EF1760" w:rsidRPr="00EF1760">
        <w:rPr>
          <w:rFonts w:hint="eastAsia"/>
          <w:b/>
        </w:rPr>
        <w:t>（</w:t>
      </w:r>
      <w:r w:rsidR="00EF1760" w:rsidRPr="00EF1760">
        <w:rPr>
          <w:rFonts w:hint="eastAsia"/>
          <w:b/>
        </w:rPr>
        <w:t>O</w:t>
      </w:r>
      <w:r w:rsidR="00EF1760" w:rsidRPr="00EF1760">
        <w:rPr>
          <w:rFonts w:hint="eastAsia"/>
          <w:b/>
          <w:sz w:val="13"/>
          <w:szCs w:val="13"/>
        </w:rPr>
        <w:t>3</w:t>
      </w:r>
      <w:r w:rsidR="00EF1760" w:rsidRPr="00EF1760">
        <w:rPr>
          <w:b/>
        </w:rPr>
        <w:t>）</w:t>
      </w:r>
      <w:r w:rsidR="00EF1760" w:rsidRPr="00EF1760">
        <w:rPr>
          <w:rFonts w:hint="eastAsia"/>
          <w:b/>
        </w:rPr>
        <w:t>、</w:t>
      </w:r>
      <w:r w:rsidR="00EF1760" w:rsidRPr="00EF1760">
        <w:rPr>
          <w:b/>
        </w:rPr>
        <w:t>颗粒物</w:t>
      </w:r>
      <w:r w:rsidR="00EF1760" w:rsidRPr="00EF1760">
        <w:rPr>
          <w:rFonts w:hint="eastAsia"/>
          <w:b/>
        </w:rPr>
        <w:t>（</w:t>
      </w:r>
      <w:r w:rsidR="00EF1760" w:rsidRPr="00EF1760">
        <w:rPr>
          <w:b/>
        </w:rPr>
        <w:t>粒径</w:t>
      </w:r>
      <w:r w:rsidR="00EF1760" w:rsidRPr="00EF1760">
        <w:rPr>
          <w:rFonts w:hint="eastAsia"/>
          <w:b/>
        </w:rPr>
        <w:t>小于等于</w:t>
      </w:r>
      <w:r w:rsidR="00EF1760" w:rsidRPr="00EF1760">
        <w:rPr>
          <w:rFonts w:hint="eastAsia"/>
          <w:b/>
        </w:rPr>
        <w:t>10</w:t>
      </w:r>
      <w:r w:rsidR="00EF1760" w:rsidRPr="00EF1760">
        <w:rPr>
          <w:b/>
        </w:rPr>
        <w:t>um</w:t>
      </w:r>
      <w:r w:rsidR="00EF1760" w:rsidRPr="00EF1760">
        <w:rPr>
          <w:rFonts w:hint="eastAsia"/>
          <w:b/>
        </w:rPr>
        <w:t>）、</w:t>
      </w:r>
      <w:r w:rsidR="00EF1760" w:rsidRPr="00EF1760">
        <w:rPr>
          <w:b/>
        </w:rPr>
        <w:t>颗粒物</w:t>
      </w:r>
      <w:r w:rsidR="00EF1760" w:rsidRPr="00EF1760">
        <w:rPr>
          <w:rFonts w:hint="eastAsia"/>
          <w:b/>
        </w:rPr>
        <w:t>（粒径小于等于</w:t>
      </w:r>
      <w:r w:rsidR="00EF1760" w:rsidRPr="00EF1760">
        <w:rPr>
          <w:rFonts w:hint="eastAsia"/>
          <w:b/>
        </w:rPr>
        <w:t>2.5um</w:t>
      </w:r>
      <w:r w:rsidR="00EF1760" w:rsidRPr="00EF1760">
        <w:rPr>
          <w:b/>
        </w:rPr>
        <w:t>）</w:t>
      </w:r>
      <w:r w:rsidR="00EF1760" w:rsidRPr="00EF1760">
        <w:rPr>
          <w:rFonts w:hint="eastAsia"/>
          <w:b/>
        </w:rPr>
        <w:t>。</w:t>
      </w:r>
    </w:p>
    <w:p w:rsidR="00EF1760" w:rsidRDefault="00EF1760" w:rsidP="00F80B95">
      <w:pPr>
        <w:rPr>
          <w:b/>
        </w:rPr>
      </w:pPr>
      <w:r w:rsidRPr="00EF1760">
        <w:rPr>
          <w:rFonts w:hint="eastAsia"/>
          <w:b/>
          <w:color w:val="FF0000"/>
        </w:rPr>
        <w:t>环境空气功能区分类</w:t>
      </w:r>
      <w:r>
        <w:rPr>
          <w:rFonts w:hint="eastAsia"/>
          <w:b/>
        </w:rPr>
        <w:t>：</w:t>
      </w:r>
      <w:r w:rsidRPr="00EF1760">
        <w:rPr>
          <w:rFonts w:hint="eastAsia"/>
          <w:b/>
        </w:rPr>
        <w:t>一类区为自然保护区、风景名胜区和其他需要特殊保护的区域</w:t>
      </w:r>
      <w:r w:rsidRPr="00FB19BB">
        <w:rPr>
          <w:rFonts w:hint="eastAsia"/>
          <w:b/>
          <w:color w:val="1F497D" w:themeColor="text2"/>
        </w:rPr>
        <w:t>（适用</w:t>
      </w:r>
      <w:r w:rsidR="00FB19BB">
        <w:rPr>
          <w:rFonts w:hint="eastAsia"/>
          <w:b/>
          <w:color w:val="1F497D" w:themeColor="text2"/>
        </w:rPr>
        <w:t>一级</w:t>
      </w:r>
      <w:r w:rsidRPr="00FB19BB">
        <w:rPr>
          <w:rFonts w:hint="eastAsia"/>
          <w:b/>
          <w:color w:val="1F497D" w:themeColor="text2"/>
        </w:rPr>
        <w:t>浓度限值</w:t>
      </w:r>
      <w:r w:rsidR="00FB19BB" w:rsidRPr="00FB19BB">
        <w:rPr>
          <w:rFonts w:hint="eastAsia"/>
          <w:b/>
          <w:color w:val="1F497D" w:themeColor="text2"/>
        </w:rPr>
        <w:t>）</w:t>
      </w:r>
      <w:r w:rsidRPr="00EF1760">
        <w:rPr>
          <w:rFonts w:hint="eastAsia"/>
          <w:b/>
        </w:rPr>
        <w:t>；二类区为居住区、商业交通居民混合区、文化区、工业区和农村地区</w:t>
      </w:r>
      <w:r w:rsidR="00FB19BB" w:rsidRPr="00FB19BB">
        <w:rPr>
          <w:rFonts w:hint="eastAsia"/>
          <w:b/>
          <w:color w:val="1F497D" w:themeColor="text2"/>
        </w:rPr>
        <w:t>（适用二级浓度限值</w:t>
      </w:r>
      <w:r w:rsidR="00FB19BB" w:rsidRPr="00FB19BB">
        <w:rPr>
          <w:b/>
          <w:color w:val="1F497D" w:themeColor="text2"/>
        </w:rPr>
        <w:t>）</w:t>
      </w:r>
      <w:r>
        <w:rPr>
          <w:rFonts w:hint="eastAsia"/>
          <w:b/>
        </w:rPr>
        <w:t>。</w:t>
      </w:r>
    </w:p>
    <w:p w:rsidR="004C6A5C" w:rsidRPr="004C6A5C" w:rsidRDefault="004C6A5C" w:rsidP="004C6A5C">
      <w:pPr>
        <w:rPr>
          <w:b/>
        </w:rPr>
      </w:pPr>
      <w:r w:rsidRPr="004C6A5C">
        <w:rPr>
          <w:b/>
        </w:rPr>
        <w:t>表</w:t>
      </w:r>
      <w:r w:rsidRPr="004C6A5C">
        <w:rPr>
          <w:b/>
        </w:rPr>
        <w:t xml:space="preserve"> 1  </w:t>
      </w:r>
      <w:r w:rsidRPr="004C6A5C">
        <w:rPr>
          <w:b/>
        </w:rPr>
        <w:t>环境空气污染物基本项目浓度限值</w:t>
      </w:r>
      <w:r w:rsidRPr="004C6A5C">
        <w:rPr>
          <w:b/>
        </w:rPr>
        <w:t xml:space="preserve"> </w:t>
      </w:r>
    </w:p>
    <w:tbl>
      <w:tblPr>
        <w:tblW w:w="10490" w:type="dxa"/>
        <w:tblInd w:w="-577" w:type="dxa"/>
        <w:tblCellMar>
          <w:top w:w="60" w:type="dxa"/>
          <w:left w:w="145" w:type="dxa"/>
          <w:right w:w="103" w:type="dxa"/>
        </w:tblCellMar>
        <w:tblLook w:val="04A0" w:firstRow="1" w:lastRow="0" w:firstColumn="1" w:lastColumn="0" w:noHBand="0" w:noVBand="1"/>
      </w:tblPr>
      <w:tblGrid>
        <w:gridCol w:w="995"/>
        <w:gridCol w:w="2944"/>
        <w:gridCol w:w="1811"/>
        <w:gridCol w:w="1247"/>
        <w:gridCol w:w="1248"/>
        <w:gridCol w:w="2245"/>
      </w:tblGrid>
      <w:tr w:rsidR="004C6A5C" w:rsidRPr="004C6A5C" w:rsidTr="009B181F">
        <w:trPr>
          <w:trHeight w:val="284"/>
        </w:trPr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序号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294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污染物项目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平均时间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24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浓度限值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224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单位</w:t>
            </w:r>
            <w:r w:rsidRPr="004C6A5C">
              <w:rPr>
                <w:b/>
              </w:rPr>
              <w:t xml:space="preserve"> </w:t>
            </w:r>
          </w:p>
        </w:tc>
      </w:tr>
      <w:tr w:rsidR="004C6A5C" w:rsidRPr="004C6A5C" w:rsidTr="009B181F">
        <w:trPr>
          <w:trHeight w:val="281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一级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二级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二氧化硫（</w:t>
            </w:r>
            <w:r w:rsidRPr="004C6A5C">
              <w:rPr>
                <w:b/>
              </w:rPr>
              <w:t>SO</w:t>
            </w:r>
            <w:r w:rsidRPr="004C6A5C">
              <w:rPr>
                <w:b/>
                <w:vertAlign w:val="subscript"/>
              </w:rPr>
              <w:t>2</w:t>
            </w:r>
            <w:r w:rsidRPr="004C6A5C">
              <w:rPr>
                <w:b/>
              </w:rPr>
              <w:t>）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年平均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60 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proofErr w:type="spellStart"/>
            <w:r w:rsidRPr="004C6A5C">
              <w:rPr>
                <w:b/>
              </w:rPr>
              <w:t>μg</w:t>
            </w:r>
            <w:proofErr w:type="spellEnd"/>
            <w:r w:rsidRPr="004C6A5C">
              <w:rPr>
                <w:b/>
              </w:rPr>
              <w:t>/m</w:t>
            </w:r>
            <w:r w:rsidRPr="004C6A5C">
              <w:rPr>
                <w:b/>
                <w:vertAlign w:val="superscript"/>
              </w:rPr>
              <w:t>3</w:t>
            </w:r>
            <w:r w:rsidRPr="004C6A5C">
              <w:rPr>
                <w:b/>
              </w:rPr>
              <w:t xml:space="preserve"> </w:t>
            </w: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24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50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150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1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150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500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二氧化氮（</w:t>
            </w:r>
            <w:r w:rsidRPr="004C6A5C">
              <w:rPr>
                <w:b/>
              </w:rPr>
              <w:t>NO</w:t>
            </w:r>
            <w:r w:rsidRPr="004C6A5C">
              <w:rPr>
                <w:b/>
                <w:vertAlign w:val="subscript"/>
              </w:rPr>
              <w:t>2</w:t>
            </w:r>
            <w:r w:rsidRPr="004C6A5C">
              <w:rPr>
                <w:b/>
              </w:rPr>
              <w:t>）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年平均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40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40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24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80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80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1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200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200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3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一氧化碳（</w:t>
            </w:r>
            <w:r w:rsidRPr="004C6A5C">
              <w:rPr>
                <w:b/>
              </w:rPr>
              <w:t>CO</w:t>
            </w:r>
            <w:r w:rsidRPr="004C6A5C">
              <w:rPr>
                <w:b/>
              </w:rPr>
              <w:t>）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24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4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4 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mg/m</w:t>
            </w:r>
            <w:r w:rsidRPr="004C6A5C">
              <w:rPr>
                <w:b/>
                <w:vertAlign w:val="superscript"/>
              </w:rPr>
              <w:t>3</w:t>
            </w:r>
            <w:r w:rsidRPr="004C6A5C">
              <w:rPr>
                <w:b/>
              </w:rPr>
              <w:t xml:space="preserve"> </w:t>
            </w: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1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4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臭氧（</w:t>
            </w:r>
            <w:r w:rsidRPr="004C6A5C">
              <w:rPr>
                <w:b/>
              </w:rPr>
              <w:t>O</w:t>
            </w:r>
            <w:r w:rsidRPr="004C6A5C">
              <w:rPr>
                <w:b/>
                <w:vertAlign w:val="subscript"/>
              </w:rPr>
              <w:t>3</w:t>
            </w:r>
            <w:r w:rsidRPr="004C6A5C">
              <w:rPr>
                <w:b/>
              </w:rPr>
              <w:t>）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日</w:t>
            </w:r>
            <w:r w:rsidRPr="004C6A5C">
              <w:rPr>
                <w:b/>
              </w:rPr>
              <w:t xml:space="preserve"> </w:t>
            </w:r>
            <w:r w:rsidRPr="004C6A5C">
              <w:rPr>
                <w:b/>
              </w:rPr>
              <w:t>大</w:t>
            </w:r>
            <w:r w:rsidRPr="004C6A5C">
              <w:rPr>
                <w:b/>
              </w:rPr>
              <w:t xml:space="preserve"> 8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100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160 </w:t>
            </w:r>
          </w:p>
        </w:tc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proofErr w:type="spellStart"/>
            <w:r w:rsidRPr="004C6A5C">
              <w:rPr>
                <w:b/>
              </w:rPr>
              <w:t>μg</w:t>
            </w:r>
            <w:proofErr w:type="spellEnd"/>
            <w:r w:rsidRPr="004C6A5C">
              <w:rPr>
                <w:b/>
              </w:rPr>
              <w:t>/m</w:t>
            </w:r>
            <w:r w:rsidRPr="004C6A5C">
              <w:rPr>
                <w:b/>
                <w:vertAlign w:val="superscript"/>
              </w:rPr>
              <w:t>3</w:t>
            </w:r>
            <w:r w:rsidRPr="004C6A5C">
              <w:rPr>
                <w:b/>
              </w:rPr>
              <w:t xml:space="preserve"> </w:t>
            </w: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160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200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5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颗粒物（粒径小于等于</w:t>
            </w:r>
            <w:r w:rsidRPr="004C6A5C">
              <w:rPr>
                <w:b/>
              </w:rPr>
              <w:t xml:space="preserve"> 10 </w:t>
            </w:r>
            <w:proofErr w:type="spellStart"/>
            <w:r w:rsidRPr="004C6A5C">
              <w:rPr>
                <w:b/>
              </w:rPr>
              <w:t>μm</w:t>
            </w:r>
            <w:proofErr w:type="spellEnd"/>
            <w:r w:rsidRPr="004C6A5C">
              <w:rPr>
                <w:b/>
              </w:rPr>
              <w:t>）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年平均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40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70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1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24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50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150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0"/>
        </w:trPr>
        <w:tc>
          <w:tcPr>
            <w:tcW w:w="9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6 </w:t>
            </w:r>
          </w:p>
        </w:tc>
        <w:tc>
          <w:tcPr>
            <w:tcW w:w="2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颗粒物（粒径小于等于</w:t>
            </w:r>
            <w:r w:rsidRPr="004C6A5C">
              <w:rPr>
                <w:b/>
              </w:rPr>
              <w:t xml:space="preserve"> 2.5 </w:t>
            </w:r>
            <w:proofErr w:type="spellStart"/>
            <w:r w:rsidRPr="004C6A5C">
              <w:rPr>
                <w:b/>
              </w:rPr>
              <w:t>μm</w:t>
            </w:r>
            <w:proofErr w:type="spellEnd"/>
            <w:r w:rsidRPr="004C6A5C">
              <w:rPr>
                <w:b/>
              </w:rPr>
              <w:t>）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>年平均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15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35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  <w:tr w:rsidR="004C6A5C" w:rsidRPr="004C6A5C" w:rsidTr="009B181F">
        <w:trPr>
          <w:trHeight w:val="284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24 </w:t>
            </w:r>
            <w:r w:rsidRPr="004C6A5C">
              <w:rPr>
                <w:b/>
              </w:rPr>
              <w:t>小时平均</w:t>
            </w:r>
            <w:r w:rsidRPr="004C6A5C">
              <w:rPr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35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  <w:r w:rsidRPr="004C6A5C">
              <w:rPr>
                <w:b/>
              </w:rPr>
              <w:t xml:space="preserve">75 </w:t>
            </w:r>
          </w:p>
        </w:tc>
        <w:tc>
          <w:tcPr>
            <w:tcW w:w="224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C6A5C" w:rsidRPr="004C6A5C" w:rsidRDefault="004C6A5C" w:rsidP="004C6A5C">
            <w:pPr>
              <w:rPr>
                <w:b/>
              </w:rPr>
            </w:pPr>
          </w:p>
        </w:tc>
      </w:tr>
    </w:tbl>
    <w:p w:rsidR="004C6A5C" w:rsidRDefault="004C6A5C" w:rsidP="00F80B95">
      <w:pPr>
        <w:rPr>
          <w:b/>
        </w:rPr>
      </w:pPr>
      <w:r w:rsidRPr="004C6A5C">
        <w:rPr>
          <w:rFonts w:hint="eastAsia"/>
          <w:b/>
          <w:color w:val="FF0000"/>
        </w:rPr>
        <w:t>空气质量指数</w:t>
      </w:r>
      <w:r w:rsidRPr="004C6A5C">
        <w:rPr>
          <w:rFonts w:hint="eastAsia"/>
          <w:b/>
          <w:color w:val="FF0000"/>
        </w:rPr>
        <w:t xml:space="preserve"> </w:t>
      </w:r>
      <w:r w:rsidRPr="004C6A5C">
        <w:rPr>
          <w:b/>
          <w:color w:val="FF0000"/>
        </w:rPr>
        <w:t>air quality index (AQI)</w:t>
      </w:r>
      <w:r>
        <w:rPr>
          <w:rFonts w:hint="eastAsia"/>
          <w:b/>
        </w:rPr>
        <w:t>：</w:t>
      </w:r>
      <w:r>
        <w:rPr>
          <w:b/>
        </w:rPr>
        <w:t>定量</w:t>
      </w:r>
      <w:r>
        <w:rPr>
          <w:rFonts w:hint="eastAsia"/>
          <w:b/>
        </w:rPr>
        <w:t>描述空气质量状况的无量纲指数。</w:t>
      </w:r>
    </w:p>
    <w:p w:rsidR="004C6A5C" w:rsidRDefault="008614C8" w:rsidP="00F80B95">
      <w:pPr>
        <w:rPr>
          <w:b/>
        </w:rPr>
      </w:pPr>
      <w:r w:rsidRPr="00727C23">
        <w:rPr>
          <w:rFonts w:hint="eastAsia"/>
          <w:b/>
          <w:color w:val="FF0000"/>
        </w:rPr>
        <w:t>空气质量分指数（</w:t>
      </w:r>
      <w:r w:rsidR="00727C23" w:rsidRPr="00727C23">
        <w:rPr>
          <w:rFonts w:hint="eastAsia"/>
          <w:b/>
          <w:color w:val="FF0000"/>
        </w:rPr>
        <w:t>IAQI</w:t>
      </w:r>
      <w:r w:rsidRPr="00727C23">
        <w:rPr>
          <w:b/>
          <w:color w:val="FF0000"/>
        </w:rPr>
        <w:t>）</w:t>
      </w:r>
      <w:r w:rsidR="00727C23">
        <w:rPr>
          <w:rFonts w:hint="eastAsia"/>
          <w:b/>
          <w:color w:val="FF0000"/>
        </w:rPr>
        <w:t>：</w:t>
      </w:r>
      <w:r w:rsidR="00727C23" w:rsidRPr="00727C23">
        <w:rPr>
          <w:b/>
        </w:rPr>
        <w:t>单项</w:t>
      </w:r>
      <w:r w:rsidR="00727C23" w:rsidRPr="00727C23">
        <w:rPr>
          <w:rFonts w:hint="eastAsia"/>
          <w:b/>
        </w:rPr>
        <w:t>污染物的空气质量指数。</w:t>
      </w:r>
    </w:p>
    <w:p w:rsidR="00727C23" w:rsidRDefault="00EF6A43" w:rsidP="00F80B95">
      <w:pPr>
        <w:rPr>
          <w:b/>
        </w:rPr>
      </w:pPr>
      <w:r w:rsidRPr="00EF6A43">
        <w:rPr>
          <w:rFonts w:hint="eastAsia"/>
          <w:b/>
          <w:color w:val="FF0000"/>
        </w:rPr>
        <w:t>首要污染物：</w:t>
      </w:r>
      <w:r>
        <w:rPr>
          <w:rFonts w:hint="eastAsia"/>
          <w:b/>
        </w:rPr>
        <w:t>AQI</w:t>
      </w:r>
      <w:r>
        <w:rPr>
          <w:rFonts w:hint="eastAsia"/>
          <w:b/>
        </w:rPr>
        <w:t>大于</w:t>
      </w:r>
      <w:r>
        <w:rPr>
          <w:rFonts w:hint="eastAsia"/>
          <w:b/>
        </w:rPr>
        <w:t>50</w:t>
      </w:r>
      <w:r>
        <w:rPr>
          <w:rFonts w:hint="eastAsia"/>
          <w:b/>
        </w:rPr>
        <w:t>时</w:t>
      </w:r>
      <w:r>
        <w:rPr>
          <w:rFonts w:hint="eastAsia"/>
          <w:b/>
        </w:rPr>
        <w:t>IAQI</w:t>
      </w:r>
      <w:r>
        <w:rPr>
          <w:rFonts w:hint="eastAsia"/>
          <w:b/>
        </w:rPr>
        <w:t>最大的空气污染物。</w:t>
      </w:r>
    </w:p>
    <w:p w:rsidR="00C613E6" w:rsidRDefault="00EF6A43" w:rsidP="00F80B95">
      <w:pPr>
        <w:rPr>
          <w:b/>
        </w:rPr>
      </w:pPr>
      <w:r w:rsidRPr="00EF6A43">
        <w:rPr>
          <w:rFonts w:hint="eastAsia"/>
          <w:b/>
          <w:color w:val="FF0000"/>
        </w:rPr>
        <w:t>超标污染物</w:t>
      </w:r>
      <w:r>
        <w:rPr>
          <w:rFonts w:hint="eastAsia"/>
          <w:b/>
        </w:rPr>
        <w:t>：</w:t>
      </w:r>
      <w:r>
        <w:rPr>
          <w:b/>
        </w:rPr>
        <w:t>浓度</w:t>
      </w:r>
      <w:r>
        <w:rPr>
          <w:rFonts w:hint="eastAsia"/>
          <w:b/>
        </w:rPr>
        <w:t>超过国家环境空气质量二级标准的污染物，</w:t>
      </w:r>
      <w:r>
        <w:rPr>
          <w:b/>
        </w:rPr>
        <w:t>即</w:t>
      </w:r>
      <w:r>
        <w:rPr>
          <w:rFonts w:hint="eastAsia"/>
          <w:b/>
        </w:rPr>
        <w:t>IAQI</w:t>
      </w:r>
      <w:r>
        <w:rPr>
          <w:rFonts w:hint="eastAsia"/>
          <w:b/>
        </w:rPr>
        <w:t>大于</w:t>
      </w:r>
      <w:r>
        <w:rPr>
          <w:rFonts w:hint="eastAsia"/>
          <w:b/>
        </w:rPr>
        <w:t>100</w:t>
      </w:r>
      <w:r w:rsidR="00C613E6">
        <w:rPr>
          <w:rFonts w:hint="eastAsia"/>
          <w:b/>
        </w:rPr>
        <w:t>的污染物。</w:t>
      </w:r>
    </w:p>
    <w:p w:rsidR="00C613E6" w:rsidRPr="00C613E6" w:rsidRDefault="00C613E6" w:rsidP="00F80B95">
      <w:pPr>
        <w:rPr>
          <w:b/>
          <w:color w:val="FF0000"/>
        </w:rPr>
      </w:pPr>
      <w:r w:rsidRPr="00C613E6">
        <w:rPr>
          <w:rFonts w:hint="eastAsia"/>
          <w:b/>
          <w:color w:val="FF0000"/>
        </w:rPr>
        <w:t>空气质量指数级别</w:t>
      </w:r>
      <w:r>
        <w:rPr>
          <w:rFonts w:hint="eastAsia"/>
          <w:b/>
          <w:color w:val="FF0000"/>
        </w:rPr>
        <w:t>：</w:t>
      </w:r>
    </w:p>
    <w:p w:rsidR="00EF6A43" w:rsidRPr="00C613E6" w:rsidRDefault="00A047FA" w:rsidP="00F80B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312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03131118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E6" w:rsidRPr="00C613E6" w:rsidRDefault="00C613E6" w:rsidP="00F80B95">
      <w:pPr>
        <w:rPr>
          <w:b/>
          <w:color w:val="FF0000"/>
        </w:rPr>
      </w:pPr>
    </w:p>
    <w:p w:rsidR="00FB19BB" w:rsidRDefault="00FB19BB" w:rsidP="00F80B95">
      <w:pPr>
        <w:rPr>
          <w:b/>
          <w:szCs w:val="21"/>
        </w:rPr>
      </w:pPr>
      <w:r w:rsidRPr="00FB19BB">
        <w:rPr>
          <w:rFonts w:hint="eastAsia"/>
          <w:b/>
          <w:color w:val="FF0000"/>
        </w:rPr>
        <w:t>臭氧（</w:t>
      </w:r>
      <w:r w:rsidRPr="00FB19BB">
        <w:rPr>
          <w:rFonts w:hint="eastAsia"/>
          <w:b/>
          <w:color w:val="FF0000"/>
        </w:rPr>
        <w:t>O</w:t>
      </w:r>
      <w:r w:rsidRPr="00FB19BB">
        <w:rPr>
          <w:rFonts w:hint="eastAsia"/>
          <w:b/>
          <w:color w:val="FF0000"/>
          <w:sz w:val="13"/>
          <w:szCs w:val="13"/>
        </w:rPr>
        <w:t>3</w:t>
      </w:r>
      <w:r w:rsidRPr="00FB19BB">
        <w:rPr>
          <w:b/>
          <w:color w:val="FF0000"/>
        </w:rPr>
        <w:t>）</w:t>
      </w:r>
      <w:r>
        <w:rPr>
          <w:rFonts w:hint="eastAsia"/>
          <w:b/>
          <w:color w:val="FF0000"/>
        </w:rPr>
        <w:t>:</w:t>
      </w:r>
      <w:r w:rsidRPr="00FB19BB">
        <w:rPr>
          <w:rFonts w:hint="eastAsia"/>
        </w:rPr>
        <w:t xml:space="preserve"> </w:t>
      </w:r>
      <w:r w:rsidRPr="00FB19BB">
        <w:rPr>
          <w:rFonts w:hint="eastAsia"/>
          <w:b/>
        </w:rPr>
        <w:t>臭氧是地球大气中一种微量气体，在常温常压下，稳定性极差，在常温下可自行分解为氧气。臭氧具有强烈的刺激性，吸入过量对人体健康有一定危害。</w:t>
      </w:r>
      <w:r>
        <w:rPr>
          <w:rFonts w:hint="eastAsia"/>
          <w:b/>
        </w:rPr>
        <w:t>因为</w:t>
      </w:r>
      <w:r>
        <w:rPr>
          <w:rFonts w:hint="eastAsia"/>
          <w:b/>
        </w:rPr>
        <w:t>NO</w:t>
      </w:r>
      <w:r w:rsidRPr="00FB19BB">
        <w:rPr>
          <w:rFonts w:hint="eastAsia"/>
          <w:b/>
          <w:sz w:val="13"/>
          <w:szCs w:val="13"/>
        </w:rPr>
        <w:t>2</w:t>
      </w:r>
      <w:r>
        <w:rPr>
          <w:b/>
          <w:sz w:val="13"/>
          <w:szCs w:val="13"/>
        </w:rPr>
        <w:t xml:space="preserve"> 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VOCS</w:t>
      </w:r>
      <w:r>
        <w:rPr>
          <w:rFonts w:hint="eastAsia"/>
          <w:b/>
          <w:szCs w:val="21"/>
        </w:rPr>
        <w:t>（挥发性有机物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是臭氧的前体污染物</w:t>
      </w:r>
      <w:r>
        <w:rPr>
          <w:rFonts w:hint="eastAsia"/>
          <w:b/>
          <w:sz w:val="13"/>
          <w:szCs w:val="13"/>
        </w:rPr>
        <w:t xml:space="preserve"> </w:t>
      </w:r>
      <w:r>
        <w:rPr>
          <w:rFonts w:hint="eastAsia"/>
          <w:b/>
          <w:sz w:val="13"/>
          <w:szCs w:val="13"/>
        </w:rPr>
        <w:t>，</w:t>
      </w:r>
      <w:r>
        <w:rPr>
          <w:rFonts w:hint="eastAsia"/>
          <w:b/>
          <w:szCs w:val="21"/>
        </w:rPr>
        <w:t>所以一般通过控制</w:t>
      </w:r>
      <w:r w:rsidR="0012103B">
        <w:rPr>
          <w:b/>
          <w:szCs w:val="21"/>
        </w:rPr>
        <w:t>NO</w:t>
      </w:r>
      <w:r w:rsidR="0012103B" w:rsidRPr="0012103B">
        <w:rPr>
          <w:b/>
          <w:sz w:val="13"/>
          <w:szCs w:val="13"/>
        </w:rPr>
        <w:t>2</w:t>
      </w:r>
      <w:r w:rsidR="0012103B">
        <w:rPr>
          <w:rFonts w:hint="eastAsia"/>
          <w:b/>
          <w:szCs w:val="21"/>
        </w:rPr>
        <w:t>和</w:t>
      </w:r>
      <w:r w:rsidR="0012103B">
        <w:rPr>
          <w:rFonts w:hint="eastAsia"/>
          <w:b/>
          <w:szCs w:val="21"/>
        </w:rPr>
        <w:t>VOCS</w:t>
      </w:r>
      <w:r w:rsidR="0012103B">
        <w:rPr>
          <w:rFonts w:hint="eastAsia"/>
          <w:b/>
          <w:szCs w:val="21"/>
        </w:rPr>
        <w:t>来控制臭氧。</w:t>
      </w:r>
    </w:p>
    <w:p w:rsidR="0012103B" w:rsidRDefault="0012103B" w:rsidP="00F80B95">
      <w:pPr>
        <w:rPr>
          <w:b/>
          <w:color w:val="FF0000"/>
          <w:szCs w:val="21"/>
        </w:rPr>
      </w:pPr>
      <w:r w:rsidRPr="0012103B">
        <w:rPr>
          <w:rFonts w:hint="eastAsia"/>
          <w:b/>
          <w:color w:val="FF0000"/>
          <w:szCs w:val="21"/>
        </w:rPr>
        <w:t>手工</w:t>
      </w:r>
      <w:r>
        <w:rPr>
          <w:rFonts w:hint="eastAsia"/>
          <w:b/>
          <w:color w:val="FF0000"/>
          <w:szCs w:val="21"/>
        </w:rPr>
        <w:t>分析方法</w:t>
      </w:r>
      <w:r>
        <w:rPr>
          <w:rFonts w:hint="eastAsia"/>
          <w:b/>
          <w:color w:val="FF0000"/>
          <w:szCs w:val="21"/>
        </w:rPr>
        <w:t xml:space="preserve">                              </w:t>
      </w:r>
      <w:r>
        <w:rPr>
          <w:rFonts w:hint="eastAsia"/>
          <w:b/>
          <w:color w:val="FF0000"/>
          <w:szCs w:val="21"/>
        </w:rPr>
        <w:t>自动分析方法</w:t>
      </w:r>
    </w:p>
    <w:p w:rsidR="0012103B" w:rsidRDefault="0012103B" w:rsidP="00F80B95">
      <w:pPr>
        <w:rPr>
          <w:b/>
          <w:color w:val="000000" w:themeColor="text1"/>
          <w:szCs w:val="21"/>
        </w:rPr>
      </w:pPr>
      <w:r w:rsidRPr="0012103B">
        <w:rPr>
          <w:rFonts w:hint="eastAsia"/>
          <w:b/>
          <w:color w:val="000000" w:themeColor="text1"/>
          <w:szCs w:val="21"/>
        </w:rPr>
        <w:t>靛蓝二磺酸钠分光光度法</w:t>
      </w:r>
      <w:r>
        <w:rPr>
          <w:rFonts w:hint="eastAsia"/>
          <w:b/>
          <w:color w:val="000000" w:themeColor="text1"/>
          <w:szCs w:val="21"/>
        </w:rPr>
        <w:t xml:space="preserve">                    </w:t>
      </w:r>
      <w:r>
        <w:rPr>
          <w:rFonts w:hint="eastAsia"/>
          <w:b/>
          <w:color w:val="000000" w:themeColor="text1"/>
          <w:szCs w:val="21"/>
        </w:rPr>
        <w:t>紫外荧光法</w:t>
      </w:r>
    </w:p>
    <w:p w:rsidR="0012103B" w:rsidRDefault="0012103B" w:rsidP="00F80B95">
      <w:pPr>
        <w:rPr>
          <w:b/>
          <w:color w:val="000000" w:themeColor="text1"/>
          <w:szCs w:val="21"/>
        </w:rPr>
      </w:pPr>
      <w:proofErr w:type="gramStart"/>
      <w:r>
        <w:rPr>
          <w:rFonts w:hint="eastAsia"/>
          <w:b/>
          <w:color w:val="000000" w:themeColor="text1"/>
          <w:szCs w:val="21"/>
        </w:rPr>
        <w:t>紫外光度法</w:t>
      </w:r>
      <w:proofErr w:type="gramEnd"/>
      <w:r>
        <w:rPr>
          <w:rFonts w:hint="eastAsia"/>
          <w:b/>
          <w:color w:val="000000" w:themeColor="text1"/>
          <w:szCs w:val="21"/>
        </w:rPr>
        <w:t xml:space="preserve">                                </w:t>
      </w:r>
      <w:r>
        <w:rPr>
          <w:rFonts w:hint="eastAsia"/>
          <w:b/>
          <w:color w:val="000000" w:themeColor="text1"/>
          <w:szCs w:val="21"/>
        </w:rPr>
        <w:t>差分吸收光谱分析法</w:t>
      </w:r>
    </w:p>
    <w:p w:rsidR="00A047FA" w:rsidRDefault="0012103B" w:rsidP="00A047FA">
      <w:pPr>
        <w:rPr>
          <w:rFonts w:ascii="Times New Roman" w:eastAsia="Times New Roman" w:hAnsi="Times New Roman" w:cs="Times New Roman"/>
          <w:b/>
          <w:color w:val="000000"/>
        </w:rPr>
      </w:pPr>
      <w:r w:rsidRPr="0012103B">
        <w:rPr>
          <w:rFonts w:hint="eastAsia"/>
          <w:b/>
          <w:color w:val="FF0000"/>
          <w:sz w:val="28"/>
          <w:szCs w:val="28"/>
        </w:rPr>
        <w:t>PM2.5</w:t>
      </w:r>
      <w:r>
        <w:rPr>
          <w:rFonts w:hint="eastAsia"/>
          <w:b/>
          <w:color w:val="FF0000"/>
          <w:sz w:val="28"/>
          <w:szCs w:val="28"/>
        </w:rPr>
        <w:t>：</w:t>
      </w:r>
      <w:r w:rsidR="00A047FA" w:rsidRPr="00A047FA">
        <w:rPr>
          <w:rFonts w:ascii="宋体" w:eastAsia="宋体" w:hAnsi="宋体" w:cs="宋体"/>
          <w:b/>
          <w:color w:val="000000"/>
        </w:rPr>
        <w:t xml:space="preserve">指环境空气中空气动力学当量直径小于等于 </w:t>
      </w:r>
      <w:r w:rsidR="00A047FA" w:rsidRPr="00A047FA">
        <w:rPr>
          <w:rFonts w:ascii="Times New Roman" w:eastAsia="Times New Roman" w:hAnsi="Times New Roman" w:cs="Times New Roman"/>
          <w:b/>
          <w:color w:val="000000"/>
        </w:rPr>
        <w:t xml:space="preserve">2.5 </w:t>
      </w:r>
      <w:proofErr w:type="spellStart"/>
      <w:r w:rsidR="00A047FA" w:rsidRPr="00A047FA">
        <w:rPr>
          <w:rFonts w:ascii="Segoe UI Symbol" w:eastAsia="Segoe UI Symbol" w:hAnsi="Segoe UI Symbol" w:cs="Segoe UI Symbol"/>
          <w:b/>
          <w:color w:val="000000"/>
        </w:rPr>
        <w:t>μ</w:t>
      </w:r>
      <w:r w:rsidR="00A047FA" w:rsidRPr="00A047FA">
        <w:rPr>
          <w:rFonts w:ascii="Times New Roman" w:eastAsia="Times New Roman" w:hAnsi="Times New Roman" w:cs="Times New Roman"/>
          <w:b/>
          <w:color w:val="000000"/>
        </w:rPr>
        <w:t>m</w:t>
      </w:r>
      <w:proofErr w:type="spellEnd"/>
      <w:r w:rsidR="00A047FA" w:rsidRPr="00A047F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047FA" w:rsidRPr="00A047FA">
        <w:rPr>
          <w:rFonts w:ascii="宋体" w:eastAsia="宋体" w:hAnsi="宋体" w:cs="宋体"/>
          <w:b/>
          <w:color w:val="000000"/>
        </w:rPr>
        <w:t>的颗粒物，也称细颗粒物。</w:t>
      </w:r>
      <w:r w:rsidR="00A047FA" w:rsidRPr="00A047FA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047FA" w:rsidRDefault="00956BCC" w:rsidP="00A047FA">
      <w:pPr>
        <w:rPr>
          <w:rFonts w:ascii="宋体" w:eastAsia="宋体" w:hAnsi="宋体" w:cs="宋体"/>
          <w:b/>
          <w:color w:val="FF0000"/>
        </w:rPr>
      </w:pPr>
      <w:r w:rsidRPr="00956BCC">
        <w:rPr>
          <w:rFonts w:ascii="宋体" w:eastAsia="宋体" w:hAnsi="宋体" w:cs="宋体" w:hint="eastAsia"/>
          <w:b/>
          <w:color w:val="FF0000"/>
        </w:rPr>
        <w:t xml:space="preserve">手工分析方法 </w:t>
      </w:r>
      <w:r>
        <w:rPr>
          <w:rFonts w:ascii="宋体" w:eastAsia="宋体" w:hAnsi="宋体" w:cs="宋体" w:hint="eastAsia"/>
          <w:b/>
          <w:color w:val="000000"/>
        </w:rPr>
        <w:t xml:space="preserve">                              </w:t>
      </w:r>
      <w:r w:rsidRPr="00956BCC">
        <w:rPr>
          <w:rFonts w:ascii="宋体" w:eastAsia="宋体" w:hAnsi="宋体" w:cs="宋体" w:hint="eastAsia"/>
          <w:b/>
          <w:color w:val="FF0000"/>
        </w:rPr>
        <w:t>自动分析方法</w:t>
      </w:r>
    </w:p>
    <w:p w:rsidR="00956BCC" w:rsidRPr="00956BCC" w:rsidRDefault="00956BCC" w:rsidP="00A047FA">
      <w:pPr>
        <w:rPr>
          <w:rFonts w:ascii="宋体" w:eastAsia="宋体" w:hAnsi="宋体" w:cs="宋体"/>
          <w:b/>
        </w:rPr>
      </w:pPr>
      <w:r w:rsidRPr="00956BCC">
        <w:rPr>
          <w:rFonts w:ascii="宋体" w:eastAsia="宋体" w:hAnsi="宋体" w:cs="宋体" w:hint="eastAsia"/>
          <w:b/>
        </w:rPr>
        <w:t>重量法                                     微量振荡天平法、β射线法</w:t>
      </w:r>
    </w:p>
    <w:p w:rsidR="005F1CD5" w:rsidRDefault="007C4F81" w:rsidP="00F80B95">
      <w:pPr>
        <w:rPr>
          <w:b/>
          <w:szCs w:val="21"/>
        </w:rPr>
      </w:pPr>
      <w:r w:rsidRPr="007C4F81">
        <w:rPr>
          <w:rFonts w:hint="eastAsia"/>
          <w:b/>
          <w:szCs w:val="21"/>
        </w:rPr>
        <w:t>采用</w:t>
      </w:r>
      <w:r w:rsidRPr="007C4F81">
        <w:rPr>
          <w:rFonts w:hint="eastAsia"/>
          <w:b/>
          <w:szCs w:val="21"/>
        </w:rPr>
        <w:t>CMB-iteration</w:t>
      </w:r>
      <w:r w:rsidR="00CE4CE5">
        <w:rPr>
          <w:rFonts w:hint="eastAsia"/>
          <w:b/>
          <w:szCs w:val="21"/>
        </w:rPr>
        <w:t>模型估</w:t>
      </w:r>
      <w:r w:rsidRPr="007C4F81">
        <w:rPr>
          <w:rFonts w:hint="eastAsia"/>
          <w:b/>
          <w:szCs w:val="21"/>
        </w:rPr>
        <w:t>算法，</w:t>
      </w:r>
      <w:r w:rsidRPr="007C4F81">
        <w:rPr>
          <w:b/>
          <w:szCs w:val="21"/>
        </w:rPr>
        <w:t>确定</w:t>
      </w:r>
      <w:proofErr w:type="gramStart"/>
      <w:r w:rsidRPr="007C4F81">
        <w:rPr>
          <w:rFonts w:hint="eastAsia"/>
          <w:b/>
          <w:szCs w:val="21"/>
        </w:rPr>
        <w:t>一次源</w:t>
      </w:r>
      <w:proofErr w:type="gramEnd"/>
      <w:r w:rsidRPr="007C4F81">
        <w:rPr>
          <w:rFonts w:hint="eastAsia"/>
          <w:b/>
          <w:szCs w:val="21"/>
        </w:rPr>
        <w:t>类及</w:t>
      </w:r>
      <w:proofErr w:type="gramStart"/>
      <w:r w:rsidRPr="007C4F81">
        <w:rPr>
          <w:rFonts w:hint="eastAsia"/>
          <w:b/>
          <w:szCs w:val="21"/>
        </w:rPr>
        <w:t>二次源</w:t>
      </w:r>
      <w:proofErr w:type="gramEnd"/>
      <w:r w:rsidRPr="007C4F81">
        <w:rPr>
          <w:rFonts w:hint="eastAsia"/>
          <w:b/>
          <w:szCs w:val="21"/>
        </w:rPr>
        <w:t>类对</w:t>
      </w:r>
      <w:r w:rsidRPr="007C4F81">
        <w:rPr>
          <w:rFonts w:hint="eastAsia"/>
          <w:b/>
          <w:szCs w:val="21"/>
        </w:rPr>
        <w:t>PM2.5</w:t>
      </w:r>
      <w:r w:rsidRPr="007C4F81">
        <w:rPr>
          <w:rFonts w:hint="eastAsia"/>
          <w:b/>
          <w:szCs w:val="21"/>
        </w:rPr>
        <w:t>的贡献。</w:t>
      </w:r>
      <w:r w:rsidR="009B1507">
        <w:rPr>
          <w:rFonts w:hint="eastAsia"/>
          <w:b/>
          <w:szCs w:val="21"/>
        </w:rPr>
        <w:t>青岛大气颗粒物质量浓度季节变化显著，</w:t>
      </w:r>
      <w:r w:rsidR="009B1507">
        <w:rPr>
          <w:b/>
          <w:szCs w:val="21"/>
        </w:rPr>
        <w:t>表现</w:t>
      </w:r>
      <w:r w:rsidR="009B1507">
        <w:rPr>
          <w:rFonts w:hint="eastAsia"/>
          <w:b/>
          <w:szCs w:val="21"/>
        </w:rPr>
        <w:t>为春、</w:t>
      </w:r>
      <w:r w:rsidR="009B1507">
        <w:rPr>
          <w:b/>
          <w:szCs w:val="21"/>
        </w:rPr>
        <w:t>冬</w:t>
      </w:r>
      <w:r w:rsidR="009B1507">
        <w:rPr>
          <w:rFonts w:hint="eastAsia"/>
          <w:b/>
          <w:szCs w:val="21"/>
        </w:rPr>
        <w:t>季高，</w:t>
      </w:r>
      <w:r w:rsidR="009B1507">
        <w:rPr>
          <w:b/>
          <w:szCs w:val="21"/>
        </w:rPr>
        <w:t>夏</w:t>
      </w:r>
      <w:r w:rsidR="009B1507">
        <w:rPr>
          <w:rFonts w:hint="eastAsia"/>
          <w:b/>
          <w:szCs w:val="21"/>
        </w:rPr>
        <w:t>、秋季低。</w:t>
      </w:r>
      <w:r w:rsidR="005F1CD5">
        <w:rPr>
          <w:rFonts w:hint="eastAsia"/>
          <w:b/>
          <w:szCs w:val="21"/>
        </w:rPr>
        <w:t>当</w:t>
      </w:r>
      <w:r w:rsidR="005F1CD5">
        <w:rPr>
          <w:rFonts w:hint="eastAsia"/>
          <w:b/>
          <w:szCs w:val="21"/>
        </w:rPr>
        <w:t>PM2.5</w:t>
      </w:r>
      <w:r w:rsidR="005F1CD5">
        <w:rPr>
          <w:rFonts w:hint="eastAsia"/>
          <w:b/>
          <w:szCs w:val="21"/>
        </w:rPr>
        <w:t>浓度≥</w:t>
      </w:r>
      <w:r w:rsidR="005F1CD5">
        <w:rPr>
          <w:rFonts w:hint="eastAsia"/>
          <w:b/>
          <w:szCs w:val="21"/>
        </w:rPr>
        <w:t>75</w:t>
      </w:r>
      <w:r w:rsidR="005F1CD5" w:rsidRPr="005F1CD5">
        <w:rPr>
          <w:b/>
          <w:szCs w:val="21"/>
        </w:rPr>
        <w:t>μg/m</w:t>
      </w:r>
      <w:r w:rsidR="005F1CD5" w:rsidRPr="005F1CD5">
        <w:rPr>
          <w:b/>
          <w:szCs w:val="21"/>
          <w:vertAlign w:val="superscript"/>
        </w:rPr>
        <w:t>3</w:t>
      </w:r>
      <w:r w:rsidR="005F1CD5">
        <w:rPr>
          <w:b/>
          <w:szCs w:val="21"/>
          <w:vertAlign w:val="superscript"/>
        </w:rPr>
        <w:t xml:space="preserve"> </w:t>
      </w:r>
      <w:r w:rsidR="005F1CD5">
        <w:rPr>
          <w:rFonts w:hint="eastAsia"/>
          <w:b/>
          <w:szCs w:val="21"/>
        </w:rPr>
        <w:t>时判为</w:t>
      </w:r>
      <w:proofErr w:type="gramStart"/>
      <w:r w:rsidR="005F1CD5">
        <w:rPr>
          <w:rFonts w:hint="eastAsia"/>
          <w:b/>
          <w:szCs w:val="21"/>
        </w:rPr>
        <w:t>霾</w:t>
      </w:r>
      <w:proofErr w:type="gramEnd"/>
      <w:r w:rsidR="005F1CD5">
        <w:rPr>
          <w:rFonts w:hint="eastAsia"/>
          <w:b/>
          <w:szCs w:val="21"/>
        </w:rPr>
        <w:t>。</w:t>
      </w:r>
    </w:p>
    <w:p w:rsidR="009B1507" w:rsidRDefault="009B1507" w:rsidP="00F80B95">
      <w:pPr>
        <w:rPr>
          <w:b/>
          <w:szCs w:val="21"/>
        </w:rPr>
      </w:pPr>
      <w:r w:rsidRPr="001515D4">
        <w:rPr>
          <w:rFonts w:hint="eastAsia"/>
          <w:b/>
          <w:color w:val="FF0000"/>
          <w:szCs w:val="21"/>
        </w:rPr>
        <w:t>PM2.5</w:t>
      </w:r>
      <w:r w:rsidRPr="001515D4">
        <w:rPr>
          <w:rFonts w:hint="eastAsia"/>
          <w:b/>
          <w:color w:val="FF0000"/>
          <w:szCs w:val="21"/>
        </w:rPr>
        <w:t>来源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城市</w:t>
      </w:r>
      <w:r>
        <w:rPr>
          <w:rFonts w:hint="eastAsia"/>
          <w:b/>
          <w:szCs w:val="21"/>
        </w:rPr>
        <w:t>扬尘、</w:t>
      </w:r>
      <w:r>
        <w:rPr>
          <w:b/>
          <w:szCs w:val="21"/>
        </w:rPr>
        <w:t>燃煤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机动车</w:t>
      </w:r>
      <w:r>
        <w:rPr>
          <w:rFonts w:hint="eastAsia"/>
          <w:b/>
          <w:szCs w:val="21"/>
        </w:rPr>
        <w:t>尾气、</w:t>
      </w:r>
      <w:r>
        <w:rPr>
          <w:b/>
          <w:szCs w:val="21"/>
        </w:rPr>
        <w:t>二次</w:t>
      </w:r>
      <w:r>
        <w:rPr>
          <w:rFonts w:hint="eastAsia"/>
          <w:b/>
          <w:szCs w:val="21"/>
        </w:rPr>
        <w:t>颗粒物。</w:t>
      </w:r>
      <w:r w:rsidR="001515D4">
        <w:rPr>
          <w:b/>
          <w:szCs w:val="21"/>
        </w:rPr>
        <w:t>PM2.5</w:t>
      </w:r>
      <w:r w:rsidR="001515D4">
        <w:rPr>
          <w:rFonts w:hint="eastAsia"/>
          <w:b/>
          <w:szCs w:val="21"/>
        </w:rPr>
        <w:t>来源中二次颗粒物（二次硫酸盐、</w:t>
      </w:r>
      <w:r w:rsidR="001515D4">
        <w:rPr>
          <w:b/>
          <w:szCs w:val="21"/>
        </w:rPr>
        <w:t>二次</w:t>
      </w:r>
      <w:r w:rsidR="001515D4">
        <w:rPr>
          <w:rFonts w:hint="eastAsia"/>
          <w:b/>
          <w:szCs w:val="21"/>
        </w:rPr>
        <w:t>硝酸盐</w:t>
      </w:r>
      <w:r w:rsidR="001515D4">
        <w:rPr>
          <w:b/>
          <w:szCs w:val="21"/>
        </w:rPr>
        <w:t>）</w:t>
      </w:r>
      <w:r w:rsidR="001515D4">
        <w:rPr>
          <w:rFonts w:hint="eastAsia"/>
          <w:b/>
          <w:szCs w:val="21"/>
        </w:rPr>
        <w:t>的贡献更加显著，</w:t>
      </w:r>
      <w:r w:rsidR="001515D4">
        <w:rPr>
          <w:b/>
          <w:szCs w:val="21"/>
        </w:rPr>
        <w:t>有效</w:t>
      </w:r>
      <w:r w:rsidR="001515D4">
        <w:rPr>
          <w:rFonts w:hint="eastAsia"/>
          <w:b/>
          <w:szCs w:val="21"/>
        </w:rPr>
        <w:t>控制二次颗粒物已成为实现</w:t>
      </w:r>
      <w:r w:rsidR="001515D4">
        <w:rPr>
          <w:rFonts w:hint="eastAsia"/>
          <w:b/>
          <w:szCs w:val="21"/>
        </w:rPr>
        <w:t>PM2.5</w:t>
      </w:r>
      <w:r w:rsidR="001515D4">
        <w:rPr>
          <w:rFonts w:hint="eastAsia"/>
          <w:b/>
          <w:szCs w:val="21"/>
        </w:rPr>
        <w:t>污染控制的关键。</w:t>
      </w:r>
    </w:p>
    <w:p w:rsidR="004915B1" w:rsidRPr="004915B1" w:rsidRDefault="004915B1" w:rsidP="00F80B95">
      <w:pPr>
        <w:rPr>
          <w:rFonts w:hint="eastAsia"/>
          <w:b/>
          <w:color w:val="FF0000"/>
          <w:szCs w:val="21"/>
        </w:rPr>
      </w:pPr>
      <w:r w:rsidRPr="004915B1">
        <w:rPr>
          <w:b/>
          <w:color w:val="FF0000"/>
          <w:szCs w:val="21"/>
        </w:rPr>
        <w:t xml:space="preserve"> </w:t>
      </w:r>
      <w:r w:rsidRPr="004915B1">
        <w:rPr>
          <w:rFonts w:hint="eastAsia"/>
          <w:b/>
          <w:color w:val="FF0000"/>
          <w:szCs w:val="21"/>
        </w:rPr>
        <w:t>总结</w:t>
      </w:r>
      <w:r>
        <w:rPr>
          <w:rFonts w:hint="eastAsia"/>
          <w:b/>
          <w:color w:val="FF0000"/>
          <w:szCs w:val="21"/>
        </w:rPr>
        <w:t>：</w:t>
      </w:r>
      <w:r w:rsidRPr="004915B1">
        <w:rPr>
          <w:b/>
          <w:color w:val="FF0000"/>
          <w:szCs w:val="21"/>
        </w:rPr>
        <w:t>11</w:t>
      </w:r>
      <w:r w:rsidRPr="004915B1">
        <w:rPr>
          <w:rFonts w:hint="eastAsia"/>
          <w:b/>
          <w:color w:val="FF0000"/>
          <w:szCs w:val="21"/>
        </w:rPr>
        <w:t>日</w:t>
      </w:r>
      <w:r>
        <w:rPr>
          <w:rFonts w:hint="eastAsia"/>
          <w:b/>
          <w:color w:val="FF0000"/>
          <w:szCs w:val="21"/>
        </w:rPr>
        <w:t>在</w:t>
      </w:r>
      <w:r w:rsidRPr="004915B1">
        <w:rPr>
          <w:rFonts w:hint="eastAsia"/>
          <w:b/>
          <w:color w:val="FF0000"/>
          <w:szCs w:val="21"/>
        </w:rPr>
        <w:t>张老师带领</w:t>
      </w:r>
      <w:r>
        <w:rPr>
          <w:rFonts w:hint="eastAsia"/>
          <w:b/>
          <w:color w:val="FF0000"/>
          <w:szCs w:val="21"/>
        </w:rPr>
        <w:t>下</w:t>
      </w:r>
      <w:r w:rsidRPr="004915B1"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我们在市南环保分局</w:t>
      </w:r>
      <w:r w:rsidRPr="004915B1">
        <w:rPr>
          <w:rFonts w:hint="eastAsia"/>
          <w:b/>
          <w:color w:val="FF0000"/>
          <w:szCs w:val="21"/>
        </w:rPr>
        <w:t>现场旁听了一场</w:t>
      </w:r>
      <w:r w:rsidR="00F80365">
        <w:rPr>
          <w:rFonts w:hint="eastAsia"/>
          <w:b/>
          <w:color w:val="FF0000"/>
          <w:szCs w:val="21"/>
        </w:rPr>
        <w:t>关于大气污染防治工作规划报告</w:t>
      </w:r>
      <w:r w:rsidRPr="004915B1">
        <w:rPr>
          <w:rFonts w:hint="eastAsia"/>
          <w:b/>
          <w:color w:val="FF0000"/>
          <w:szCs w:val="21"/>
        </w:rPr>
        <w:t>。了解到市南区两</w:t>
      </w:r>
      <w:r w:rsidR="00F80365">
        <w:rPr>
          <w:rFonts w:hint="eastAsia"/>
          <w:b/>
          <w:color w:val="FF0000"/>
          <w:szCs w:val="21"/>
        </w:rPr>
        <w:t>个</w:t>
      </w:r>
      <w:bookmarkStart w:id="0" w:name="_GoBack"/>
      <w:bookmarkEnd w:id="0"/>
      <w:r w:rsidRPr="004915B1">
        <w:rPr>
          <w:rFonts w:hint="eastAsia"/>
          <w:b/>
          <w:color w:val="FF0000"/>
          <w:szCs w:val="21"/>
        </w:rPr>
        <w:t>大气监测子站的数据和省监测中心实时共享。“十三五”无煤化目标，青岛</w:t>
      </w:r>
      <w:r w:rsidRPr="004915B1">
        <w:rPr>
          <w:b/>
          <w:color w:val="FF0000"/>
          <w:szCs w:val="21"/>
        </w:rPr>
        <w:t>2015</w:t>
      </w:r>
      <w:r w:rsidRPr="004915B1">
        <w:rPr>
          <w:rFonts w:hint="eastAsia"/>
          <w:b/>
          <w:color w:val="FF0000"/>
          <w:szCs w:val="21"/>
        </w:rPr>
        <w:t>截止不再使用燃煤锅炉，于</w:t>
      </w:r>
      <w:r w:rsidRPr="004915B1">
        <w:rPr>
          <w:b/>
          <w:color w:val="FF0000"/>
          <w:szCs w:val="21"/>
        </w:rPr>
        <w:t>2016</w:t>
      </w:r>
      <w:r w:rsidRPr="004915B1">
        <w:rPr>
          <w:rFonts w:hint="eastAsia"/>
          <w:b/>
          <w:color w:val="FF0000"/>
          <w:szCs w:val="21"/>
        </w:rPr>
        <w:t>改造为燃天然气锅炉。并了解了一些清洁能源的使用和发展情况</w:t>
      </w:r>
    </w:p>
    <w:sectPr w:rsidR="004915B1" w:rsidRPr="004915B1" w:rsidSect="0050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68D5"/>
    <w:rsid w:val="0012103B"/>
    <w:rsid w:val="001515D4"/>
    <w:rsid w:val="004568D5"/>
    <w:rsid w:val="004915B1"/>
    <w:rsid w:val="004C6A5C"/>
    <w:rsid w:val="00507186"/>
    <w:rsid w:val="005F1CD5"/>
    <w:rsid w:val="00727C23"/>
    <w:rsid w:val="0078434E"/>
    <w:rsid w:val="007C4F81"/>
    <w:rsid w:val="008614C8"/>
    <w:rsid w:val="00956BCC"/>
    <w:rsid w:val="009B1507"/>
    <w:rsid w:val="00A047FA"/>
    <w:rsid w:val="00C613E6"/>
    <w:rsid w:val="00CE4CE5"/>
    <w:rsid w:val="00EF1760"/>
    <w:rsid w:val="00EF6A43"/>
    <w:rsid w:val="00F80365"/>
    <w:rsid w:val="00F80B95"/>
    <w:rsid w:val="00FB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DDCC"/>
  <w15:chartTrackingRefBased/>
  <w15:docId w15:val="{6EFA01AF-8B43-4548-8322-BC5E5779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0718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C6A5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5F1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周鸿鹏</dc:creator>
  <cp:keywords/>
  <dc:description/>
  <cp:lastModifiedBy>周鸿鹏</cp:lastModifiedBy>
  <cp:revision>13</cp:revision>
  <dcterms:created xsi:type="dcterms:W3CDTF">2016-03-13T01:54:00Z</dcterms:created>
  <dcterms:modified xsi:type="dcterms:W3CDTF">2016-03-14T09:27:00Z</dcterms:modified>
</cp:coreProperties>
</file>