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B1DA2" w14:textId="77777777" w:rsidR="002F0748" w:rsidRDefault="002F0748">
      <w:pPr>
        <w:spacing w:before="1800"/>
      </w:pPr>
    </w:p>
    <w:p w14:paraId="256C7F5C" w14:textId="77777777" w:rsidR="002F0748" w:rsidRDefault="00B00402">
      <w:pPr>
        <w:jc w:val="center"/>
      </w:pPr>
      <w:r>
        <w:rPr>
          <w:b/>
          <w:bCs/>
          <w:color w:val="1B2A4A"/>
          <w:sz w:val="56"/>
          <w:szCs w:val="56"/>
        </w:rPr>
        <w:t>CHROMASKIN</w:t>
      </w:r>
    </w:p>
    <w:p w14:paraId="4E5EA60B" w14:textId="77777777" w:rsidR="002F0748" w:rsidRDefault="00B00402">
      <w:pPr>
        <w:spacing w:before="120" w:after="60"/>
        <w:jc w:val="center"/>
      </w:pPr>
      <w:r>
        <w:rPr>
          <w:color w:val="B08D3E"/>
          <w:sz w:val="30"/>
          <w:szCs w:val="30"/>
        </w:rPr>
        <w:t>Adaptive Optical Camouflage System</w:t>
      </w:r>
    </w:p>
    <w:p w14:paraId="2014CD20" w14:textId="77777777" w:rsidR="002F0748" w:rsidRDefault="00B00402">
      <w:pPr>
        <w:spacing w:after="800"/>
        <w:jc w:val="center"/>
      </w:pPr>
      <w:r>
        <w:rPr>
          <w:i/>
          <w:iCs/>
          <w:color w:val="5A5A5A"/>
          <w:sz w:val="24"/>
          <w:szCs w:val="24"/>
        </w:rPr>
        <w:t>Technical Specification &amp; Validation Report</w:t>
      </w:r>
    </w:p>
    <w:p w14:paraId="590E0DAE" w14:textId="77777777" w:rsidR="002F0748" w:rsidRDefault="00B00402">
      <w:pPr>
        <w:jc w:val="center"/>
      </w:pPr>
      <w:r>
        <w:rPr>
          <w:color w:val="5A5A5A"/>
          <w:sz w:val="20"/>
          <w:szCs w:val="20"/>
        </w:rPr>
        <w:t>Prepared by AI&amp;U</w:t>
      </w:r>
    </w:p>
    <w:p w14:paraId="0B2FA9E0" w14:textId="77777777" w:rsidR="002F0748" w:rsidRDefault="00B00402">
      <w:pPr>
        <w:spacing w:after="1600"/>
        <w:jc w:val="center"/>
      </w:pPr>
      <w:r>
        <w:rPr>
          <w:color w:val="5A5A5A"/>
          <w:sz w:val="20"/>
          <w:szCs w:val="20"/>
        </w:rPr>
        <w:t>July 2026</w:t>
      </w:r>
    </w:p>
    <w:p w14:paraId="3E94ABCD" w14:textId="77777777" w:rsidR="002F0748" w:rsidRDefault="00B00402">
      <w:pPr>
        <w:jc w:val="center"/>
      </w:pPr>
      <w:r>
        <w:rPr>
          <w:b/>
          <w:bCs/>
          <w:color w:val="AA3333"/>
          <w:sz w:val="16"/>
          <w:szCs w:val="16"/>
        </w:rPr>
        <w:t>CLASSIFICATION: DEMONSTRATION / PRE-CONTRACT TECHNICAL DISCLOSURE</w:t>
      </w:r>
    </w:p>
    <w:p w14:paraId="688F9E81" w14:textId="77777777" w:rsidR="002F0748" w:rsidRDefault="00B00402">
      <w:r>
        <w:br w:type="page"/>
      </w:r>
    </w:p>
    <w:p w14:paraId="68C09C31" w14:textId="77777777" w:rsidR="002F0748" w:rsidRDefault="00B00402">
      <w:pPr>
        <w:pStyle w:val="Heading1"/>
      </w:pPr>
      <w:r>
        <w:t>1. Executive Summary</w:t>
      </w:r>
    </w:p>
    <w:p w14:paraId="40350221" w14:textId="77777777" w:rsidR="002F0748" w:rsidRDefault="00B00402">
      <w:pPr>
        <w:spacing w:after="160"/>
      </w:pPr>
      <w:proofErr w:type="spellStart"/>
      <w:r>
        <w:t>ChromaSkin</w:t>
      </w:r>
      <w:proofErr w:type="spellEnd"/>
      <w:r>
        <w:t xml:space="preserve"> is a biomimetic, peer-to-peer (P2P) swarm system for adaptive optical and pressure-actuated camouflage. Rather than relying on a rigid, centrally-controlled camouflage surface, </w:t>
      </w:r>
      <w:proofErr w:type="spellStart"/>
      <w:r>
        <w:t>ChromaSkin</w:t>
      </w:r>
      <w:proofErr w:type="spellEnd"/>
      <w:r>
        <w:t xml:space="preserve"> is composed of thousands of autonomous fluid-filled nodes — each a self-contained core-shell-buffer unit — that locally sense their environment, communicate only with immediate physical neighbors, and converge their optical and geometric state to match the surface they contact.</w:t>
      </w:r>
    </w:p>
    <w:p w14:paraId="4C9F8F45" w14:textId="77777777" w:rsidR="002F0748" w:rsidRDefault="00B00402">
      <w:pPr>
        <w:spacing w:after="160"/>
      </w:pPr>
      <w:r>
        <w:t>This document consolidates the verified technical results for the three subsystems that have been independently modeled, tested, and — where results initially disagreed — reconciled: (1) the optical performance of the graded-index buffer layer, (2) the structural integrity of the fluid-filled shell under thermal loading, and (3) a swarm-scale demonstration of optical convergence across a 1,000-node grid. All results below reflect the final, converged, internally-consistent models after resolution of earlier</w:t>
      </w:r>
      <w:r>
        <w:t xml:space="preserve"> modeling discrepancies described in Section 7.</w:t>
      </w:r>
    </w:p>
    <w:p w14:paraId="20481765" w14:textId="77777777" w:rsidR="002F0748" w:rsidRDefault="00B00402">
      <w:pPr>
        <w:pStyle w:val="Heading2"/>
      </w:pPr>
      <w:r>
        <w:t>Headline Results</w:t>
      </w:r>
    </w:p>
    <w:tbl>
      <w:tblPr>
        <w:tblW w:w="102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gridCol w:w="3060"/>
      </w:tblGrid>
      <w:tr w:rsidR="002F0748" w14:paraId="2512DD45" w14:textId="77777777">
        <w:tblPrEx>
          <w:tblCellMar>
            <w:top w:w="0" w:type="dxa"/>
            <w:bottom w:w="0" w:type="dxa"/>
          </w:tblCellMar>
        </w:tblPrEx>
        <w:trPr>
          <w:tblHeader/>
        </w:trPr>
        <w:tc>
          <w:tcPr>
            <w:tcW w:w="7200" w:type="dxa"/>
            <w:shd w:val="clear" w:color="auto" w:fill="1B2A4A"/>
            <w:tcMar>
              <w:top w:w="80" w:type="dxa"/>
              <w:left w:w="120" w:type="dxa"/>
              <w:bottom w:w="80" w:type="dxa"/>
              <w:right w:w="120" w:type="dxa"/>
            </w:tcMar>
            <w:vAlign w:val="center"/>
          </w:tcPr>
          <w:p w14:paraId="08B6428E" w14:textId="77777777" w:rsidR="002F0748" w:rsidRDefault="00B00402">
            <w:r>
              <w:rPr>
                <w:b/>
                <w:bCs/>
                <w:color w:val="FFFFFF"/>
              </w:rPr>
              <w:t>Metric</w:t>
            </w:r>
          </w:p>
        </w:tc>
        <w:tc>
          <w:tcPr>
            <w:tcW w:w="3060" w:type="dxa"/>
            <w:shd w:val="clear" w:color="auto" w:fill="1B2A4A"/>
            <w:tcMar>
              <w:top w:w="80" w:type="dxa"/>
              <w:left w:w="120" w:type="dxa"/>
              <w:bottom w:w="80" w:type="dxa"/>
              <w:right w:w="120" w:type="dxa"/>
            </w:tcMar>
            <w:vAlign w:val="center"/>
          </w:tcPr>
          <w:p w14:paraId="5323F24A" w14:textId="77777777" w:rsidR="002F0748" w:rsidRDefault="00B00402">
            <w:r>
              <w:rPr>
                <w:b/>
                <w:bCs/>
                <w:color w:val="FFFFFF"/>
              </w:rPr>
              <w:t>Result</w:t>
            </w:r>
          </w:p>
        </w:tc>
      </w:tr>
      <w:tr w:rsidR="002F0748" w14:paraId="2D09B01C" w14:textId="77777777">
        <w:tblPrEx>
          <w:tblCellMar>
            <w:top w:w="0" w:type="dxa"/>
            <w:bottom w:w="0" w:type="dxa"/>
          </w:tblCellMar>
        </w:tblPrEx>
        <w:tc>
          <w:tcPr>
            <w:tcW w:w="7200" w:type="dxa"/>
            <w:tcMar>
              <w:top w:w="80" w:type="dxa"/>
              <w:left w:w="120" w:type="dxa"/>
              <w:bottom w:w="80" w:type="dxa"/>
              <w:right w:w="120" w:type="dxa"/>
            </w:tcMar>
            <w:vAlign w:val="center"/>
          </w:tcPr>
          <w:p w14:paraId="5FBF787B" w14:textId="77777777" w:rsidR="002F0748" w:rsidRDefault="00B00402">
            <w:r>
              <w:t>Optical reflectance reduction (graded vs. abrupt interface)</w:t>
            </w:r>
          </w:p>
        </w:tc>
        <w:tc>
          <w:tcPr>
            <w:tcW w:w="3060" w:type="dxa"/>
            <w:tcMar>
              <w:top w:w="80" w:type="dxa"/>
              <w:left w:w="120" w:type="dxa"/>
              <w:bottom w:w="80" w:type="dxa"/>
              <w:right w:w="120" w:type="dxa"/>
            </w:tcMar>
            <w:vAlign w:val="center"/>
          </w:tcPr>
          <w:p w14:paraId="4F7DED69" w14:textId="77777777" w:rsidR="002F0748" w:rsidRDefault="00B00402">
            <w:r>
              <w:t>98.5%</w:t>
            </w:r>
          </w:p>
        </w:tc>
      </w:tr>
      <w:tr w:rsidR="002F0748" w14:paraId="033F3991" w14:textId="77777777">
        <w:tblPrEx>
          <w:tblCellMar>
            <w:top w:w="0" w:type="dxa"/>
            <w:bottom w:w="0" w:type="dxa"/>
          </w:tblCellMar>
        </w:tblPrEx>
        <w:tc>
          <w:tcPr>
            <w:tcW w:w="7200" w:type="dxa"/>
            <w:shd w:val="clear" w:color="auto" w:fill="F2F2F2"/>
            <w:tcMar>
              <w:top w:w="80" w:type="dxa"/>
              <w:left w:w="120" w:type="dxa"/>
              <w:bottom w:w="80" w:type="dxa"/>
              <w:right w:w="120" w:type="dxa"/>
            </w:tcMar>
            <w:vAlign w:val="center"/>
          </w:tcPr>
          <w:p w14:paraId="67B5E947" w14:textId="77777777" w:rsidR="002F0748" w:rsidRDefault="00B00402">
            <w:r>
              <w:rPr>
                <w:color w:val="FFFFFF"/>
              </w:rPr>
              <w:t>Structural safety margin (hoop stress vs. tensile strength, 10% thermal load)</w:t>
            </w:r>
          </w:p>
        </w:tc>
        <w:tc>
          <w:tcPr>
            <w:tcW w:w="3060" w:type="dxa"/>
            <w:shd w:val="clear" w:color="auto" w:fill="F2F2F2"/>
            <w:tcMar>
              <w:top w:w="80" w:type="dxa"/>
              <w:left w:w="120" w:type="dxa"/>
              <w:bottom w:w="80" w:type="dxa"/>
              <w:right w:w="120" w:type="dxa"/>
            </w:tcMar>
            <w:vAlign w:val="center"/>
          </w:tcPr>
          <w:p w14:paraId="48C33118" w14:textId="77777777" w:rsidR="002F0748" w:rsidRDefault="00B00402">
            <w:r>
              <w:rPr>
                <w:color w:val="FFFFFF"/>
              </w:rPr>
              <w:t>75×</w:t>
            </w:r>
          </w:p>
        </w:tc>
      </w:tr>
      <w:tr w:rsidR="002F0748" w14:paraId="5F15382C" w14:textId="77777777">
        <w:tblPrEx>
          <w:tblCellMar>
            <w:top w:w="0" w:type="dxa"/>
            <w:bottom w:w="0" w:type="dxa"/>
          </w:tblCellMar>
        </w:tblPrEx>
        <w:tc>
          <w:tcPr>
            <w:tcW w:w="7200" w:type="dxa"/>
            <w:tcMar>
              <w:top w:w="80" w:type="dxa"/>
              <w:left w:w="120" w:type="dxa"/>
              <w:bottom w:w="80" w:type="dxa"/>
              <w:right w:w="120" w:type="dxa"/>
            </w:tcMar>
            <w:vAlign w:val="center"/>
          </w:tcPr>
          <w:p w14:paraId="2B902CF8" w14:textId="77777777" w:rsidR="002F0748" w:rsidRDefault="00B00402">
            <w:r>
              <w:t>Peak hoop stress under full thermal load</w:t>
            </w:r>
          </w:p>
        </w:tc>
        <w:tc>
          <w:tcPr>
            <w:tcW w:w="3060" w:type="dxa"/>
            <w:tcMar>
              <w:top w:w="80" w:type="dxa"/>
              <w:left w:w="120" w:type="dxa"/>
              <w:bottom w:w="80" w:type="dxa"/>
              <w:right w:w="120" w:type="dxa"/>
            </w:tcMar>
            <w:vAlign w:val="center"/>
          </w:tcPr>
          <w:p w14:paraId="5519EFE6" w14:textId="77777777" w:rsidR="002F0748" w:rsidRDefault="00B00402">
            <w:r>
              <w:t>0.667 MPa (vs. 50 MPa tensile strength)</w:t>
            </w:r>
          </w:p>
        </w:tc>
      </w:tr>
      <w:tr w:rsidR="002F0748" w14:paraId="57F78F1A" w14:textId="77777777">
        <w:tblPrEx>
          <w:tblCellMar>
            <w:top w:w="0" w:type="dxa"/>
            <w:bottom w:w="0" w:type="dxa"/>
          </w:tblCellMar>
        </w:tblPrEx>
        <w:tc>
          <w:tcPr>
            <w:tcW w:w="7200" w:type="dxa"/>
            <w:shd w:val="clear" w:color="auto" w:fill="F2F2F2"/>
            <w:tcMar>
              <w:top w:w="80" w:type="dxa"/>
              <w:left w:w="120" w:type="dxa"/>
              <w:bottom w:w="80" w:type="dxa"/>
              <w:right w:w="120" w:type="dxa"/>
            </w:tcMar>
            <w:vAlign w:val="center"/>
          </w:tcPr>
          <w:p w14:paraId="4C18E639" w14:textId="77777777" w:rsidR="002F0748" w:rsidRDefault="00B00402">
            <w:r>
              <w:rPr>
                <w:color w:val="FFFFFF"/>
              </w:rPr>
              <w:t>Swarm-scale demonstration</w:t>
            </w:r>
          </w:p>
        </w:tc>
        <w:tc>
          <w:tcPr>
            <w:tcW w:w="3060" w:type="dxa"/>
            <w:shd w:val="clear" w:color="auto" w:fill="F2F2F2"/>
            <w:tcMar>
              <w:top w:w="80" w:type="dxa"/>
              <w:left w:w="120" w:type="dxa"/>
              <w:bottom w:w="80" w:type="dxa"/>
              <w:right w:w="120" w:type="dxa"/>
            </w:tcMar>
            <w:vAlign w:val="center"/>
          </w:tcPr>
          <w:p w14:paraId="7244E44F" w14:textId="77777777" w:rsidR="002F0748" w:rsidRDefault="00B00402">
            <w:r>
              <w:rPr>
                <w:color w:val="FFFFFF"/>
              </w:rPr>
              <w:t>1,000 nodes, verified convergence, textured and uniform backgrounds</w:t>
            </w:r>
          </w:p>
        </w:tc>
      </w:tr>
    </w:tbl>
    <w:p w14:paraId="4F39C192" w14:textId="77777777" w:rsidR="002F0748" w:rsidRDefault="00B00402">
      <w:pPr>
        <w:pStyle w:val="Heading1"/>
      </w:pPr>
      <w:r>
        <w:t>2. System Architecture</w:t>
      </w:r>
    </w:p>
    <w:p w14:paraId="75C3D1CE" w14:textId="77777777" w:rsidR="002F0748" w:rsidRDefault="00B00402">
      <w:pPr>
        <w:pStyle w:val="Heading2"/>
      </w:pPr>
      <w:r>
        <w:t>2.1 Node Design</w:t>
      </w:r>
    </w:p>
    <w:p w14:paraId="7454CEE2" w14:textId="77777777" w:rsidR="002F0748" w:rsidRDefault="00B00402">
      <w:pPr>
        <w:spacing w:after="160"/>
      </w:pPr>
      <w:r>
        <w:t xml:space="preserve">Each </w:t>
      </w:r>
      <w:proofErr w:type="spellStart"/>
      <w:r>
        <w:t>ChromaSkin</w:t>
      </w:r>
      <w:proofErr w:type="spellEnd"/>
      <w:r>
        <w:t xml:space="preserve"> node is a core-shell-buffer sphere:</w:t>
      </w:r>
    </w:p>
    <w:p w14:paraId="7491A876" w14:textId="77777777" w:rsidR="002F0748" w:rsidRDefault="00B00402">
      <w:pPr>
        <w:pStyle w:val="ListParagraph"/>
        <w:numPr>
          <w:ilvl w:val="0"/>
          <w:numId w:val="1"/>
        </w:numPr>
        <w:spacing w:after="80"/>
      </w:pPr>
      <w:r>
        <w:t>Core: fluid-filled interior, refractive index n = 1.33 (water / water-glycerin mixture), providing pressure-actuation and a passive thermal heat sink.</w:t>
      </w:r>
    </w:p>
    <w:p w14:paraId="12F8BA85" w14:textId="77777777" w:rsidR="002F0748" w:rsidRDefault="00B00402">
      <w:pPr>
        <w:pStyle w:val="ListParagraph"/>
        <w:numPr>
          <w:ilvl w:val="0"/>
          <w:numId w:val="1"/>
        </w:numPr>
        <w:spacing w:after="80"/>
      </w:pPr>
      <w:r>
        <w:t>Graded buffer layer: 300 nm optical transition layer, refractive index n = 1.41 (silicone oil), positioned between core and shell to minimize Fresnel reflection at the index boundary.</w:t>
      </w:r>
    </w:p>
    <w:p w14:paraId="6B183956" w14:textId="77777777" w:rsidR="002F0748" w:rsidRDefault="00B00402">
      <w:pPr>
        <w:pStyle w:val="ListParagraph"/>
        <w:numPr>
          <w:ilvl w:val="0"/>
          <w:numId w:val="1"/>
        </w:numPr>
        <w:spacing w:after="80"/>
      </w:pPr>
      <w:r>
        <w:t>Shell: 1.0 mm thick TPU/TPR structural wall, refractive index n = 1.50, providing pressure containment and elastic compliance.</w:t>
      </w:r>
    </w:p>
    <w:p w14:paraId="1B5C7ADA" w14:textId="77777777" w:rsidR="002F0748" w:rsidRDefault="00B00402">
      <w:pPr>
        <w:pStyle w:val="Heading2"/>
      </w:pPr>
      <w:r>
        <w:t>2.2 Peer-to-Peer Swarm Intelligence</w:t>
      </w:r>
    </w:p>
    <w:p w14:paraId="45E1B22B" w14:textId="77777777" w:rsidR="002F0748" w:rsidRDefault="00B00402">
      <w:pPr>
        <w:spacing w:after="160"/>
      </w:pPr>
      <w:proofErr w:type="spellStart"/>
      <w:r>
        <w:t>ChromaSkin</w:t>
      </w:r>
      <w:proofErr w:type="spellEnd"/>
      <w:r>
        <w:t xml:space="preserve"> nodes operate without a central controller. Each node executes a simple, reactive local loop:</w:t>
      </w:r>
    </w:p>
    <w:p w14:paraId="7E7D0591" w14:textId="77777777" w:rsidR="002F0748" w:rsidRDefault="00B00402">
      <w:pPr>
        <w:pStyle w:val="ListParagraph"/>
        <w:numPr>
          <w:ilvl w:val="0"/>
          <w:numId w:val="1"/>
        </w:numPr>
        <w:spacing w:after="80"/>
      </w:pPr>
      <w:r>
        <w:t>Sense: detect the local optical environment (color, intensity, pattern) and physical contact geometry.</w:t>
      </w:r>
    </w:p>
    <w:p w14:paraId="1D4B85BD" w14:textId="77777777" w:rsidR="002F0748" w:rsidRDefault="00B00402">
      <w:pPr>
        <w:pStyle w:val="ListParagraph"/>
        <w:numPr>
          <w:ilvl w:val="0"/>
          <w:numId w:val="1"/>
        </w:numPr>
        <w:spacing w:after="80"/>
      </w:pPr>
      <w:r>
        <w:t>Handshake: query immediate physical neighbors for their current optical and thermal state.</w:t>
      </w:r>
    </w:p>
    <w:p w14:paraId="75565316" w14:textId="77777777" w:rsidR="002F0748" w:rsidRDefault="00B00402">
      <w:pPr>
        <w:pStyle w:val="ListParagraph"/>
        <w:numPr>
          <w:ilvl w:val="0"/>
          <w:numId w:val="1"/>
        </w:numPr>
        <w:spacing w:after="80"/>
      </w:pPr>
      <w:r>
        <w:t>Compute (Compulsion Logic): adjust internal fluid pressure and optical state to minimize the delta between the node's own sensed state and its neighbors' state.</w:t>
      </w:r>
    </w:p>
    <w:p w14:paraId="0BBE7260" w14:textId="77777777" w:rsidR="002F0748" w:rsidRDefault="00B00402">
      <w:pPr>
        <w:pStyle w:val="ListParagraph"/>
        <w:numPr>
          <w:ilvl w:val="0"/>
          <w:numId w:val="1"/>
        </w:numPr>
        <w:spacing w:after="80"/>
      </w:pPr>
      <w:r>
        <w:t>Confirm: handshake terminates once refractive index / reflectance match reaches the convergence threshold.</w:t>
      </w:r>
    </w:p>
    <w:p w14:paraId="24367843" w14:textId="77777777" w:rsidR="002F0748" w:rsidRDefault="00B00402">
      <w:pPr>
        <w:spacing w:after="160"/>
      </w:pPr>
      <w:r>
        <w:t>This design was deliberately chosen over a centrally-controlled architecture to eliminate single points of failure, minimize communication overhead, and allow the camouflage effect to propagate across a surface asynchronously — nodes do not wait for the full swarm to report before updating.</w:t>
      </w:r>
    </w:p>
    <w:p w14:paraId="58B05C55" w14:textId="77777777" w:rsidR="002F0748" w:rsidRDefault="00B00402">
      <w:pPr>
        <w:pStyle w:val="Heading2"/>
      </w:pPr>
      <w:r>
        <w:t>2.3 Compulsion-to-Minimize-Delta Behavioral Rule</w:t>
      </w:r>
    </w:p>
    <w:p w14:paraId="00D3195A" w14:textId="77777777" w:rsidR="002F0748" w:rsidRDefault="00B00402">
      <w:pPr>
        <w:spacing w:after="160"/>
      </w:pPr>
      <w:r>
        <w:t>The camouflage effect is an emergent property of a single governing rule applied at every node: minimize the difference between the node's own physical/optical state and that of its immediate neighbors. Where a node is in physical contact with a textured surface, its pressure-actuation locks to that geometry; where it is in an optical field, its refractive output locks to neighboring light-transmittance data. Because every node in the swarm follows this rule independently and simultaneously, the aggregate s</w:t>
      </w:r>
      <w:r>
        <w:t>urface converges toward visual continuity with its environment without requiring a global map or controller.</w:t>
      </w:r>
    </w:p>
    <w:p w14:paraId="3D803776" w14:textId="77777777" w:rsidR="002F0748" w:rsidRDefault="00B00402">
      <w:pPr>
        <w:pStyle w:val="Heading1"/>
      </w:pPr>
      <w:r>
        <w:t>3. Optical Design &amp; Validation</w:t>
      </w:r>
    </w:p>
    <w:p w14:paraId="7ADC7252" w14:textId="77777777" w:rsidR="002F0748" w:rsidRDefault="00B00402">
      <w:pPr>
        <w:pStyle w:val="Heading2"/>
      </w:pPr>
      <w:r>
        <w:t>3.1 Design Principle</w:t>
      </w:r>
    </w:p>
    <w:p w14:paraId="761AB1E4" w14:textId="77777777" w:rsidR="002F0748" w:rsidRDefault="00B00402">
      <w:pPr>
        <w:spacing w:after="160"/>
      </w:pPr>
      <w:r>
        <w:t>A single abrupt interface between the fluid core (n = 1.33) and the TPU shell (n = 1.50) produces significant Fresnel reflectance, creating a visible optical “seam” at each node boundary. Introducing a graded buffer layer whose refractive index is the geometric mean of its neighbors (√(1.33 × 1.50) ≈ 1.41) reduces the per-interface index step and suppresses back-reflection.</w:t>
      </w:r>
    </w:p>
    <w:p w14:paraId="79276CA3" w14:textId="77777777" w:rsidR="002F0748" w:rsidRDefault="00B00402">
      <w:pPr>
        <w:pStyle w:val="Heading2"/>
      </w:pPr>
      <w:r>
        <w:t>3.2 Refractive Index Stack</w:t>
      </w:r>
    </w:p>
    <w:tbl>
      <w:tblPr>
        <w:tblW w:w="102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600"/>
        <w:gridCol w:w="3060"/>
      </w:tblGrid>
      <w:tr w:rsidR="002F0748" w14:paraId="31EE3F1B" w14:textId="77777777">
        <w:tblPrEx>
          <w:tblCellMar>
            <w:top w:w="0" w:type="dxa"/>
            <w:bottom w:w="0" w:type="dxa"/>
          </w:tblCellMar>
        </w:tblPrEx>
        <w:trPr>
          <w:tblHeader/>
        </w:trPr>
        <w:tc>
          <w:tcPr>
            <w:tcW w:w="3600" w:type="dxa"/>
            <w:shd w:val="clear" w:color="auto" w:fill="1B2A4A"/>
            <w:tcMar>
              <w:top w:w="80" w:type="dxa"/>
              <w:left w:w="120" w:type="dxa"/>
              <w:bottom w:w="80" w:type="dxa"/>
              <w:right w:w="120" w:type="dxa"/>
            </w:tcMar>
            <w:vAlign w:val="center"/>
          </w:tcPr>
          <w:p w14:paraId="787FB04F" w14:textId="77777777" w:rsidR="002F0748" w:rsidRDefault="00B00402">
            <w:r>
              <w:rPr>
                <w:b/>
                <w:bCs/>
                <w:color w:val="FFFFFF"/>
              </w:rPr>
              <w:t>Layer</w:t>
            </w:r>
          </w:p>
        </w:tc>
        <w:tc>
          <w:tcPr>
            <w:tcW w:w="3600" w:type="dxa"/>
            <w:shd w:val="clear" w:color="auto" w:fill="1B2A4A"/>
            <w:tcMar>
              <w:top w:w="80" w:type="dxa"/>
              <w:left w:w="120" w:type="dxa"/>
              <w:bottom w:w="80" w:type="dxa"/>
              <w:right w:w="120" w:type="dxa"/>
            </w:tcMar>
            <w:vAlign w:val="center"/>
          </w:tcPr>
          <w:p w14:paraId="559BB3B8" w14:textId="77777777" w:rsidR="002F0748" w:rsidRDefault="00B00402">
            <w:r>
              <w:rPr>
                <w:b/>
                <w:bCs/>
                <w:color w:val="FFFFFF"/>
              </w:rPr>
              <w:t>Material</w:t>
            </w:r>
          </w:p>
        </w:tc>
        <w:tc>
          <w:tcPr>
            <w:tcW w:w="3060" w:type="dxa"/>
            <w:shd w:val="clear" w:color="auto" w:fill="1B2A4A"/>
            <w:tcMar>
              <w:top w:w="80" w:type="dxa"/>
              <w:left w:w="120" w:type="dxa"/>
              <w:bottom w:w="80" w:type="dxa"/>
              <w:right w:w="120" w:type="dxa"/>
            </w:tcMar>
            <w:vAlign w:val="center"/>
          </w:tcPr>
          <w:p w14:paraId="514A7EC5" w14:textId="77777777" w:rsidR="002F0748" w:rsidRDefault="00B00402">
            <w:r>
              <w:rPr>
                <w:b/>
                <w:bCs/>
                <w:color w:val="FFFFFF"/>
              </w:rPr>
              <w:t>Refractive Index</w:t>
            </w:r>
          </w:p>
        </w:tc>
      </w:tr>
      <w:tr w:rsidR="002F0748" w14:paraId="374E402C" w14:textId="77777777">
        <w:tblPrEx>
          <w:tblCellMar>
            <w:top w:w="0" w:type="dxa"/>
            <w:bottom w:w="0" w:type="dxa"/>
          </w:tblCellMar>
        </w:tblPrEx>
        <w:tc>
          <w:tcPr>
            <w:tcW w:w="3600" w:type="dxa"/>
            <w:tcMar>
              <w:top w:w="80" w:type="dxa"/>
              <w:left w:w="120" w:type="dxa"/>
              <w:bottom w:w="80" w:type="dxa"/>
              <w:right w:w="120" w:type="dxa"/>
            </w:tcMar>
            <w:vAlign w:val="center"/>
          </w:tcPr>
          <w:p w14:paraId="1BF7CC19" w14:textId="77777777" w:rsidR="002F0748" w:rsidRDefault="00B00402">
            <w:r>
              <w:t>Core</w:t>
            </w:r>
          </w:p>
        </w:tc>
        <w:tc>
          <w:tcPr>
            <w:tcW w:w="3600" w:type="dxa"/>
            <w:tcMar>
              <w:top w:w="80" w:type="dxa"/>
              <w:left w:w="120" w:type="dxa"/>
              <w:bottom w:w="80" w:type="dxa"/>
              <w:right w:w="120" w:type="dxa"/>
            </w:tcMar>
            <w:vAlign w:val="center"/>
          </w:tcPr>
          <w:p w14:paraId="0C5D9408" w14:textId="77777777" w:rsidR="002F0748" w:rsidRDefault="00B00402">
            <w:r>
              <w:t>Water / water-glycerin</w:t>
            </w:r>
          </w:p>
        </w:tc>
        <w:tc>
          <w:tcPr>
            <w:tcW w:w="3060" w:type="dxa"/>
            <w:tcMar>
              <w:top w:w="80" w:type="dxa"/>
              <w:left w:w="120" w:type="dxa"/>
              <w:bottom w:w="80" w:type="dxa"/>
              <w:right w:w="120" w:type="dxa"/>
            </w:tcMar>
            <w:vAlign w:val="center"/>
          </w:tcPr>
          <w:p w14:paraId="7D04AC2D" w14:textId="77777777" w:rsidR="002F0748" w:rsidRDefault="00B00402">
            <w:r>
              <w:t>1.33</w:t>
            </w:r>
          </w:p>
        </w:tc>
      </w:tr>
      <w:tr w:rsidR="002F0748" w14:paraId="01FFEF7D" w14:textId="77777777">
        <w:tblPrEx>
          <w:tblCellMar>
            <w:top w:w="0" w:type="dxa"/>
            <w:bottom w:w="0" w:type="dxa"/>
          </w:tblCellMar>
        </w:tblPrEx>
        <w:tc>
          <w:tcPr>
            <w:tcW w:w="3600" w:type="dxa"/>
            <w:shd w:val="clear" w:color="auto" w:fill="F2F2F2"/>
            <w:tcMar>
              <w:top w:w="80" w:type="dxa"/>
              <w:left w:w="120" w:type="dxa"/>
              <w:bottom w:w="80" w:type="dxa"/>
              <w:right w:w="120" w:type="dxa"/>
            </w:tcMar>
            <w:vAlign w:val="center"/>
          </w:tcPr>
          <w:p w14:paraId="50009B32" w14:textId="77777777" w:rsidR="002F0748" w:rsidRDefault="00B00402">
            <w:r>
              <w:rPr>
                <w:color w:val="FFFFFF"/>
              </w:rPr>
              <w:t>Buffer</w:t>
            </w:r>
          </w:p>
        </w:tc>
        <w:tc>
          <w:tcPr>
            <w:tcW w:w="3600" w:type="dxa"/>
            <w:shd w:val="clear" w:color="auto" w:fill="F2F2F2"/>
            <w:tcMar>
              <w:top w:w="80" w:type="dxa"/>
              <w:left w:w="120" w:type="dxa"/>
              <w:bottom w:w="80" w:type="dxa"/>
              <w:right w:w="120" w:type="dxa"/>
            </w:tcMar>
            <w:vAlign w:val="center"/>
          </w:tcPr>
          <w:p w14:paraId="424EA461" w14:textId="77777777" w:rsidR="002F0748" w:rsidRDefault="00B00402">
            <w:r>
              <w:rPr>
                <w:color w:val="FFFFFF"/>
              </w:rPr>
              <w:t>Silicone oil, 300 nm</w:t>
            </w:r>
          </w:p>
        </w:tc>
        <w:tc>
          <w:tcPr>
            <w:tcW w:w="3060" w:type="dxa"/>
            <w:shd w:val="clear" w:color="auto" w:fill="F2F2F2"/>
            <w:tcMar>
              <w:top w:w="80" w:type="dxa"/>
              <w:left w:w="120" w:type="dxa"/>
              <w:bottom w:w="80" w:type="dxa"/>
              <w:right w:w="120" w:type="dxa"/>
            </w:tcMar>
            <w:vAlign w:val="center"/>
          </w:tcPr>
          <w:p w14:paraId="5E05078F" w14:textId="77777777" w:rsidR="002F0748" w:rsidRDefault="00B00402">
            <w:r>
              <w:rPr>
                <w:color w:val="FFFFFF"/>
              </w:rPr>
              <w:t>1.41 (geometric mean)</w:t>
            </w:r>
          </w:p>
        </w:tc>
      </w:tr>
      <w:tr w:rsidR="002F0748" w14:paraId="4C535A3C" w14:textId="77777777">
        <w:tblPrEx>
          <w:tblCellMar>
            <w:top w:w="0" w:type="dxa"/>
            <w:bottom w:w="0" w:type="dxa"/>
          </w:tblCellMar>
        </w:tblPrEx>
        <w:tc>
          <w:tcPr>
            <w:tcW w:w="3600" w:type="dxa"/>
            <w:tcMar>
              <w:top w:w="80" w:type="dxa"/>
              <w:left w:w="120" w:type="dxa"/>
              <w:bottom w:w="80" w:type="dxa"/>
              <w:right w:w="120" w:type="dxa"/>
            </w:tcMar>
            <w:vAlign w:val="center"/>
          </w:tcPr>
          <w:p w14:paraId="52934F86" w14:textId="77777777" w:rsidR="002F0748" w:rsidRDefault="00B00402">
            <w:r>
              <w:t>Shell</w:t>
            </w:r>
          </w:p>
        </w:tc>
        <w:tc>
          <w:tcPr>
            <w:tcW w:w="3600" w:type="dxa"/>
            <w:tcMar>
              <w:top w:w="80" w:type="dxa"/>
              <w:left w:w="120" w:type="dxa"/>
              <w:bottom w:w="80" w:type="dxa"/>
              <w:right w:w="120" w:type="dxa"/>
            </w:tcMar>
            <w:vAlign w:val="center"/>
          </w:tcPr>
          <w:p w14:paraId="785E9B99" w14:textId="77777777" w:rsidR="002F0748" w:rsidRDefault="00B00402">
            <w:r>
              <w:t>TPU</w:t>
            </w:r>
          </w:p>
        </w:tc>
        <w:tc>
          <w:tcPr>
            <w:tcW w:w="3060" w:type="dxa"/>
            <w:tcMar>
              <w:top w:w="80" w:type="dxa"/>
              <w:left w:w="120" w:type="dxa"/>
              <w:bottom w:w="80" w:type="dxa"/>
              <w:right w:w="120" w:type="dxa"/>
            </w:tcMar>
            <w:vAlign w:val="center"/>
          </w:tcPr>
          <w:p w14:paraId="60843E35" w14:textId="77777777" w:rsidR="002F0748" w:rsidRDefault="00B00402">
            <w:r>
              <w:t>1.50</w:t>
            </w:r>
          </w:p>
        </w:tc>
      </w:tr>
    </w:tbl>
    <w:p w14:paraId="34B9879D" w14:textId="77777777" w:rsidR="002F0748" w:rsidRDefault="00B00402">
      <w:pPr>
        <w:pStyle w:val="Heading2"/>
      </w:pPr>
      <w:r>
        <w:t>3.3 Validation Results (Transfer-Matrix Method)</w:t>
      </w:r>
    </w:p>
    <w:p w14:paraId="4C946761" w14:textId="77777777" w:rsidR="002F0748" w:rsidRDefault="00B00402">
      <w:pPr>
        <w:spacing w:after="160"/>
      </w:pPr>
      <w:r>
        <w:t>Reflectance was computed using a lossless, real-index transfer-matrix model across the visible spectrum (400–700 nm), at normal incidence, s-polarization, probe wavelength 550 nm, buffer thickness 300 nm.</w:t>
      </w:r>
    </w:p>
    <w:tbl>
      <w:tblPr>
        <w:tblW w:w="102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3060"/>
        <w:gridCol w:w="2400"/>
      </w:tblGrid>
      <w:tr w:rsidR="002F0748" w14:paraId="3B37E64E" w14:textId="77777777">
        <w:tblPrEx>
          <w:tblCellMar>
            <w:top w:w="0" w:type="dxa"/>
            <w:bottom w:w="0" w:type="dxa"/>
          </w:tblCellMar>
        </w:tblPrEx>
        <w:trPr>
          <w:tblHeader/>
        </w:trPr>
        <w:tc>
          <w:tcPr>
            <w:tcW w:w="4800" w:type="dxa"/>
            <w:shd w:val="clear" w:color="auto" w:fill="1B2A4A"/>
            <w:tcMar>
              <w:top w:w="80" w:type="dxa"/>
              <w:left w:w="120" w:type="dxa"/>
              <w:bottom w:w="80" w:type="dxa"/>
              <w:right w:w="120" w:type="dxa"/>
            </w:tcMar>
            <w:vAlign w:val="center"/>
          </w:tcPr>
          <w:p w14:paraId="744EC9CE" w14:textId="77777777" w:rsidR="002F0748" w:rsidRDefault="00B00402">
            <w:r>
              <w:rPr>
                <w:b/>
                <w:bCs/>
                <w:color w:val="FFFFFF"/>
              </w:rPr>
              <w:t>Configuration</w:t>
            </w:r>
          </w:p>
        </w:tc>
        <w:tc>
          <w:tcPr>
            <w:tcW w:w="3060" w:type="dxa"/>
            <w:shd w:val="clear" w:color="auto" w:fill="1B2A4A"/>
            <w:tcMar>
              <w:top w:w="80" w:type="dxa"/>
              <w:left w:w="120" w:type="dxa"/>
              <w:bottom w:w="80" w:type="dxa"/>
              <w:right w:w="120" w:type="dxa"/>
            </w:tcMar>
            <w:vAlign w:val="center"/>
          </w:tcPr>
          <w:p w14:paraId="0DA0CE50" w14:textId="77777777" w:rsidR="002F0748" w:rsidRDefault="00B00402">
            <w:r>
              <w:rPr>
                <w:b/>
                <w:bCs/>
                <w:color w:val="FFFFFF"/>
              </w:rPr>
              <w:t>Reflectance</w:t>
            </w:r>
          </w:p>
        </w:tc>
        <w:tc>
          <w:tcPr>
            <w:tcW w:w="2400" w:type="dxa"/>
            <w:shd w:val="clear" w:color="auto" w:fill="1B2A4A"/>
            <w:tcMar>
              <w:top w:w="80" w:type="dxa"/>
              <w:left w:w="120" w:type="dxa"/>
              <w:bottom w:w="80" w:type="dxa"/>
              <w:right w:w="120" w:type="dxa"/>
            </w:tcMar>
            <w:vAlign w:val="center"/>
          </w:tcPr>
          <w:p w14:paraId="6D178AE2" w14:textId="77777777" w:rsidR="002F0748" w:rsidRDefault="00B00402">
            <w:r>
              <w:rPr>
                <w:b/>
                <w:bCs/>
                <w:color w:val="FFFFFF"/>
              </w:rPr>
              <w:t>Transmittance</w:t>
            </w:r>
          </w:p>
        </w:tc>
      </w:tr>
      <w:tr w:rsidR="002F0748" w14:paraId="05E8036A" w14:textId="77777777">
        <w:tblPrEx>
          <w:tblCellMar>
            <w:top w:w="0" w:type="dxa"/>
            <w:bottom w:w="0" w:type="dxa"/>
          </w:tblCellMar>
        </w:tblPrEx>
        <w:tc>
          <w:tcPr>
            <w:tcW w:w="4800" w:type="dxa"/>
            <w:tcMar>
              <w:top w:w="80" w:type="dxa"/>
              <w:left w:w="120" w:type="dxa"/>
              <w:bottom w:w="80" w:type="dxa"/>
              <w:right w:w="120" w:type="dxa"/>
            </w:tcMar>
            <w:vAlign w:val="center"/>
          </w:tcPr>
          <w:p w14:paraId="6A8B0EE2" w14:textId="77777777" w:rsidR="002F0748" w:rsidRDefault="00B00402">
            <w:r>
              <w:t>Abrupt interface (no buffer)</w:t>
            </w:r>
          </w:p>
        </w:tc>
        <w:tc>
          <w:tcPr>
            <w:tcW w:w="3060" w:type="dxa"/>
            <w:tcMar>
              <w:top w:w="80" w:type="dxa"/>
              <w:left w:w="120" w:type="dxa"/>
              <w:bottom w:w="80" w:type="dxa"/>
              <w:right w:w="120" w:type="dxa"/>
            </w:tcMar>
            <w:vAlign w:val="center"/>
          </w:tcPr>
          <w:p w14:paraId="73C6D80E" w14:textId="77777777" w:rsidR="002F0748" w:rsidRDefault="00B00402">
            <w:r>
              <w:t>0.36%</w:t>
            </w:r>
          </w:p>
        </w:tc>
        <w:tc>
          <w:tcPr>
            <w:tcW w:w="2400" w:type="dxa"/>
            <w:tcMar>
              <w:top w:w="80" w:type="dxa"/>
              <w:left w:w="120" w:type="dxa"/>
              <w:bottom w:w="80" w:type="dxa"/>
              <w:right w:w="120" w:type="dxa"/>
            </w:tcMar>
            <w:vAlign w:val="center"/>
          </w:tcPr>
          <w:p w14:paraId="2E5B76C4" w14:textId="77777777" w:rsidR="002F0748" w:rsidRDefault="00B00402">
            <w:r>
              <w:t>99.64%</w:t>
            </w:r>
          </w:p>
        </w:tc>
      </w:tr>
      <w:tr w:rsidR="002F0748" w14:paraId="7A582100" w14:textId="77777777">
        <w:tblPrEx>
          <w:tblCellMar>
            <w:top w:w="0" w:type="dxa"/>
            <w:bottom w:w="0" w:type="dxa"/>
          </w:tblCellMar>
        </w:tblPrEx>
        <w:tc>
          <w:tcPr>
            <w:tcW w:w="4800" w:type="dxa"/>
            <w:shd w:val="clear" w:color="auto" w:fill="F2F2F2"/>
            <w:tcMar>
              <w:top w:w="80" w:type="dxa"/>
              <w:left w:w="120" w:type="dxa"/>
              <w:bottom w:w="80" w:type="dxa"/>
              <w:right w:w="120" w:type="dxa"/>
            </w:tcMar>
            <w:vAlign w:val="center"/>
          </w:tcPr>
          <w:p w14:paraId="30D7B48D" w14:textId="77777777" w:rsidR="002F0748" w:rsidRDefault="00B00402">
            <w:r>
              <w:rPr>
                <w:color w:val="FFFFFF"/>
              </w:rPr>
              <w:t>Graded buffer (300 nm, n = 1.41)</w:t>
            </w:r>
          </w:p>
        </w:tc>
        <w:tc>
          <w:tcPr>
            <w:tcW w:w="3060" w:type="dxa"/>
            <w:shd w:val="clear" w:color="auto" w:fill="F2F2F2"/>
            <w:tcMar>
              <w:top w:w="80" w:type="dxa"/>
              <w:left w:w="120" w:type="dxa"/>
              <w:bottom w:w="80" w:type="dxa"/>
              <w:right w:w="120" w:type="dxa"/>
            </w:tcMar>
            <w:vAlign w:val="center"/>
          </w:tcPr>
          <w:p w14:paraId="5E366428" w14:textId="77777777" w:rsidR="002F0748" w:rsidRDefault="00B00402">
            <w:r>
              <w:rPr>
                <w:color w:val="FFFFFF"/>
              </w:rPr>
              <w:t>0.01%</w:t>
            </w:r>
          </w:p>
        </w:tc>
        <w:tc>
          <w:tcPr>
            <w:tcW w:w="2400" w:type="dxa"/>
            <w:shd w:val="clear" w:color="auto" w:fill="F2F2F2"/>
            <w:tcMar>
              <w:top w:w="80" w:type="dxa"/>
              <w:left w:w="120" w:type="dxa"/>
              <w:bottom w:w="80" w:type="dxa"/>
              <w:right w:w="120" w:type="dxa"/>
            </w:tcMar>
            <w:vAlign w:val="center"/>
          </w:tcPr>
          <w:p w14:paraId="67AD31B0" w14:textId="77777777" w:rsidR="002F0748" w:rsidRDefault="00B00402">
            <w:r>
              <w:rPr>
                <w:color w:val="FFFFFF"/>
              </w:rPr>
              <w:t>99.99%</w:t>
            </w:r>
          </w:p>
        </w:tc>
      </w:tr>
    </w:tbl>
    <w:p w14:paraId="21F6E4B4" w14:textId="77777777" w:rsidR="002F0748" w:rsidRDefault="002F0748">
      <w:pPr>
        <w:spacing w:before="160"/>
      </w:pPr>
    </w:p>
    <w:p w14:paraId="17B08FDB" w14:textId="77777777" w:rsidR="002F0748" w:rsidRDefault="00B00402">
      <w:pPr>
        <w:spacing w:after="80"/>
      </w:pPr>
      <w:r>
        <w:rPr>
          <w:b/>
          <w:bCs/>
        </w:rPr>
        <w:t xml:space="preserve">Reflectance reduction:  </w:t>
      </w:r>
      <w:r>
        <w:t>98.5%</w:t>
      </w:r>
    </w:p>
    <w:p w14:paraId="6B8B7C74" w14:textId="77777777" w:rsidR="002F0748" w:rsidRDefault="00B00402">
      <w:pPr>
        <w:spacing w:after="160"/>
      </w:pPr>
      <w:r>
        <w:rPr>
          <w:i/>
          <w:iCs/>
          <w:color w:val="5A5A5A"/>
          <w:sz w:val="20"/>
          <w:szCs w:val="20"/>
        </w:rPr>
        <w:t>Sensitivity sweeps confirm the effect is robust across buffer thickness (100–500 nm) and angle of incidence (0–58°, both s- and p-polarization), with reduction performance degrading gracefully away from the optimal quarter-wave condition rather than failing abruptly.</w:t>
      </w:r>
    </w:p>
    <w:p w14:paraId="61325B4F" w14:textId="77777777" w:rsidR="002F0748" w:rsidRDefault="00B00402">
      <w:pPr>
        <w:pStyle w:val="Heading1"/>
      </w:pPr>
      <w:r>
        <w:t>4. Mechanical Design &amp; Validation</w:t>
      </w:r>
    </w:p>
    <w:p w14:paraId="63E5D890" w14:textId="77777777" w:rsidR="002F0748" w:rsidRDefault="00B00402">
      <w:pPr>
        <w:pStyle w:val="Heading2"/>
      </w:pPr>
      <w:r>
        <w:t>4.1 Coupled Fluid-Shell Thermal Model</w:t>
      </w:r>
    </w:p>
    <w:p w14:paraId="03B1F79D" w14:textId="77777777" w:rsidR="002F0748" w:rsidRDefault="00B00402">
      <w:pPr>
        <w:spacing w:after="160"/>
      </w:pPr>
      <w:r>
        <w:t>Under thermal loading, the fluid core expands volumetrically. Because the TPU shell is elastically compliant — not rigid — the shell itself absorbs a substantial portion of this expansion by stretching, which relieves internal fluid pressure buildup. Modeling the shell as either fully rigid or as an independently constrained solid (ignoring the fluid coupling) each produce materially incorrect results; the validated model solves the coupled system in closed form.</w:t>
      </w:r>
    </w:p>
    <w:p w14:paraId="5D74F9B5" w14:textId="77777777" w:rsidR="002F0748" w:rsidRDefault="00B00402">
      <w:pPr>
        <w:pStyle w:val="Heading2"/>
      </w:pPr>
      <w:r>
        <w:t>4.2 Governing Equations</w:t>
      </w:r>
    </w:p>
    <w:p w14:paraId="6B9C6D04" w14:textId="77777777" w:rsidR="002F0748" w:rsidRDefault="00B00402">
      <w:pPr>
        <w:spacing w:after="160"/>
      </w:pPr>
      <w:r>
        <w:rPr>
          <w:b/>
          <w:bCs/>
        </w:rPr>
        <w:t>Shell strain under internal pressure P:</w:t>
      </w:r>
    </w:p>
    <w:p w14:paraId="6B0F319B" w14:textId="77777777" w:rsidR="002F0748" w:rsidRDefault="00B00402">
      <w:pPr>
        <w:spacing w:after="160"/>
      </w:pPr>
      <w:proofErr w:type="spellStart"/>
      <w:r>
        <w:t>ε_shell</w:t>
      </w:r>
      <w:proofErr w:type="spellEnd"/>
      <w:r>
        <w:t xml:space="preserve"> = P · r / (2 · t · </w:t>
      </w:r>
      <w:proofErr w:type="spellStart"/>
      <w:r>
        <w:t>E_shell</w:t>
      </w:r>
      <w:proofErr w:type="spellEnd"/>
      <w:r>
        <w:t>)</w:t>
      </w:r>
    </w:p>
    <w:p w14:paraId="40EEEA97" w14:textId="77777777" w:rsidR="002F0748" w:rsidRDefault="00B00402">
      <w:pPr>
        <w:spacing w:after="160"/>
      </w:pPr>
      <w:r>
        <w:rPr>
          <w:b/>
          <w:bCs/>
        </w:rPr>
        <w:t>Net volumetric strain (imposed thermal expansion f, relieved by shell stretch):</w:t>
      </w:r>
    </w:p>
    <w:p w14:paraId="28AA7042" w14:textId="77777777" w:rsidR="002F0748" w:rsidRDefault="00B00402">
      <w:pPr>
        <w:spacing w:after="160"/>
      </w:pPr>
      <w:proofErr w:type="spellStart"/>
      <w:r>
        <w:t>ε_net</w:t>
      </w:r>
      <w:proofErr w:type="spellEnd"/>
      <w:r>
        <w:t xml:space="preserve"> = f − 3 · </w:t>
      </w:r>
      <w:proofErr w:type="spellStart"/>
      <w:r>
        <w:t>ε_shell</w:t>
      </w:r>
      <w:proofErr w:type="spellEnd"/>
    </w:p>
    <w:p w14:paraId="2DA15FCE" w14:textId="77777777" w:rsidR="002F0748" w:rsidRDefault="00B00402">
      <w:pPr>
        <w:spacing w:after="160"/>
      </w:pPr>
      <w:r>
        <w:rPr>
          <w:b/>
          <w:bCs/>
        </w:rPr>
        <w:t>Fluid pressure from net compression (bulk modulus K):</w:t>
      </w:r>
    </w:p>
    <w:p w14:paraId="22E534C9" w14:textId="77777777" w:rsidR="002F0748" w:rsidRDefault="00B00402">
      <w:pPr>
        <w:spacing w:after="160"/>
      </w:pPr>
      <w:r>
        <w:t xml:space="preserve">P = K · </w:t>
      </w:r>
      <w:proofErr w:type="spellStart"/>
      <w:r>
        <w:t>ε_net</w:t>
      </w:r>
      <w:proofErr w:type="spellEnd"/>
    </w:p>
    <w:p w14:paraId="4E26B96B" w14:textId="77777777" w:rsidR="002F0748" w:rsidRDefault="00B00402">
      <w:pPr>
        <w:spacing w:after="160"/>
      </w:pPr>
      <w:r>
        <w:rPr>
          <w:b/>
          <w:bCs/>
        </w:rPr>
        <w:t>Hoop stress (thin spherical shell):</w:t>
      </w:r>
    </w:p>
    <w:p w14:paraId="3EA412C4" w14:textId="77777777" w:rsidR="002F0748" w:rsidRDefault="00B00402">
      <w:pPr>
        <w:spacing w:after="160"/>
      </w:pPr>
      <w:r>
        <w:t>σ = P · r / (2 · t)</w:t>
      </w:r>
    </w:p>
    <w:p w14:paraId="3770BB53" w14:textId="77777777" w:rsidR="002F0748" w:rsidRDefault="00B00402">
      <w:pPr>
        <w:spacing w:after="160"/>
      </w:pPr>
      <w:r>
        <w:t>This is a linear, closed-form system solved directly for P (no iterative solver required — an earlier fixed-point iteration approach was found to be numerically unstable and was replaced with the direct solution below).</w:t>
      </w:r>
    </w:p>
    <w:p w14:paraId="7ACF3BFC" w14:textId="77777777" w:rsidR="002F0748" w:rsidRDefault="00B00402">
      <w:pPr>
        <w:pStyle w:val="Heading2"/>
      </w:pPr>
      <w:r>
        <w:t>4.3 Model Inputs</w:t>
      </w:r>
    </w:p>
    <w:tbl>
      <w:tblPr>
        <w:tblW w:w="102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4860"/>
      </w:tblGrid>
      <w:tr w:rsidR="002F0748" w14:paraId="060650C0" w14:textId="77777777">
        <w:tblPrEx>
          <w:tblCellMar>
            <w:top w:w="0" w:type="dxa"/>
            <w:bottom w:w="0" w:type="dxa"/>
          </w:tblCellMar>
        </w:tblPrEx>
        <w:trPr>
          <w:tblHeader/>
        </w:trPr>
        <w:tc>
          <w:tcPr>
            <w:tcW w:w="5400" w:type="dxa"/>
            <w:shd w:val="clear" w:color="auto" w:fill="1B2A4A"/>
            <w:tcMar>
              <w:top w:w="80" w:type="dxa"/>
              <w:left w:w="120" w:type="dxa"/>
              <w:bottom w:w="80" w:type="dxa"/>
              <w:right w:w="120" w:type="dxa"/>
            </w:tcMar>
            <w:vAlign w:val="center"/>
          </w:tcPr>
          <w:p w14:paraId="7B3D34C5" w14:textId="77777777" w:rsidR="002F0748" w:rsidRDefault="00B00402">
            <w:r>
              <w:rPr>
                <w:b/>
                <w:bCs/>
                <w:color w:val="FFFFFF"/>
              </w:rPr>
              <w:t>Parameter</w:t>
            </w:r>
          </w:p>
        </w:tc>
        <w:tc>
          <w:tcPr>
            <w:tcW w:w="4860" w:type="dxa"/>
            <w:shd w:val="clear" w:color="auto" w:fill="1B2A4A"/>
            <w:tcMar>
              <w:top w:w="80" w:type="dxa"/>
              <w:left w:w="120" w:type="dxa"/>
              <w:bottom w:w="80" w:type="dxa"/>
              <w:right w:w="120" w:type="dxa"/>
            </w:tcMar>
            <w:vAlign w:val="center"/>
          </w:tcPr>
          <w:p w14:paraId="761E5DED" w14:textId="77777777" w:rsidR="002F0748" w:rsidRDefault="00B00402">
            <w:r>
              <w:rPr>
                <w:b/>
                <w:bCs/>
                <w:color w:val="FFFFFF"/>
              </w:rPr>
              <w:t>Value</w:t>
            </w:r>
          </w:p>
        </w:tc>
      </w:tr>
      <w:tr w:rsidR="002F0748" w14:paraId="3924B953" w14:textId="77777777">
        <w:tblPrEx>
          <w:tblCellMar>
            <w:top w:w="0" w:type="dxa"/>
            <w:bottom w:w="0" w:type="dxa"/>
          </w:tblCellMar>
        </w:tblPrEx>
        <w:tc>
          <w:tcPr>
            <w:tcW w:w="5400" w:type="dxa"/>
            <w:tcMar>
              <w:top w:w="80" w:type="dxa"/>
              <w:left w:w="120" w:type="dxa"/>
              <w:bottom w:w="80" w:type="dxa"/>
              <w:right w:w="120" w:type="dxa"/>
            </w:tcMar>
            <w:vAlign w:val="center"/>
          </w:tcPr>
          <w:p w14:paraId="3B548EC5" w14:textId="77777777" w:rsidR="002F0748" w:rsidRDefault="00B00402">
            <w:r>
              <w:t>Wall thickness (t)</w:t>
            </w:r>
          </w:p>
        </w:tc>
        <w:tc>
          <w:tcPr>
            <w:tcW w:w="4860" w:type="dxa"/>
            <w:tcMar>
              <w:top w:w="80" w:type="dxa"/>
              <w:left w:w="120" w:type="dxa"/>
              <w:bottom w:w="80" w:type="dxa"/>
              <w:right w:w="120" w:type="dxa"/>
            </w:tcMar>
            <w:vAlign w:val="center"/>
          </w:tcPr>
          <w:p w14:paraId="35F5FE2C" w14:textId="77777777" w:rsidR="002F0748" w:rsidRDefault="00B00402">
            <w:r>
              <w:t>1.0 mm</w:t>
            </w:r>
          </w:p>
        </w:tc>
      </w:tr>
      <w:tr w:rsidR="002F0748" w14:paraId="4C60EEC7" w14:textId="77777777">
        <w:tblPrEx>
          <w:tblCellMar>
            <w:top w:w="0" w:type="dxa"/>
            <w:bottom w:w="0" w:type="dxa"/>
          </w:tblCellMar>
        </w:tblPrEx>
        <w:tc>
          <w:tcPr>
            <w:tcW w:w="5400" w:type="dxa"/>
            <w:shd w:val="clear" w:color="auto" w:fill="F2F2F2"/>
            <w:tcMar>
              <w:top w:w="80" w:type="dxa"/>
              <w:left w:w="120" w:type="dxa"/>
              <w:bottom w:w="80" w:type="dxa"/>
              <w:right w:w="120" w:type="dxa"/>
            </w:tcMar>
            <w:vAlign w:val="center"/>
          </w:tcPr>
          <w:p w14:paraId="50E668BD" w14:textId="77777777" w:rsidR="002F0748" w:rsidRDefault="00B00402">
            <w:r>
              <w:rPr>
                <w:color w:val="FFFFFF"/>
              </w:rPr>
              <w:t>Sphere radius (r)</w:t>
            </w:r>
          </w:p>
        </w:tc>
        <w:tc>
          <w:tcPr>
            <w:tcW w:w="4860" w:type="dxa"/>
            <w:shd w:val="clear" w:color="auto" w:fill="F2F2F2"/>
            <w:tcMar>
              <w:top w:w="80" w:type="dxa"/>
              <w:left w:w="120" w:type="dxa"/>
              <w:bottom w:w="80" w:type="dxa"/>
              <w:right w:w="120" w:type="dxa"/>
            </w:tcMar>
            <w:vAlign w:val="center"/>
          </w:tcPr>
          <w:p w14:paraId="324CEE5B" w14:textId="77777777" w:rsidR="002F0748" w:rsidRDefault="00B00402">
            <w:r>
              <w:rPr>
                <w:color w:val="FFFFFF"/>
              </w:rPr>
              <w:t>25 mm</w:t>
            </w:r>
          </w:p>
        </w:tc>
      </w:tr>
      <w:tr w:rsidR="002F0748" w14:paraId="58026EF0" w14:textId="77777777">
        <w:tblPrEx>
          <w:tblCellMar>
            <w:top w:w="0" w:type="dxa"/>
            <w:bottom w:w="0" w:type="dxa"/>
          </w:tblCellMar>
        </w:tblPrEx>
        <w:tc>
          <w:tcPr>
            <w:tcW w:w="5400" w:type="dxa"/>
            <w:tcMar>
              <w:top w:w="80" w:type="dxa"/>
              <w:left w:w="120" w:type="dxa"/>
              <w:bottom w:w="80" w:type="dxa"/>
              <w:right w:w="120" w:type="dxa"/>
            </w:tcMar>
            <w:vAlign w:val="center"/>
          </w:tcPr>
          <w:p w14:paraId="3DB51A57" w14:textId="77777777" w:rsidR="002F0748" w:rsidRDefault="00B00402">
            <w:r>
              <w:t>Thermal expansion (max, f)</w:t>
            </w:r>
          </w:p>
        </w:tc>
        <w:tc>
          <w:tcPr>
            <w:tcW w:w="4860" w:type="dxa"/>
            <w:tcMar>
              <w:top w:w="80" w:type="dxa"/>
              <w:left w:w="120" w:type="dxa"/>
              <w:bottom w:w="80" w:type="dxa"/>
              <w:right w:w="120" w:type="dxa"/>
            </w:tcMar>
            <w:vAlign w:val="center"/>
          </w:tcPr>
          <w:p w14:paraId="67C05179" w14:textId="77777777" w:rsidR="002F0748" w:rsidRDefault="00B00402">
            <w:r>
              <w:t>10% (volumetric)</w:t>
            </w:r>
          </w:p>
        </w:tc>
      </w:tr>
      <w:tr w:rsidR="002F0748" w14:paraId="6EAE5849" w14:textId="77777777">
        <w:tblPrEx>
          <w:tblCellMar>
            <w:top w:w="0" w:type="dxa"/>
            <w:bottom w:w="0" w:type="dxa"/>
          </w:tblCellMar>
        </w:tblPrEx>
        <w:tc>
          <w:tcPr>
            <w:tcW w:w="5400" w:type="dxa"/>
            <w:shd w:val="clear" w:color="auto" w:fill="F2F2F2"/>
            <w:tcMar>
              <w:top w:w="80" w:type="dxa"/>
              <w:left w:w="120" w:type="dxa"/>
              <w:bottom w:w="80" w:type="dxa"/>
              <w:right w:w="120" w:type="dxa"/>
            </w:tcMar>
            <w:vAlign w:val="center"/>
          </w:tcPr>
          <w:p w14:paraId="7066E12D" w14:textId="77777777" w:rsidR="002F0748" w:rsidRDefault="00B00402">
            <w:r>
              <w:rPr>
                <w:color w:val="FFFFFF"/>
              </w:rPr>
              <w:t>TPU tensile strength</w:t>
            </w:r>
          </w:p>
        </w:tc>
        <w:tc>
          <w:tcPr>
            <w:tcW w:w="4860" w:type="dxa"/>
            <w:shd w:val="clear" w:color="auto" w:fill="F2F2F2"/>
            <w:tcMar>
              <w:top w:w="80" w:type="dxa"/>
              <w:left w:w="120" w:type="dxa"/>
              <w:bottom w:w="80" w:type="dxa"/>
              <w:right w:w="120" w:type="dxa"/>
            </w:tcMar>
            <w:vAlign w:val="center"/>
          </w:tcPr>
          <w:p w14:paraId="35D95C15" w14:textId="77777777" w:rsidR="002F0748" w:rsidRDefault="00B00402">
            <w:r>
              <w:rPr>
                <w:color w:val="FFFFFF"/>
              </w:rPr>
              <w:t>50 MPa</w:t>
            </w:r>
          </w:p>
        </w:tc>
      </w:tr>
      <w:tr w:rsidR="002F0748" w14:paraId="2B22E10A" w14:textId="77777777">
        <w:tblPrEx>
          <w:tblCellMar>
            <w:top w:w="0" w:type="dxa"/>
            <w:bottom w:w="0" w:type="dxa"/>
          </w:tblCellMar>
        </w:tblPrEx>
        <w:tc>
          <w:tcPr>
            <w:tcW w:w="5400" w:type="dxa"/>
            <w:tcMar>
              <w:top w:w="80" w:type="dxa"/>
              <w:left w:w="120" w:type="dxa"/>
              <w:bottom w:w="80" w:type="dxa"/>
              <w:right w:w="120" w:type="dxa"/>
            </w:tcMar>
            <w:vAlign w:val="center"/>
          </w:tcPr>
          <w:p w14:paraId="317DCD60" w14:textId="77777777" w:rsidR="002F0748" w:rsidRDefault="00B00402">
            <w:r>
              <w:t>TPU Young's modulus (</w:t>
            </w:r>
            <w:proofErr w:type="spellStart"/>
            <w:r>
              <w:t>E_shell</w:t>
            </w:r>
            <w:proofErr w:type="spellEnd"/>
            <w:r>
              <w:t>)</w:t>
            </w:r>
          </w:p>
        </w:tc>
        <w:tc>
          <w:tcPr>
            <w:tcW w:w="4860" w:type="dxa"/>
            <w:tcMar>
              <w:top w:w="80" w:type="dxa"/>
              <w:left w:w="120" w:type="dxa"/>
              <w:bottom w:w="80" w:type="dxa"/>
              <w:right w:w="120" w:type="dxa"/>
            </w:tcMar>
            <w:vAlign w:val="center"/>
          </w:tcPr>
          <w:p w14:paraId="423CA215" w14:textId="77777777" w:rsidR="002F0748" w:rsidRDefault="00B00402">
            <w:r>
              <w:t>20 MPa</w:t>
            </w:r>
          </w:p>
        </w:tc>
      </w:tr>
      <w:tr w:rsidR="002F0748" w14:paraId="12C4DF6D" w14:textId="77777777">
        <w:tblPrEx>
          <w:tblCellMar>
            <w:top w:w="0" w:type="dxa"/>
            <w:bottom w:w="0" w:type="dxa"/>
          </w:tblCellMar>
        </w:tblPrEx>
        <w:tc>
          <w:tcPr>
            <w:tcW w:w="5400" w:type="dxa"/>
            <w:shd w:val="clear" w:color="auto" w:fill="F2F2F2"/>
            <w:tcMar>
              <w:top w:w="80" w:type="dxa"/>
              <w:left w:w="120" w:type="dxa"/>
              <w:bottom w:w="80" w:type="dxa"/>
              <w:right w:w="120" w:type="dxa"/>
            </w:tcMar>
            <w:vAlign w:val="center"/>
          </w:tcPr>
          <w:p w14:paraId="741FF533" w14:textId="77777777" w:rsidR="002F0748" w:rsidRDefault="00B00402">
            <w:r>
              <w:rPr>
                <w:color w:val="FFFFFF"/>
              </w:rPr>
              <w:t>Fluid bulk modulus (K)</w:t>
            </w:r>
          </w:p>
        </w:tc>
        <w:tc>
          <w:tcPr>
            <w:tcW w:w="4860" w:type="dxa"/>
            <w:shd w:val="clear" w:color="auto" w:fill="F2F2F2"/>
            <w:tcMar>
              <w:top w:w="80" w:type="dxa"/>
              <w:left w:w="120" w:type="dxa"/>
              <w:bottom w:w="80" w:type="dxa"/>
              <w:right w:w="120" w:type="dxa"/>
            </w:tcMar>
            <w:vAlign w:val="center"/>
          </w:tcPr>
          <w:p w14:paraId="090EAB0E" w14:textId="77777777" w:rsidR="002F0748" w:rsidRDefault="00B00402">
            <w:r>
              <w:rPr>
                <w:color w:val="FFFFFF"/>
              </w:rPr>
              <w:t>2,200 MPa</w:t>
            </w:r>
          </w:p>
        </w:tc>
      </w:tr>
    </w:tbl>
    <w:p w14:paraId="25BC19F0" w14:textId="77777777" w:rsidR="002F0748" w:rsidRDefault="00B00402">
      <w:pPr>
        <w:pStyle w:val="Heading2"/>
      </w:pPr>
      <w:r>
        <w:t>4.4 Validation Results</w:t>
      </w:r>
    </w:p>
    <w:tbl>
      <w:tblPr>
        <w:tblW w:w="102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00"/>
        <w:gridCol w:w="3960"/>
      </w:tblGrid>
      <w:tr w:rsidR="002F0748" w14:paraId="3617457C" w14:textId="77777777">
        <w:tblPrEx>
          <w:tblCellMar>
            <w:top w:w="0" w:type="dxa"/>
            <w:bottom w:w="0" w:type="dxa"/>
          </w:tblCellMar>
        </w:tblPrEx>
        <w:trPr>
          <w:tblHeader/>
        </w:trPr>
        <w:tc>
          <w:tcPr>
            <w:tcW w:w="6300" w:type="dxa"/>
            <w:shd w:val="clear" w:color="auto" w:fill="1B2A4A"/>
            <w:tcMar>
              <w:top w:w="80" w:type="dxa"/>
              <w:left w:w="120" w:type="dxa"/>
              <w:bottom w:w="80" w:type="dxa"/>
              <w:right w:w="120" w:type="dxa"/>
            </w:tcMar>
            <w:vAlign w:val="center"/>
          </w:tcPr>
          <w:p w14:paraId="3C3BCEA6" w14:textId="77777777" w:rsidR="002F0748" w:rsidRDefault="00B00402">
            <w:r>
              <w:rPr>
                <w:b/>
                <w:bCs/>
                <w:color w:val="FFFFFF"/>
              </w:rPr>
              <w:t>Result</w:t>
            </w:r>
          </w:p>
        </w:tc>
        <w:tc>
          <w:tcPr>
            <w:tcW w:w="3960" w:type="dxa"/>
            <w:shd w:val="clear" w:color="auto" w:fill="1B2A4A"/>
            <w:tcMar>
              <w:top w:w="80" w:type="dxa"/>
              <w:left w:w="120" w:type="dxa"/>
              <w:bottom w:w="80" w:type="dxa"/>
              <w:right w:w="120" w:type="dxa"/>
            </w:tcMar>
            <w:vAlign w:val="center"/>
          </w:tcPr>
          <w:p w14:paraId="5D739490" w14:textId="77777777" w:rsidR="002F0748" w:rsidRDefault="00B00402">
            <w:r>
              <w:rPr>
                <w:b/>
                <w:bCs/>
                <w:color w:val="FFFFFF"/>
              </w:rPr>
              <w:t>Value</w:t>
            </w:r>
          </w:p>
        </w:tc>
      </w:tr>
      <w:tr w:rsidR="002F0748" w14:paraId="00DD82AE" w14:textId="77777777">
        <w:tblPrEx>
          <w:tblCellMar>
            <w:top w:w="0" w:type="dxa"/>
            <w:bottom w:w="0" w:type="dxa"/>
          </w:tblCellMar>
        </w:tblPrEx>
        <w:tc>
          <w:tcPr>
            <w:tcW w:w="6300" w:type="dxa"/>
            <w:tcMar>
              <w:top w:w="80" w:type="dxa"/>
              <w:left w:w="120" w:type="dxa"/>
              <w:bottom w:w="80" w:type="dxa"/>
              <w:right w:w="120" w:type="dxa"/>
            </w:tcMar>
            <w:vAlign w:val="center"/>
          </w:tcPr>
          <w:p w14:paraId="35D1727A" w14:textId="77777777" w:rsidR="002F0748" w:rsidRDefault="00B00402">
            <w:r>
              <w:t>Final internal pressure (at 10% thermal expansion)</w:t>
            </w:r>
          </w:p>
        </w:tc>
        <w:tc>
          <w:tcPr>
            <w:tcW w:w="3960" w:type="dxa"/>
            <w:tcMar>
              <w:top w:w="80" w:type="dxa"/>
              <w:left w:w="120" w:type="dxa"/>
              <w:bottom w:w="80" w:type="dxa"/>
              <w:right w:w="120" w:type="dxa"/>
            </w:tcMar>
            <w:vAlign w:val="center"/>
          </w:tcPr>
          <w:p w14:paraId="3F217049" w14:textId="77777777" w:rsidR="002F0748" w:rsidRDefault="00B00402">
            <w:r>
              <w:t>0.053 MPa</w:t>
            </w:r>
          </w:p>
        </w:tc>
      </w:tr>
      <w:tr w:rsidR="002F0748" w14:paraId="7A03515D" w14:textId="77777777">
        <w:tblPrEx>
          <w:tblCellMar>
            <w:top w:w="0" w:type="dxa"/>
            <w:bottom w:w="0" w:type="dxa"/>
          </w:tblCellMar>
        </w:tblPrEx>
        <w:tc>
          <w:tcPr>
            <w:tcW w:w="6300" w:type="dxa"/>
            <w:shd w:val="clear" w:color="auto" w:fill="F2F2F2"/>
            <w:tcMar>
              <w:top w:w="80" w:type="dxa"/>
              <w:left w:w="120" w:type="dxa"/>
              <w:bottom w:w="80" w:type="dxa"/>
              <w:right w:w="120" w:type="dxa"/>
            </w:tcMar>
            <w:vAlign w:val="center"/>
          </w:tcPr>
          <w:p w14:paraId="4CEAFEBD" w14:textId="77777777" w:rsidR="002F0748" w:rsidRDefault="00B00402">
            <w:r>
              <w:rPr>
                <w:color w:val="FFFFFF"/>
              </w:rPr>
              <w:t>Maximum hoop stress</w:t>
            </w:r>
          </w:p>
        </w:tc>
        <w:tc>
          <w:tcPr>
            <w:tcW w:w="3960" w:type="dxa"/>
            <w:shd w:val="clear" w:color="auto" w:fill="F2F2F2"/>
            <w:tcMar>
              <w:top w:w="80" w:type="dxa"/>
              <w:left w:w="120" w:type="dxa"/>
              <w:bottom w:w="80" w:type="dxa"/>
              <w:right w:w="120" w:type="dxa"/>
            </w:tcMar>
            <w:vAlign w:val="center"/>
          </w:tcPr>
          <w:p w14:paraId="6E3B74F8" w14:textId="77777777" w:rsidR="002F0748" w:rsidRDefault="00B00402">
            <w:r>
              <w:rPr>
                <w:color w:val="FFFFFF"/>
              </w:rPr>
              <w:t>0.667 MPa</w:t>
            </w:r>
          </w:p>
        </w:tc>
      </w:tr>
      <w:tr w:rsidR="002F0748" w14:paraId="6D48DB57" w14:textId="77777777">
        <w:tblPrEx>
          <w:tblCellMar>
            <w:top w:w="0" w:type="dxa"/>
            <w:bottom w:w="0" w:type="dxa"/>
          </w:tblCellMar>
        </w:tblPrEx>
        <w:tc>
          <w:tcPr>
            <w:tcW w:w="6300" w:type="dxa"/>
            <w:tcMar>
              <w:top w:w="80" w:type="dxa"/>
              <w:left w:w="120" w:type="dxa"/>
              <w:bottom w:w="80" w:type="dxa"/>
              <w:right w:w="120" w:type="dxa"/>
            </w:tcMar>
            <w:vAlign w:val="center"/>
          </w:tcPr>
          <w:p w14:paraId="6C5565FA" w14:textId="77777777" w:rsidR="002F0748" w:rsidRDefault="00B00402">
            <w:r>
              <w:t>Shell strain at full load</w:t>
            </w:r>
          </w:p>
        </w:tc>
        <w:tc>
          <w:tcPr>
            <w:tcW w:w="3960" w:type="dxa"/>
            <w:tcMar>
              <w:top w:w="80" w:type="dxa"/>
              <w:left w:w="120" w:type="dxa"/>
              <w:bottom w:w="80" w:type="dxa"/>
              <w:right w:w="120" w:type="dxa"/>
            </w:tcMar>
            <w:vAlign w:val="center"/>
          </w:tcPr>
          <w:p w14:paraId="23361824" w14:textId="77777777" w:rsidR="002F0748" w:rsidRDefault="00B00402">
            <w:r>
              <w:t>3.333%</w:t>
            </w:r>
          </w:p>
        </w:tc>
      </w:tr>
      <w:tr w:rsidR="002F0748" w14:paraId="437F5B92" w14:textId="77777777">
        <w:tblPrEx>
          <w:tblCellMar>
            <w:top w:w="0" w:type="dxa"/>
            <w:bottom w:w="0" w:type="dxa"/>
          </w:tblCellMar>
        </w:tblPrEx>
        <w:tc>
          <w:tcPr>
            <w:tcW w:w="6300" w:type="dxa"/>
            <w:shd w:val="clear" w:color="auto" w:fill="F2F2F2"/>
            <w:tcMar>
              <w:top w:w="80" w:type="dxa"/>
              <w:left w:w="120" w:type="dxa"/>
              <w:bottom w:w="80" w:type="dxa"/>
              <w:right w:w="120" w:type="dxa"/>
            </w:tcMar>
            <w:vAlign w:val="center"/>
          </w:tcPr>
          <w:p w14:paraId="1F1396A3" w14:textId="77777777" w:rsidR="002F0748" w:rsidRDefault="00B00402">
            <w:r>
              <w:rPr>
                <w:color w:val="FFFFFF"/>
              </w:rPr>
              <w:t>Tensile strength (rupture threshold)</w:t>
            </w:r>
          </w:p>
        </w:tc>
        <w:tc>
          <w:tcPr>
            <w:tcW w:w="3960" w:type="dxa"/>
            <w:shd w:val="clear" w:color="auto" w:fill="F2F2F2"/>
            <w:tcMar>
              <w:top w:w="80" w:type="dxa"/>
              <w:left w:w="120" w:type="dxa"/>
              <w:bottom w:w="80" w:type="dxa"/>
              <w:right w:w="120" w:type="dxa"/>
            </w:tcMar>
            <w:vAlign w:val="center"/>
          </w:tcPr>
          <w:p w14:paraId="4D86B29F" w14:textId="77777777" w:rsidR="002F0748" w:rsidRDefault="00B00402">
            <w:r>
              <w:rPr>
                <w:color w:val="FFFFFF"/>
              </w:rPr>
              <w:t>50.000 MPa</w:t>
            </w:r>
          </w:p>
        </w:tc>
      </w:tr>
      <w:tr w:rsidR="002F0748" w14:paraId="3ED4DC5B" w14:textId="77777777">
        <w:tblPrEx>
          <w:tblCellMar>
            <w:top w:w="0" w:type="dxa"/>
            <w:bottom w:w="0" w:type="dxa"/>
          </w:tblCellMar>
        </w:tblPrEx>
        <w:tc>
          <w:tcPr>
            <w:tcW w:w="6300" w:type="dxa"/>
            <w:tcMar>
              <w:top w:w="80" w:type="dxa"/>
              <w:left w:w="120" w:type="dxa"/>
              <w:bottom w:w="80" w:type="dxa"/>
              <w:right w:w="120" w:type="dxa"/>
            </w:tcMar>
            <w:vAlign w:val="center"/>
          </w:tcPr>
          <w:p w14:paraId="07E8D9C4" w14:textId="77777777" w:rsidR="002F0748" w:rsidRDefault="00B00402">
            <w:r>
              <w:t>Safety margin</w:t>
            </w:r>
          </w:p>
        </w:tc>
        <w:tc>
          <w:tcPr>
            <w:tcW w:w="3960" w:type="dxa"/>
            <w:tcMar>
              <w:top w:w="80" w:type="dxa"/>
              <w:left w:w="120" w:type="dxa"/>
              <w:bottom w:w="80" w:type="dxa"/>
              <w:right w:w="120" w:type="dxa"/>
            </w:tcMar>
            <w:vAlign w:val="center"/>
          </w:tcPr>
          <w:p w14:paraId="0AF6F2FF" w14:textId="77777777" w:rsidR="002F0748" w:rsidRDefault="00B00402">
            <w:r>
              <w:t>75×</w:t>
            </w:r>
          </w:p>
        </w:tc>
      </w:tr>
    </w:tbl>
    <w:p w14:paraId="07165FFC" w14:textId="77777777" w:rsidR="002F0748" w:rsidRDefault="00B00402">
      <w:pPr>
        <w:spacing w:after="160"/>
      </w:pPr>
      <w:r>
        <w:rPr>
          <w:i/>
          <w:iCs/>
          <w:color w:val="5A5A5A"/>
          <w:sz w:val="20"/>
          <w:szCs w:val="20"/>
        </w:rPr>
        <w:t xml:space="preserve">The compliant shell absorbs the large majority of imposed thermal strain by elastic stretch rather than transmitting it into fluid pressure. This is the correct physical outcome for the </w:t>
      </w:r>
      <w:proofErr w:type="spellStart"/>
      <w:r>
        <w:rPr>
          <w:i/>
          <w:iCs/>
          <w:color w:val="5A5A5A"/>
          <w:sz w:val="20"/>
          <w:szCs w:val="20"/>
        </w:rPr>
        <w:t>ChromaSkin</w:t>
      </w:r>
      <w:proofErr w:type="spellEnd"/>
      <w:r>
        <w:rPr>
          <w:i/>
          <w:iCs/>
          <w:color w:val="5A5A5A"/>
          <w:sz w:val="20"/>
          <w:szCs w:val="20"/>
        </w:rPr>
        <w:t xml:space="preserve"> design and demonstrates a substantial (75×) margin against structural failure across the full specified thermal range.</w:t>
      </w:r>
    </w:p>
    <w:p w14:paraId="006D009F" w14:textId="77777777" w:rsidR="002F0748" w:rsidRDefault="00B00402">
      <w:pPr>
        <w:pStyle w:val="Heading2"/>
      </w:pPr>
      <w:r>
        <w:t>4.5 Comparative Assumption Analysis</w:t>
      </w:r>
    </w:p>
    <w:p w14:paraId="70BD7E78" w14:textId="77777777" w:rsidR="002F0748" w:rsidRDefault="00B00402">
      <w:pPr>
        <w:spacing w:after="160"/>
      </w:pPr>
      <w:r>
        <w:t>For transparency, three modeling assumptions were compared directly. The rigid-shell case is retained in the verification suite as a documented worst-case bound, not as a representative operating condition.</w:t>
      </w:r>
    </w:p>
    <w:tbl>
      <w:tblPr>
        <w:tblW w:w="102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200"/>
        <w:gridCol w:w="3660"/>
      </w:tblGrid>
      <w:tr w:rsidR="002F0748" w14:paraId="0B2C1D9A" w14:textId="77777777">
        <w:tblPrEx>
          <w:tblCellMar>
            <w:top w:w="0" w:type="dxa"/>
            <w:bottom w:w="0" w:type="dxa"/>
          </w:tblCellMar>
        </w:tblPrEx>
        <w:trPr>
          <w:tblHeader/>
        </w:trPr>
        <w:tc>
          <w:tcPr>
            <w:tcW w:w="2400" w:type="dxa"/>
            <w:shd w:val="clear" w:color="auto" w:fill="1B2A4A"/>
            <w:tcMar>
              <w:top w:w="80" w:type="dxa"/>
              <w:left w:w="120" w:type="dxa"/>
              <w:bottom w:w="80" w:type="dxa"/>
              <w:right w:w="120" w:type="dxa"/>
            </w:tcMar>
            <w:vAlign w:val="center"/>
          </w:tcPr>
          <w:p w14:paraId="30A9AFF7" w14:textId="77777777" w:rsidR="002F0748" w:rsidRDefault="00B00402">
            <w:r>
              <w:rPr>
                <w:b/>
                <w:bCs/>
                <w:color w:val="FFFFFF"/>
              </w:rPr>
              <w:t>Model</w:t>
            </w:r>
          </w:p>
        </w:tc>
        <w:tc>
          <w:tcPr>
            <w:tcW w:w="4200" w:type="dxa"/>
            <w:shd w:val="clear" w:color="auto" w:fill="1B2A4A"/>
            <w:tcMar>
              <w:top w:w="80" w:type="dxa"/>
              <w:left w:w="120" w:type="dxa"/>
              <w:bottom w:w="80" w:type="dxa"/>
              <w:right w:w="120" w:type="dxa"/>
            </w:tcMar>
            <w:vAlign w:val="center"/>
          </w:tcPr>
          <w:p w14:paraId="78D06B06" w14:textId="77777777" w:rsidR="002F0748" w:rsidRDefault="00B00402">
            <w:r>
              <w:rPr>
                <w:b/>
                <w:bCs/>
                <w:color w:val="FFFFFF"/>
              </w:rPr>
              <w:t>Assumption</w:t>
            </w:r>
          </w:p>
        </w:tc>
        <w:tc>
          <w:tcPr>
            <w:tcW w:w="3660" w:type="dxa"/>
            <w:shd w:val="clear" w:color="auto" w:fill="1B2A4A"/>
            <w:tcMar>
              <w:top w:w="80" w:type="dxa"/>
              <w:left w:w="120" w:type="dxa"/>
              <w:bottom w:w="80" w:type="dxa"/>
              <w:right w:w="120" w:type="dxa"/>
            </w:tcMar>
            <w:vAlign w:val="center"/>
          </w:tcPr>
          <w:p w14:paraId="6EA6AC47" w14:textId="77777777" w:rsidR="002F0748" w:rsidRDefault="00B00402">
            <w:r>
              <w:rPr>
                <w:b/>
                <w:bCs/>
                <w:color w:val="FFFFFF"/>
              </w:rPr>
              <w:t>Result</w:t>
            </w:r>
          </w:p>
        </w:tc>
      </w:tr>
      <w:tr w:rsidR="002F0748" w14:paraId="16CB6B47" w14:textId="77777777">
        <w:tblPrEx>
          <w:tblCellMar>
            <w:top w:w="0" w:type="dxa"/>
            <w:bottom w:w="0" w:type="dxa"/>
          </w:tblCellMar>
        </w:tblPrEx>
        <w:tc>
          <w:tcPr>
            <w:tcW w:w="2400" w:type="dxa"/>
            <w:tcMar>
              <w:top w:w="80" w:type="dxa"/>
              <w:left w:w="120" w:type="dxa"/>
              <w:bottom w:w="80" w:type="dxa"/>
              <w:right w:w="120" w:type="dxa"/>
            </w:tcMar>
            <w:vAlign w:val="center"/>
          </w:tcPr>
          <w:p w14:paraId="36784F86" w14:textId="77777777" w:rsidR="002F0748" w:rsidRDefault="00B00402">
            <w:r>
              <w:t>Rigid shell</w:t>
            </w:r>
          </w:p>
        </w:tc>
        <w:tc>
          <w:tcPr>
            <w:tcW w:w="4200" w:type="dxa"/>
            <w:tcMar>
              <w:top w:w="80" w:type="dxa"/>
              <w:left w:w="120" w:type="dxa"/>
              <w:bottom w:w="80" w:type="dxa"/>
              <w:right w:w="120" w:type="dxa"/>
            </w:tcMar>
            <w:vAlign w:val="center"/>
          </w:tcPr>
          <w:p w14:paraId="408F9275" w14:textId="77777777" w:rsidR="002F0748" w:rsidRDefault="00B00402">
            <w:r>
              <w:t>Shell does not stretch (</w:t>
            </w:r>
            <w:proofErr w:type="spellStart"/>
            <w:r>
              <w:t>ε_shell</w:t>
            </w:r>
            <w:proofErr w:type="spellEnd"/>
            <w:r>
              <w:t xml:space="preserve"> = 0)</w:t>
            </w:r>
          </w:p>
        </w:tc>
        <w:tc>
          <w:tcPr>
            <w:tcW w:w="3660" w:type="dxa"/>
            <w:tcMar>
              <w:top w:w="80" w:type="dxa"/>
              <w:left w:w="120" w:type="dxa"/>
              <w:bottom w:w="80" w:type="dxa"/>
              <w:right w:w="120" w:type="dxa"/>
            </w:tcMar>
            <w:vAlign w:val="center"/>
          </w:tcPr>
          <w:p w14:paraId="5EF276FB" w14:textId="77777777" w:rsidR="002F0748" w:rsidRDefault="00B00402">
            <w:r>
              <w:t>Ruptures at 0.20% expansion — worst-case bound, not representative</w:t>
            </w:r>
          </w:p>
        </w:tc>
      </w:tr>
      <w:tr w:rsidR="002F0748" w14:paraId="6FE3FF2F" w14:textId="77777777">
        <w:tblPrEx>
          <w:tblCellMar>
            <w:top w:w="0" w:type="dxa"/>
            <w:bottom w:w="0" w:type="dxa"/>
          </w:tblCellMar>
        </w:tblPrEx>
        <w:tc>
          <w:tcPr>
            <w:tcW w:w="2400" w:type="dxa"/>
            <w:shd w:val="clear" w:color="auto" w:fill="F2F2F2"/>
            <w:tcMar>
              <w:top w:w="80" w:type="dxa"/>
              <w:left w:w="120" w:type="dxa"/>
              <w:bottom w:w="80" w:type="dxa"/>
              <w:right w:w="120" w:type="dxa"/>
            </w:tcMar>
            <w:vAlign w:val="center"/>
          </w:tcPr>
          <w:p w14:paraId="14DF5272" w14:textId="77777777" w:rsidR="002F0748" w:rsidRDefault="00B00402">
            <w:r>
              <w:rPr>
                <w:color w:val="FFFFFF"/>
              </w:rPr>
              <w:t>Solid shell (uncoupled)</w:t>
            </w:r>
          </w:p>
        </w:tc>
        <w:tc>
          <w:tcPr>
            <w:tcW w:w="4200" w:type="dxa"/>
            <w:shd w:val="clear" w:color="auto" w:fill="F2F2F2"/>
            <w:tcMar>
              <w:top w:w="80" w:type="dxa"/>
              <w:left w:w="120" w:type="dxa"/>
              <w:bottom w:w="80" w:type="dxa"/>
              <w:right w:w="120" w:type="dxa"/>
            </w:tcMar>
            <w:vAlign w:val="center"/>
          </w:tcPr>
          <w:p w14:paraId="566A961C" w14:textId="77777777" w:rsidR="002F0748" w:rsidRDefault="00B00402">
            <w:r>
              <w:rPr>
                <w:color w:val="FFFFFF"/>
              </w:rPr>
              <w:t>Shell modeled independently of fluid</w:t>
            </w:r>
          </w:p>
        </w:tc>
        <w:tc>
          <w:tcPr>
            <w:tcW w:w="3660" w:type="dxa"/>
            <w:shd w:val="clear" w:color="auto" w:fill="F2F2F2"/>
            <w:tcMar>
              <w:top w:w="80" w:type="dxa"/>
              <w:left w:w="120" w:type="dxa"/>
              <w:bottom w:w="80" w:type="dxa"/>
              <w:right w:w="120" w:type="dxa"/>
            </w:tcMar>
            <w:vAlign w:val="center"/>
          </w:tcPr>
          <w:p w14:paraId="520DA0F0" w14:textId="77777777" w:rsidR="002F0748" w:rsidRDefault="00B00402">
            <w:r>
              <w:rPr>
                <w:color w:val="FFFFFF"/>
              </w:rPr>
              <w:t>Passes — but ignores fluid-driven pressure entirely</w:t>
            </w:r>
          </w:p>
        </w:tc>
      </w:tr>
      <w:tr w:rsidR="002F0748" w14:paraId="4ECB510B" w14:textId="77777777">
        <w:tblPrEx>
          <w:tblCellMar>
            <w:top w:w="0" w:type="dxa"/>
            <w:bottom w:w="0" w:type="dxa"/>
          </w:tblCellMar>
        </w:tblPrEx>
        <w:tc>
          <w:tcPr>
            <w:tcW w:w="2400" w:type="dxa"/>
            <w:tcMar>
              <w:top w:w="80" w:type="dxa"/>
              <w:left w:w="120" w:type="dxa"/>
              <w:bottom w:w="80" w:type="dxa"/>
              <w:right w:w="120" w:type="dxa"/>
            </w:tcMar>
            <w:vAlign w:val="center"/>
          </w:tcPr>
          <w:p w14:paraId="18C1B2C6" w14:textId="77777777" w:rsidR="002F0748" w:rsidRDefault="00B00402">
            <w:r>
              <w:t>Coupled (validated)</w:t>
            </w:r>
          </w:p>
        </w:tc>
        <w:tc>
          <w:tcPr>
            <w:tcW w:w="4200" w:type="dxa"/>
            <w:tcMar>
              <w:top w:w="80" w:type="dxa"/>
              <w:left w:w="120" w:type="dxa"/>
              <w:bottom w:w="80" w:type="dxa"/>
              <w:right w:w="120" w:type="dxa"/>
            </w:tcMar>
            <w:vAlign w:val="center"/>
          </w:tcPr>
          <w:p w14:paraId="59F423C7" w14:textId="77777777" w:rsidR="002F0748" w:rsidRDefault="00B00402">
            <w:r>
              <w:t>Shell compliance + fluid pressure, solved jointly</w:t>
            </w:r>
          </w:p>
        </w:tc>
        <w:tc>
          <w:tcPr>
            <w:tcW w:w="3660" w:type="dxa"/>
            <w:tcMar>
              <w:top w:w="80" w:type="dxa"/>
              <w:left w:w="120" w:type="dxa"/>
              <w:bottom w:w="80" w:type="dxa"/>
              <w:right w:w="120" w:type="dxa"/>
            </w:tcMar>
            <w:vAlign w:val="center"/>
          </w:tcPr>
          <w:p w14:paraId="060D7EEF" w14:textId="77777777" w:rsidR="002F0748" w:rsidRDefault="00B00402">
            <w:r>
              <w:t>Passes — 75× safety margin</w:t>
            </w:r>
          </w:p>
        </w:tc>
      </w:tr>
    </w:tbl>
    <w:p w14:paraId="68F0F201" w14:textId="77777777" w:rsidR="002F0748" w:rsidRDefault="00B00402">
      <w:pPr>
        <w:pStyle w:val="Heading1"/>
      </w:pPr>
      <w:r>
        <w:t>5. Thermal Management Strategy</w:t>
      </w:r>
    </w:p>
    <w:p w14:paraId="7E80F67D" w14:textId="77777777" w:rsidR="002F0748" w:rsidRDefault="00B00402">
      <w:pPr>
        <w:pStyle w:val="ListParagraph"/>
        <w:numPr>
          <w:ilvl w:val="0"/>
          <w:numId w:val="1"/>
        </w:numPr>
        <w:spacing w:after="80"/>
      </w:pPr>
      <w:r>
        <w:t>Passive regulation: the fluid core acts as a natural heat sink; core fluid composition is selected for high specific heat capacity to absorb temperature fluctuation without erratic pressure spikes.</w:t>
      </w:r>
    </w:p>
    <w:p w14:paraId="347D095B" w14:textId="77777777" w:rsidR="002F0748" w:rsidRDefault="00B00402">
      <w:pPr>
        <w:pStyle w:val="ListParagraph"/>
        <w:numPr>
          <w:ilvl w:val="0"/>
          <w:numId w:val="1"/>
        </w:numPr>
        <w:spacing w:after="80"/>
      </w:pPr>
      <w:r>
        <w:t>Active balancing: thermal state is included in the P2P handshake alongside optical state, allowing localized heat load to be shared or shed across the swarm.</w:t>
      </w:r>
    </w:p>
    <w:p w14:paraId="3BDCA9C5" w14:textId="77777777" w:rsidR="002F0748" w:rsidRDefault="00B00402">
      <w:pPr>
        <w:pStyle w:val="ListParagraph"/>
        <w:numPr>
          <w:ilvl w:val="0"/>
          <w:numId w:val="1"/>
        </w:numPr>
        <w:spacing w:after="80"/>
      </w:pPr>
      <w:r>
        <w:t>Safety threshold: nodes approaching the shell's processing/rupture range prioritize a reflective “safe state” over environmental mimicry, shedding incoming thermal load until returning to operational baseline.</w:t>
      </w:r>
    </w:p>
    <w:p w14:paraId="1B69CFDF" w14:textId="77777777" w:rsidR="002F0748" w:rsidRDefault="00B00402">
      <w:pPr>
        <w:pStyle w:val="Heading1"/>
      </w:pPr>
      <w:r>
        <w:t>6. Swarm-Scale Optical Demonstration</w:t>
      </w:r>
    </w:p>
    <w:p w14:paraId="455867AB" w14:textId="77777777" w:rsidR="002F0748" w:rsidRDefault="00B00402">
      <w:pPr>
        <w:spacing w:after="160"/>
      </w:pPr>
      <w:r>
        <w:t xml:space="preserve">A 1,000-node </w:t>
      </w:r>
      <w:proofErr w:type="spellStart"/>
      <w:r>
        <w:t>WebGL</w:t>
      </w:r>
      <w:proofErr w:type="spellEnd"/>
      <w:r>
        <w:t xml:space="preserve"> simulation was built to visually and numerically validate that the single-node optical result (Section 3) generalizes to swarm scale. Each node executes the local convergence rule described in Section 2.3, using the verified optical constants (98.5% reflectance reduction) as fixed, non-recomputed parameters driving per-node rendering.</w:t>
      </w:r>
    </w:p>
    <w:p w14:paraId="6B8DD3CD" w14:textId="77777777" w:rsidR="002F0748" w:rsidRDefault="00B00402">
      <w:pPr>
        <w:pStyle w:val="Heading2"/>
      </w:pPr>
      <w:r>
        <w:t>6.1 Test Conditions</w:t>
      </w:r>
    </w:p>
    <w:p w14:paraId="3B0340A8" w14:textId="77777777" w:rsidR="002F0748" w:rsidRDefault="00B00402">
      <w:pPr>
        <w:pStyle w:val="ListParagraph"/>
        <w:numPr>
          <w:ilvl w:val="0"/>
          <w:numId w:val="1"/>
        </w:numPr>
        <w:spacing w:after="80"/>
      </w:pPr>
      <w:r>
        <w:t>Textured background: node grid converges from a sharply visible hexagonal pattern to a state visually indistinguishable from the surrounding texture at 100% convergence strength.</w:t>
      </w:r>
    </w:p>
    <w:p w14:paraId="06D43724" w14:textId="77777777" w:rsidR="002F0748" w:rsidRDefault="00B00402">
      <w:pPr>
        <w:pStyle w:val="ListParagraph"/>
        <w:numPr>
          <w:ilvl w:val="0"/>
          <w:numId w:val="1"/>
        </w:numPr>
        <w:spacing w:after="80"/>
      </w:pPr>
      <w:r>
        <w:t>Uniform (flat) background: node grid converges to visually match a flat field, verifying convergence is not dependent on background texture noise masking residual seams.</w:t>
      </w:r>
    </w:p>
    <w:p w14:paraId="165405D8" w14:textId="77777777" w:rsidR="002F0748" w:rsidRDefault="00B00402">
      <w:pPr>
        <w:pStyle w:val="ListParagraph"/>
        <w:numPr>
          <w:ilvl w:val="0"/>
          <w:numId w:val="1"/>
        </w:numPr>
        <w:spacing w:after="80"/>
      </w:pPr>
      <w:r>
        <w:t>Both conditions verified on both desktop and mobile viewports.</w:t>
      </w:r>
    </w:p>
    <w:p w14:paraId="3070F7ED" w14:textId="77777777" w:rsidR="002F0748" w:rsidRDefault="00B00402">
      <w:pPr>
        <w:pStyle w:val="Heading2"/>
      </w:pPr>
      <w:r>
        <w:t>6.2 Result</w:t>
      </w:r>
    </w:p>
    <w:p w14:paraId="78E40B5F" w14:textId="77777777" w:rsidR="002F0748" w:rsidRDefault="00B00402">
      <w:pPr>
        <w:spacing w:after="160"/>
      </w:pPr>
      <w:r>
        <w:t xml:space="preserve">At full convergence (“seams remaining: 0.0%”), node boundaries are not visually distinguishable from the background in either textured or uniform test conditions. This required correcting an initial rendering defect in which nodes were drawn as flat-colored opaque discs; the corrected renderer samples the true background per-fragment beneath each node and applies a radial alpha falloff at the node silhouette so neighboring soft edges overlap and merge into a continuous surface, consistent with the physical </w:t>
      </w:r>
      <w:r>
        <w:t>vanishing behavior described in Section 2.3.</w:t>
      </w:r>
    </w:p>
    <w:p w14:paraId="5F953844" w14:textId="77777777" w:rsidR="002F0748" w:rsidRDefault="00B00402">
      <w:pPr>
        <w:pStyle w:val="Heading1"/>
      </w:pPr>
      <w:r>
        <w:t>7. Verification Methodology</w:t>
      </w:r>
    </w:p>
    <w:p w14:paraId="7A9C732C" w14:textId="77777777" w:rsidR="002F0748" w:rsidRDefault="00B00402">
      <w:pPr>
        <w:spacing w:after="160"/>
      </w:pPr>
      <w:r>
        <w:t>Every result in this document was independently re-derived and cross-checked after an initial modeling discrepancy was identified: two early mechanical test implementations reported contradictory hoop-stress results for the same nominal shell (0.62 MPa vs. 55.9 MPa, a two-order-of-magnitude disagreement) despite both reporting a passing status. Root-cause analysis traced this to two incompatible physical assumptions being applied to the same system — one modeling the shell as infinitely rigid, the other ign</w:t>
      </w:r>
      <w:r>
        <w:t>oring fluid-driven pressure entirely. Neither was discarded uncritically: both are retained in Section 4.5 as documented bounding cases, and the governing coupled model (Section 4.2) was derived, tested, found numerically unstable in its first form, corrected to a closed-form solution, and re-verified before being accepted as the reference result.</w:t>
      </w:r>
    </w:p>
    <w:p w14:paraId="5EFB6375" w14:textId="77777777" w:rsidR="002F0748" w:rsidRDefault="00B00402">
      <w:pPr>
        <w:spacing w:after="160"/>
      </w:pPr>
      <w:r>
        <w:t xml:space="preserve">The swarm-scale demonstration (Section 6) underwent a comparable process: an initial implementation reported “0% seams remaining” while the rendered output remained visibly </w:t>
      </w:r>
      <w:proofErr w:type="spellStart"/>
      <w:r>
        <w:t>unconverged</w:t>
      </w:r>
      <w:proofErr w:type="spellEnd"/>
      <w:r>
        <w:t>, and a subsequent fix passed its self-reported metric in one background mode while failing visibly in a second. Both defects were caught by direct visual inspection against the reported metrics, not accepted on the tool's self-report, and corrected before acceptance.</w:t>
      </w:r>
    </w:p>
    <w:p w14:paraId="6D235EBC" w14:textId="77777777" w:rsidR="002F0748" w:rsidRDefault="00B00402">
      <w:pPr>
        <w:spacing w:after="160"/>
      </w:pPr>
      <w:r>
        <w:rPr>
          <w:b/>
          <w:bCs/>
        </w:rPr>
        <w:t xml:space="preserve">This methodology — numeric result plus independent visual/physical inspection, with disagreements traced to root cause rather than reconciled by adjusting thresholds — is treated as a standing requirement for all </w:t>
      </w:r>
      <w:proofErr w:type="spellStart"/>
      <w:r>
        <w:rPr>
          <w:b/>
          <w:bCs/>
        </w:rPr>
        <w:t>ChromaSkin</w:t>
      </w:r>
      <w:proofErr w:type="spellEnd"/>
      <w:r>
        <w:rPr>
          <w:b/>
          <w:bCs/>
        </w:rPr>
        <w:t xml:space="preserve"> subsystem validation going forward.</w:t>
      </w:r>
    </w:p>
    <w:p w14:paraId="00F64D55" w14:textId="77777777" w:rsidR="002F0748" w:rsidRDefault="00B00402">
      <w:pPr>
        <w:pStyle w:val="Heading1"/>
      </w:pPr>
      <w:r>
        <w:t>8. Materials Specification</w:t>
      </w:r>
    </w:p>
    <w:tbl>
      <w:tblPr>
        <w:tblW w:w="102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660"/>
        <w:gridCol w:w="3900"/>
      </w:tblGrid>
      <w:tr w:rsidR="002F0748" w14:paraId="4CFE58EC" w14:textId="77777777">
        <w:tblPrEx>
          <w:tblCellMar>
            <w:top w:w="0" w:type="dxa"/>
            <w:bottom w:w="0" w:type="dxa"/>
          </w:tblCellMar>
        </w:tblPrEx>
        <w:trPr>
          <w:tblHeader/>
        </w:trPr>
        <w:tc>
          <w:tcPr>
            <w:tcW w:w="2700" w:type="dxa"/>
            <w:shd w:val="clear" w:color="auto" w:fill="1B2A4A"/>
            <w:tcMar>
              <w:top w:w="80" w:type="dxa"/>
              <w:left w:w="120" w:type="dxa"/>
              <w:bottom w:w="80" w:type="dxa"/>
              <w:right w:w="120" w:type="dxa"/>
            </w:tcMar>
            <w:vAlign w:val="center"/>
          </w:tcPr>
          <w:p w14:paraId="04017319" w14:textId="77777777" w:rsidR="002F0748" w:rsidRDefault="00B00402">
            <w:r>
              <w:rPr>
                <w:b/>
                <w:bCs/>
                <w:color w:val="FFFFFF"/>
              </w:rPr>
              <w:t>Component</w:t>
            </w:r>
          </w:p>
        </w:tc>
        <w:tc>
          <w:tcPr>
            <w:tcW w:w="3660" w:type="dxa"/>
            <w:shd w:val="clear" w:color="auto" w:fill="1B2A4A"/>
            <w:tcMar>
              <w:top w:w="80" w:type="dxa"/>
              <w:left w:w="120" w:type="dxa"/>
              <w:bottom w:w="80" w:type="dxa"/>
              <w:right w:w="120" w:type="dxa"/>
            </w:tcMar>
            <w:vAlign w:val="center"/>
          </w:tcPr>
          <w:p w14:paraId="46A948EB" w14:textId="77777777" w:rsidR="002F0748" w:rsidRDefault="00B00402">
            <w:r>
              <w:rPr>
                <w:b/>
                <w:bCs/>
                <w:color w:val="FFFFFF"/>
              </w:rPr>
              <w:t>Material</w:t>
            </w:r>
          </w:p>
        </w:tc>
        <w:tc>
          <w:tcPr>
            <w:tcW w:w="3900" w:type="dxa"/>
            <w:shd w:val="clear" w:color="auto" w:fill="1B2A4A"/>
            <w:tcMar>
              <w:top w:w="80" w:type="dxa"/>
              <w:left w:w="120" w:type="dxa"/>
              <w:bottom w:w="80" w:type="dxa"/>
              <w:right w:w="120" w:type="dxa"/>
            </w:tcMar>
            <w:vAlign w:val="center"/>
          </w:tcPr>
          <w:p w14:paraId="675F459C" w14:textId="77777777" w:rsidR="002F0748" w:rsidRDefault="00B00402">
            <w:r>
              <w:rPr>
                <w:b/>
                <w:bCs/>
                <w:color w:val="FFFFFF"/>
              </w:rPr>
              <w:t>Key Property</w:t>
            </w:r>
          </w:p>
        </w:tc>
      </w:tr>
      <w:tr w:rsidR="002F0748" w14:paraId="68A840B2" w14:textId="77777777">
        <w:tblPrEx>
          <w:tblCellMar>
            <w:top w:w="0" w:type="dxa"/>
            <w:bottom w:w="0" w:type="dxa"/>
          </w:tblCellMar>
        </w:tblPrEx>
        <w:tc>
          <w:tcPr>
            <w:tcW w:w="2700" w:type="dxa"/>
            <w:tcMar>
              <w:top w:w="80" w:type="dxa"/>
              <w:left w:w="120" w:type="dxa"/>
              <w:bottom w:w="80" w:type="dxa"/>
              <w:right w:w="120" w:type="dxa"/>
            </w:tcMar>
            <w:vAlign w:val="center"/>
          </w:tcPr>
          <w:p w14:paraId="54A63B1D" w14:textId="77777777" w:rsidR="002F0748" w:rsidRDefault="00B00402">
            <w:r>
              <w:t>Shell</w:t>
            </w:r>
          </w:p>
        </w:tc>
        <w:tc>
          <w:tcPr>
            <w:tcW w:w="3660" w:type="dxa"/>
            <w:tcMar>
              <w:top w:w="80" w:type="dxa"/>
              <w:left w:w="120" w:type="dxa"/>
              <w:bottom w:w="80" w:type="dxa"/>
              <w:right w:w="120" w:type="dxa"/>
            </w:tcMar>
            <w:vAlign w:val="center"/>
          </w:tcPr>
          <w:p w14:paraId="08369829" w14:textId="77777777" w:rsidR="002F0748" w:rsidRDefault="00B00402">
            <w:r>
              <w:t>95A Shore TPU</w:t>
            </w:r>
          </w:p>
        </w:tc>
        <w:tc>
          <w:tcPr>
            <w:tcW w:w="3900" w:type="dxa"/>
            <w:tcMar>
              <w:top w:w="80" w:type="dxa"/>
              <w:left w:w="120" w:type="dxa"/>
              <w:bottom w:w="80" w:type="dxa"/>
              <w:right w:w="120" w:type="dxa"/>
            </w:tcMar>
            <w:vAlign w:val="center"/>
          </w:tcPr>
          <w:p w14:paraId="31782175" w14:textId="77777777" w:rsidR="002F0748" w:rsidRDefault="00B00402">
            <w:r>
              <w:t>n ≈ 1.50, tensile strength 50 MPa, E ≈ 20 MPa</w:t>
            </w:r>
          </w:p>
        </w:tc>
      </w:tr>
      <w:tr w:rsidR="002F0748" w14:paraId="102E77B3" w14:textId="77777777">
        <w:tblPrEx>
          <w:tblCellMar>
            <w:top w:w="0" w:type="dxa"/>
            <w:bottom w:w="0" w:type="dxa"/>
          </w:tblCellMar>
        </w:tblPrEx>
        <w:tc>
          <w:tcPr>
            <w:tcW w:w="2700" w:type="dxa"/>
            <w:shd w:val="clear" w:color="auto" w:fill="F2F2F2"/>
            <w:tcMar>
              <w:top w:w="80" w:type="dxa"/>
              <w:left w:w="120" w:type="dxa"/>
              <w:bottom w:w="80" w:type="dxa"/>
              <w:right w:w="120" w:type="dxa"/>
            </w:tcMar>
            <w:vAlign w:val="center"/>
          </w:tcPr>
          <w:p w14:paraId="19C6D98A" w14:textId="77777777" w:rsidR="002F0748" w:rsidRDefault="00B00402">
            <w:r>
              <w:rPr>
                <w:color w:val="FFFFFF"/>
              </w:rPr>
              <w:t>Buffer layer</w:t>
            </w:r>
          </w:p>
        </w:tc>
        <w:tc>
          <w:tcPr>
            <w:tcW w:w="3660" w:type="dxa"/>
            <w:shd w:val="clear" w:color="auto" w:fill="F2F2F2"/>
            <w:tcMar>
              <w:top w:w="80" w:type="dxa"/>
              <w:left w:w="120" w:type="dxa"/>
              <w:bottom w:w="80" w:type="dxa"/>
              <w:right w:w="120" w:type="dxa"/>
            </w:tcMar>
            <w:vAlign w:val="center"/>
          </w:tcPr>
          <w:p w14:paraId="7C9433AF" w14:textId="77777777" w:rsidR="002F0748" w:rsidRDefault="00B00402">
            <w:r>
              <w:rPr>
                <w:color w:val="FFFFFF"/>
              </w:rPr>
              <w:t>Silicone oil (dip/spin-coated)</w:t>
            </w:r>
          </w:p>
        </w:tc>
        <w:tc>
          <w:tcPr>
            <w:tcW w:w="3900" w:type="dxa"/>
            <w:shd w:val="clear" w:color="auto" w:fill="F2F2F2"/>
            <w:tcMar>
              <w:top w:w="80" w:type="dxa"/>
              <w:left w:w="120" w:type="dxa"/>
              <w:bottom w:w="80" w:type="dxa"/>
              <w:right w:w="120" w:type="dxa"/>
            </w:tcMar>
            <w:vAlign w:val="center"/>
          </w:tcPr>
          <w:p w14:paraId="5C8FB563" w14:textId="77777777" w:rsidR="002F0748" w:rsidRDefault="00B00402">
            <w:r>
              <w:rPr>
                <w:color w:val="FFFFFF"/>
              </w:rPr>
              <w:t>n ≈ 1.40–1.41, 300 nm</w:t>
            </w:r>
          </w:p>
        </w:tc>
      </w:tr>
      <w:tr w:rsidR="002F0748" w14:paraId="382EAED3" w14:textId="77777777">
        <w:tblPrEx>
          <w:tblCellMar>
            <w:top w:w="0" w:type="dxa"/>
            <w:bottom w:w="0" w:type="dxa"/>
          </w:tblCellMar>
        </w:tblPrEx>
        <w:tc>
          <w:tcPr>
            <w:tcW w:w="2700" w:type="dxa"/>
            <w:tcMar>
              <w:top w:w="80" w:type="dxa"/>
              <w:left w:w="120" w:type="dxa"/>
              <w:bottom w:w="80" w:type="dxa"/>
              <w:right w:w="120" w:type="dxa"/>
            </w:tcMar>
            <w:vAlign w:val="center"/>
          </w:tcPr>
          <w:p w14:paraId="61B2D49C" w14:textId="77777777" w:rsidR="002F0748" w:rsidRDefault="00B00402">
            <w:r>
              <w:t>Core fluid</w:t>
            </w:r>
          </w:p>
        </w:tc>
        <w:tc>
          <w:tcPr>
            <w:tcW w:w="3660" w:type="dxa"/>
            <w:tcMar>
              <w:top w:w="80" w:type="dxa"/>
              <w:left w:w="120" w:type="dxa"/>
              <w:bottom w:w="80" w:type="dxa"/>
              <w:right w:w="120" w:type="dxa"/>
            </w:tcMar>
            <w:vAlign w:val="center"/>
          </w:tcPr>
          <w:p w14:paraId="2493428F" w14:textId="77777777" w:rsidR="002F0748" w:rsidRDefault="00B00402">
            <w:r>
              <w:t>Water / water-glycerin, degassed</w:t>
            </w:r>
          </w:p>
        </w:tc>
        <w:tc>
          <w:tcPr>
            <w:tcW w:w="3900" w:type="dxa"/>
            <w:tcMar>
              <w:top w:w="80" w:type="dxa"/>
              <w:left w:w="120" w:type="dxa"/>
              <w:bottom w:w="80" w:type="dxa"/>
              <w:right w:w="120" w:type="dxa"/>
            </w:tcMar>
            <w:vAlign w:val="center"/>
          </w:tcPr>
          <w:p w14:paraId="406D3247" w14:textId="77777777" w:rsidR="002F0748" w:rsidRDefault="00B00402">
            <w:r>
              <w:t>n ≈ 1.33, bulk modulus ≈ 2,200 MPa</w:t>
            </w:r>
          </w:p>
        </w:tc>
      </w:tr>
    </w:tbl>
    <w:p w14:paraId="71F5B71B" w14:textId="77777777" w:rsidR="002F0748" w:rsidRDefault="00B00402">
      <w:pPr>
        <w:pStyle w:val="Heading1"/>
      </w:pPr>
      <w:r>
        <w:t>9. Fabrication Roadmap</w:t>
      </w:r>
    </w:p>
    <w:p w14:paraId="7A7E7A92" w14:textId="77777777" w:rsidR="002F0748" w:rsidRDefault="00B00402">
      <w:pPr>
        <w:pStyle w:val="ListParagraph"/>
        <w:numPr>
          <w:ilvl w:val="0"/>
          <w:numId w:val="1"/>
        </w:numPr>
        <w:spacing w:after="80"/>
      </w:pPr>
      <w:r>
        <w:t>Mother Mold — CNC-machined aluminum or heat-resistant 3D-printed resin cavity; sets outer shell curvature; TPR moldable at 180–230°C.</w:t>
      </w:r>
    </w:p>
    <w:p w14:paraId="6131254E" w14:textId="77777777" w:rsidR="002F0748" w:rsidRDefault="00B00402">
      <w:pPr>
        <w:pStyle w:val="ListParagraph"/>
        <w:numPr>
          <w:ilvl w:val="0"/>
          <w:numId w:val="1"/>
        </w:numPr>
        <w:spacing w:after="80"/>
      </w:pPr>
      <w:r>
        <w:t>Apply Buffer Layer — vapor deposition or spin-coating of the 300 nm graded buffer onto the shell interior prior to filling.</w:t>
      </w:r>
    </w:p>
    <w:p w14:paraId="3570FB53" w14:textId="77777777" w:rsidR="002F0748" w:rsidRDefault="00B00402">
      <w:pPr>
        <w:pStyle w:val="ListParagraph"/>
        <w:numPr>
          <w:ilvl w:val="0"/>
          <w:numId w:val="1"/>
        </w:numPr>
        <w:spacing w:after="80"/>
      </w:pPr>
      <w:r>
        <w:t>Filling Process — vacuum-sealed core fluid injection to eliminate trapped air (micro-bubbles disrupt the optical illusion via Mie scattering); fluid degassed separately beforehand.</w:t>
      </w:r>
    </w:p>
    <w:p w14:paraId="4A667EC3" w14:textId="77777777" w:rsidR="002F0748" w:rsidRDefault="00B00402">
      <w:pPr>
        <w:pStyle w:val="ListParagraph"/>
        <w:numPr>
          <w:ilvl w:val="0"/>
          <w:numId w:val="1"/>
        </w:numPr>
        <w:spacing w:after="80"/>
      </w:pPr>
      <w:r>
        <w:t>Stress Test Demo — cyclic thermal/pressure loading of a single physical node; shape recovery recorded as the physical validation of the simulated 75× safety margin.</w:t>
      </w:r>
    </w:p>
    <w:p w14:paraId="5919CFFC" w14:textId="77777777" w:rsidR="002F0748" w:rsidRDefault="00B00402">
      <w:pPr>
        <w:pStyle w:val="ListParagraph"/>
        <w:numPr>
          <w:ilvl w:val="0"/>
          <w:numId w:val="1"/>
        </w:numPr>
        <w:spacing w:after="80"/>
      </w:pPr>
      <w:r>
        <w:t>Vanishing Demo — physical nodes pressed onto a textured surface; seam elimination recorded as the physical validation of the simulated optical convergence result.</w:t>
      </w:r>
    </w:p>
    <w:p w14:paraId="4E4CEBE2" w14:textId="77777777" w:rsidR="002F0748" w:rsidRDefault="00B00402">
      <w:pPr>
        <w:pStyle w:val="Heading1"/>
      </w:pPr>
      <w:r>
        <w:t>10. Appendix: Key Equations Reference</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860"/>
      </w:tblGrid>
      <w:tr w:rsidR="002F0748" w14:paraId="007A9FF4" w14:textId="77777777">
        <w:tblPrEx>
          <w:tblCellMar>
            <w:top w:w="0" w:type="dxa"/>
            <w:bottom w:w="0" w:type="dxa"/>
          </w:tblCellMar>
        </w:tblPrEx>
        <w:trPr>
          <w:tblHeader/>
        </w:trPr>
        <w:tc>
          <w:tcPr>
            <w:tcW w:w="4500" w:type="dxa"/>
            <w:shd w:val="clear" w:color="auto" w:fill="1B2A4A"/>
            <w:tcMar>
              <w:top w:w="80" w:type="dxa"/>
              <w:left w:w="120" w:type="dxa"/>
              <w:bottom w:w="80" w:type="dxa"/>
              <w:right w:w="120" w:type="dxa"/>
            </w:tcMar>
            <w:vAlign w:val="center"/>
          </w:tcPr>
          <w:p w14:paraId="7802282C" w14:textId="77777777" w:rsidR="002F0748" w:rsidRDefault="00B00402">
            <w:r>
              <w:rPr>
                <w:b/>
                <w:bCs/>
                <w:color w:val="FFFFFF"/>
              </w:rPr>
              <w:t>Quantity</w:t>
            </w:r>
          </w:p>
        </w:tc>
        <w:tc>
          <w:tcPr>
            <w:tcW w:w="4860" w:type="dxa"/>
            <w:shd w:val="clear" w:color="auto" w:fill="1B2A4A"/>
            <w:tcMar>
              <w:top w:w="80" w:type="dxa"/>
              <w:left w:w="120" w:type="dxa"/>
              <w:bottom w:w="80" w:type="dxa"/>
              <w:right w:w="120" w:type="dxa"/>
            </w:tcMar>
            <w:vAlign w:val="center"/>
          </w:tcPr>
          <w:p w14:paraId="05CC0F7B" w14:textId="77777777" w:rsidR="002F0748" w:rsidRDefault="00B00402">
            <w:r>
              <w:rPr>
                <w:b/>
                <w:bCs/>
                <w:color w:val="FFFFFF"/>
              </w:rPr>
              <w:t>Equation</w:t>
            </w:r>
          </w:p>
        </w:tc>
      </w:tr>
      <w:tr w:rsidR="002F0748" w14:paraId="54D25610" w14:textId="77777777">
        <w:tblPrEx>
          <w:tblCellMar>
            <w:top w:w="0" w:type="dxa"/>
            <w:bottom w:w="0" w:type="dxa"/>
          </w:tblCellMar>
        </w:tblPrEx>
        <w:tc>
          <w:tcPr>
            <w:tcW w:w="4500" w:type="dxa"/>
            <w:tcMar>
              <w:top w:w="80" w:type="dxa"/>
              <w:left w:w="120" w:type="dxa"/>
              <w:bottom w:w="80" w:type="dxa"/>
              <w:right w:w="120" w:type="dxa"/>
            </w:tcMar>
            <w:vAlign w:val="center"/>
          </w:tcPr>
          <w:p w14:paraId="7B5704F1" w14:textId="77777777" w:rsidR="002F0748" w:rsidRDefault="00B00402">
            <w:r>
              <w:t>Buffer index (graded, geometric mean)</w:t>
            </w:r>
          </w:p>
        </w:tc>
        <w:tc>
          <w:tcPr>
            <w:tcW w:w="4860" w:type="dxa"/>
            <w:tcMar>
              <w:top w:w="80" w:type="dxa"/>
              <w:left w:w="120" w:type="dxa"/>
              <w:bottom w:w="80" w:type="dxa"/>
              <w:right w:w="120" w:type="dxa"/>
            </w:tcMar>
            <w:vAlign w:val="center"/>
          </w:tcPr>
          <w:p w14:paraId="54657F52" w14:textId="77777777" w:rsidR="002F0748" w:rsidRDefault="00B00402">
            <w:proofErr w:type="spellStart"/>
            <w:r>
              <w:t>n_buffer</w:t>
            </w:r>
            <w:proofErr w:type="spellEnd"/>
            <w:r>
              <w:t xml:space="preserve"> = √(</w:t>
            </w:r>
            <w:proofErr w:type="spellStart"/>
            <w:r>
              <w:t>n_core</w:t>
            </w:r>
            <w:proofErr w:type="spellEnd"/>
            <w:r>
              <w:t xml:space="preserve"> × </w:t>
            </w:r>
            <w:proofErr w:type="spellStart"/>
            <w:r>
              <w:t>n_shell</w:t>
            </w:r>
            <w:proofErr w:type="spellEnd"/>
            <w:r>
              <w:t>)</w:t>
            </w:r>
          </w:p>
        </w:tc>
      </w:tr>
      <w:tr w:rsidR="002F0748" w14:paraId="2F91EE84" w14:textId="77777777">
        <w:tblPrEx>
          <w:tblCellMar>
            <w:top w:w="0" w:type="dxa"/>
            <w:bottom w:w="0" w:type="dxa"/>
          </w:tblCellMar>
        </w:tblPrEx>
        <w:tc>
          <w:tcPr>
            <w:tcW w:w="4500" w:type="dxa"/>
            <w:shd w:val="clear" w:color="auto" w:fill="F2F2F2"/>
            <w:tcMar>
              <w:top w:w="80" w:type="dxa"/>
              <w:left w:w="120" w:type="dxa"/>
              <w:bottom w:w="80" w:type="dxa"/>
              <w:right w:w="120" w:type="dxa"/>
            </w:tcMar>
            <w:vAlign w:val="center"/>
          </w:tcPr>
          <w:p w14:paraId="243C8585" w14:textId="77777777" w:rsidR="002F0748" w:rsidRDefault="00B00402">
            <w:r>
              <w:rPr>
                <w:color w:val="FFFFFF"/>
              </w:rPr>
              <w:t>Fresnel reflectance (normal incidence)</w:t>
            </w:r>
          </w:p>
        </w:tc>
        <w:tc>
          <w:tcPr>
            <w:tcW w:w="4860" w:type="dxa"/>
            <w:shd w:val="clear" w:color="auto" w:fill="F2F2F2"/>
            <w:tcMar>
              <w:top w:w="80" w:type="dxa"/>
              <w:left w:w="120" w:type="dxa"/>
              <w:bottom w:w="80" w:type="dxa"/>
              <w:right w:w="120" w:type="dxa"/>
            </w:tcMar>
            <w:vAlign w:val="center"/>
          </w:tcPr>
          <w:p w14:paraId="40DB13C3" w14:textId="77777777" w:rsidR="002F0748" w:rsidRDefault="00B00402">
            <w:r>
              <w:rPr>
                <w:color w:val="FFFFFF"/>
              </w:rPr>
              <w:t>R(0°) = (n1 − n2)² / (n1 + n2)²</w:t>
            </w:r>
          </w:p>
        </w:tc>
      </w:tr>
      <w:tr w:rsidR="002F0748" w14:paraId="56165DC9" w14:textId="77777777">
        <w:tblPrEx>
          <w:tblCellMar>
            <w:top w:w="0" w:type="dxa"/>
            <w:bottom w:w="0" w:type="dxa"/>
          </w:tblCellMar>
        </w:tblPrEx>
        <w:tc>
          <w:tcPr>
            <w:tcW w:w="4500" w:type="dxa"/>
            <w:tcMar>
              <w:top w:w="80" w:type="dxa"/>
              <w:left w:w="120" w:type="dxa"/>
              <w:bottom w:w="80" w:type="dxa"/>
              <w:right w:w="120" w:type="dxa"/>
            </w:tcMar>
            <w:vAlign w:val="center"/>
          </w:tcPr>
          <w:p w14:paraId="0C780D28" w14:textId="77777777" w:rsidR="002F0748" w:rsidRDefault="00B00402">
            <w:r>
              <w:t>Shell strain under pressure</w:t>
            </w:r>
          </w:p>
        </w:tc>
        <w:tc>
          <w:tcPr>
            <w:tcW w:w="4860" w:type="dxa"/>
            <w:tcMar>
              <w:top w:w="80" w:type="dxa"/>
              <w:left w:w="120" w:type="dxa"/>
              <w:bottom w:w="80" w:type="dxa"/>
              <w:right w:w="120" w:type="dxa"/>
            </w:tcMar>
            <w:vAlign w:val="center"/>
          </w:tcPr>
          <w:p w14:paraId="749D6AC8" w14:textId="77777777" w:rsidR="002F0748" w:rsidRDefault="00B00402">
            <w:proofErr w:type="spellStart"/>
            <w:r>
              <w:t>ε_shell</w:t>
            </w:r>
            <w:proofErr w:type="spellEnd"/>
            <w:r>
              <w:t xml:space="preserve"> = </w:t>
            </w:r>
            <w:proofErr w:type="spellStart"/>
            <w:r>
              <w:t>P·r</w:t>
            </w:r>
            <w:proofErr w:type="spellEnd"/>
            <w:r>
              <w:t xml:space="preserve"> / (2·t·E_shell)</w:t>
            </w:r>
          </w:p>
        </w:tc>
      </w:tr>
      <w:tr w:rsidR="002F0748" w14:paraId="168A5D1E" w14:textId="77777777">
        <w:tblPrEx>
          <w:tblCellMar>
            <w:top w:w="0" w:type="dxa"/>
            <w:bottom w:w="0" w:type="dxa"/>
          </w:tblCellMar>
        </w:tblPrEx>
        <w:tc>
          <w:tcPr>
            <w:tcW w:w="4500" w:type="dxa"/>
            <w:shd w:val="clear" w:color="auto" w:fill="F2F2F2"/>
            <w:tcMar>
              <w:top w:w="80" w:type="dxa"/>
              <w:left w:w="120" w:type="dxa"/>
              <w:bottom w:w="80" w:type="dxa"/>
              <w:right w:w="120" w:type="dxa"/>
            </w:tcMar>
            <w:vAlign w:val="center"/>
          </w:tcPr>
          <w:p w14:paraId="3318CDD9" w14:textId="77777777" w:rsidR="002F0748" w:rsidRDefault="00B00402">
            <w:r>
              <w:rPr>
                <w:color w:val="FFFFFF"/>
              </w:rPr>
              <w:t>Net volumetric strain</w:t>
            </w:r>
          </w:p>
        </w:tc>
        <w:tc>
          <w:tcPr>
            <w:tcW w:w="4860" w:type="dxa"/>
            <w:shd w:val="clear" w:color="auto" w:fill="F2F2F2"/>
            <w:tcMar>
              <w:top w:w="80" w:type="dxa"/>
              <w:left w:w="120" w:type="dxa"/>
              <w:bottom w:w="80" w:type="dxa"/>
              <w:right w:w="120" w:type="dxa"/>
            </w:tcMar>
            <w:vAlign w:val="center"/>
          </w:tcPr>
          <w:p w14:paraId="599DD1E6" w14:textId="77777777" w:rsidR="002F0748" w:rsidRDefault="00B00402">
            <w:proofErr w:type="spellStart"/>
            <w:r>
              <w:rPr>
                <w:color w:val="FFFFFF"/>
              </w:rPr>
              <w:t>ε_net</w:t>
            </w:r>
            <w:proofErr w:type="spellEnd"/>
            <w:r>
              <w:rPr>
                <w:color w:val="FFFFFF"/>
              </w:rPr>
              <w:t xml:space="preserve"> = f − 3·ε_shell</w:t>
            </w:r>
          </w:p>
        </w:tc>
      </w:tr>
      <w:tr w:rsidR="002F0748" w14:paraId="3916CEB5" w14:textId="77777777">
        <w:tblPrEx>
          <w:tblCellMar>
            <w:top w:w="0" w:type="dxa"/>
            <w:bottom w:w="0" w:type="dxa"/>
          </w:tblCellMar>
        </w:tblPrEx>
        <w:tc>
          <w:tcPr>
            <w:tcW w:w="4500" w:type="dxa"/>
            <w:tcMar>
              <w:top w:w="80" w:type="dxa"/>
              <w:left w:w="120" w:type="dxa"/>
              <w:bottom w:w="80" w:type="dxa"/>
              <w:right w:w="120" w:type="dxa"/>
            </w:tcMar>
            <w:vAlign w:val="center"/>
          </w:tcPr>
          <w:p w14:paraId="55230557" w14:textId="77777777" w:rsidR="002F0748" w:rsidRDefault="00B00402">
            <w:r>
              <w:t>Fluid pressure</w:t>
            </w:r>
          </w:p>
        </w:tc>
        <w:tc>
          <w:tcPr>
            <w:tcW w:w="4860" w:type="dxa"/>
            <w:tcMar>
              <w:top w:w="80" w:type="dxa"/>
              <w:left w:w="120" w:type="dxa"/>
              <w:bottom w:w="80" w:type="dxa"/>
              <w:right w:w="120" w:type="dxa"/>
            </w:tcMar>
            <w:vAlign w:val="center"/>
          </w:tcPr>
          <w:p w14:paraId="3B90B259" w14:textId="77777777" w:rsidR="002F0748" w:rsidRDefault="00B00402">
            <w:r>
              <w:t xml:space="preserve">P = </w:t>
            </w:r>
            <w:proofErr w:type="spellStart"/>
            <w:r>
              <w:t>K·ε_net</w:t>
            </w:r>
            <w:proofErr w:type="spellEnd"/>
          </w:p>
        </w:tc>
      </w:tr>
      <w:tr w:rsidR="002F0748" w14:paraId="37B9EF70" w14:textId="77777777">
        <w:tblPrEx>
          <w:tblCellMar>
            <w:top w:w="0" w:type="dxa"/>
            <w:bottom w:w="0" w:type="dxa"/>
          </w:tblCellMar>
        </w:tblPrEx>
        <w:tc>
          <w:tcPr>
            <w:tcW w:w="4500" w:type="dxa"/>
            <w:shd w:val="clear" w:color="auto" w:fill="F2F2F2"/>
            <w:tcMar>
              <w:top w:w="80" w:type="dxa"/>
              <w:left w:w="120" w:type="dxa"/>
              <w:bottom w:w="80" w:type="dxa"/>
              <w:right w:w="120" w:type="dxa"/>
            </w:tcMar>
            <w:vAlign w:val="center"/>
          </w:tcPr>
          <w:p w14:paraId="3B04CF72" w14:textId="77777777" w:rsidR="002F0748" w:rsidRDefault="00B00402">
            <w:r>
              <w:rPr>
                <w:color w:val="FFFFFF"/>
              </w:rPr>
              <w:t>Hoop stress (thin spherical shell)</w:t>
            </w:r>
          </w:p>
        </w:tc>
        <w:tc>
          <w:tcPr>
            <w:tcW w:w="4860" w:type="dxa"/>
            <w:shd w:val="clear" w:color="auto" w:fill="F2F2F2"/>
            <w:tcMar>
              <w:top w:w="80" w:type="dxa"/>
              <w:left w:w="120" w:type="dxa"/>
              <w:bottom w:w="80" w:type="dxa"/>
              <w:right w:w="120" w:type="dxa"/>
            </w:tcMar>
            <w:vAlign w:val="center"/>
          </w:tcPr>
          <w:p w14:paraId="42970C26" w14:textId="77777777" w:rsidR="002F0748" w:rsidRDefault="00B00402">
            <w:r>
              <w:rPr>
                <w:color w:val="FFFFFF"/>
              </w:rPr>
              <w:t xml:space="preserve">σ = </w:t>
            </w:r>
            <w:proofErr w:type="spellStart"/>
            <w:r>
              <w:rPr>
                <w:color w:val="FFFFFF"/>
              </w:rPr>
              <w:t>P·r</w:t>
            </w:r>
            <w:proofErr w:type="spellEnd"/>
            <w:r>
              <w:rPr>
                <w:color w:val="FFFFFF"/>
              </w:rPr>
              <w:t xml:space="preserve"> / (2·t)</w:t>
            </w:r>
          </w:p>
        </w:tc>
      </w:tr>
    </w:tbl>
    <w:p w14:paraId="73236929" w14:textId="77777777" w:rsidR="00B00402" w:rsidRDefault="00B00402"/>
    <w:sectPr w:rsidR="00000000">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2B3051" w14:textId="77777777" w:rsidR="00B00402" w:rsidRDefault="00B00402">
      <w:r>
        <w:separator/>
      </w:r>
    </w:p>
  </w:endnote>
  <w:endnote w:type="continuationSeparator" w:id="0">
    <w:p w14:paraId="3EA54557" w14:textId="77777777" w:rsidR="00B00402" w:rsidRDefault="00B004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00000003" w:usb1="00000000" w:usb2="00000000" w:usb3="00000000" w:csb0="00000001"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0293C" w14:textId="77777777" w:rsidR="002F0748" w:rsidRDefault="00B00402">
    <w:pPr>
      <w:jc w:val="center"/>
    </w:pPr>
    <w:r>
      <w:rPr>
        <w:color w:val="5A5A5A"/>
        <w:sz w:val="16"/>
        <w:szCs w:val="16"/>
      </w:rPr>
      <w:t xml:space="preserve">Page </w:t>
    </w:r>
    <w:r>
      <w:rPr>
        <w:color w:val="5A5A5A"/>
        <w:sz w:val="16"/>
        <w:szCs w:val="16"/>
      </w:rPr>
      <w:fldChar w:fldCharType="begin"/>
    </w:r>
    <w:r>
      <w:rPr>
        <w:color w:val="5A5A5A"/>
        <w:sz w:val="16"/>
        <w:szCs w:val="16"/>
      </w:rPr>
      <w:instrText>PAGE</w:instrText>
    </w:r>
    <w:r>
      <w:rPr>
        <w:color w:val="5A5A5A"/>
        <w:sz w:val="16"/>
        <w:szCs w:val="16"/>
      </w:rPr>
      <w:fldChar w:fldCharType="separate"/>
    </w:r>
    <w:r>
      <w:rPr>
        <w:color w:val="5A5A5A"/>
        <w:sz w:val="16"/>
        <w:szCs w:val="16"/>
      </w:rPr>
      <w:fldChar w:fldCharType="end"/>
    </w:r>
    <w:r>
      <w:rPr>
        <w:color w:val="5A5A5A"/>
        <w:sz w:val="16"/>
        <w:szCs w:val="16"/>
      </w:rPr>
      <w:t xml:space="preserve"> of </w:t>
    </w:r>
    <w:r>
      <w:rPr>
        <w:color w:val="5A5A5A"/>
        <w:sz w:val="16"/>
        <w:szCs w:val="16"/>
      </w:rPr>
      <w:fldChar w:fldCharType="begin"/>
    </w:r>
    <w:r>
      <w:rPr>
        <w:color w:val="5A5A5A"/>
        <w:sz w:val="16"/>
        <w:szCs w:val="16"/>
      </w:rPr>
      <w:instrText>NUMPAGES</w:instrText>
    </w:r>
    <w:r>
      <w:rPr>
        <w:color w:val="5A5A5A"/>
        <w:sz w:val="16"/>
        <w:szCs w:val="16"/>
      </w:rPr>
      <w:fldChar w:fldCharType="separate"/>
    </w:r>
    <w:r>
      <w:rPr>
        <w:color w:val="5A5A5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73EFD" w14:textId="77777777" w:rsidR="00B00402" w:rsidRDefault="00B00402">
      <w:r>
        <w:separator/>
      </w:r>
    </w:p>
  </w:footnote>
  <w:footnote w:type="continuationSeparator" w:id="0">
    <w:p w14:paraId="298C2CEC" w14:textId="77777777" w:rsidR="00B00402" w:rsidRDefault="00B004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2AA3E" w14:textId="77777777" w:rsidR="002F0748" w:rsidRDefault="00B00402">
    <w:pPr>
      <w:jc w:val="right"/>
    </w:pPr>
    <w:r>
      <w:rPr>
        <w:color w:val="5A5A5A"/>
        <w:sz w:val="16"/>
        <w:szCs w:val="16"/>
      </w:rPr>
      <w:t>ChromaSkin Technical Specification — AI&amp;U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A23DF8"/>
    <w:multiLevelType w:val="hybridMultilevel"/>
    <w:tmpl w:val="FFFFFFFF"/>
    <w:lvl w:ilvl="0" w:tplc="3A66C7C2">
      <w:start w:val="1"/>
      <w:numFmt w:val="bullet"/>
      <w:lvlText w:val="●"/>
      <w:lvlJc w:val="left"/>
      <w:pPr>
        <w:ind w:left="720" w:hanging="360"/>
      </w:pPr>
    </w:lvl>
    <w:lvl w:ilvl="1" w:tplc="0082E594">
      <w:start w:val="1"/>
      <w:numFmt w:val="bullet"/>
      <w:lvlText w:val="○"/>
      <w:lvlJc w:val="left"/>
      <w:pPr>
        <w:ind w:left="1440" w:hanging="360"/>
      </w:pPr>
    </w:lvl>
    <w:lvl w:ilvl="2" w:tplc="E2521988">
      <w:start w:val="1"/>
      <w:numFmt w:val="bullet"/>
      <w:lvlText w:val="■"/>
      <w:lvlJc w:val="left"/>
      <w:pPr>
        <w:ind w:left="2160" w:hanging="360"/>
      </w:pPr>
    </w:lvl>
    <w:lvl w:ilvl="3" w:tplc="B868F332">
      <w:start w:val="1"/>
      <w:numFmt w:val="bullet"/>
      <w:lvlText w:val="●"/>
      <w:lvlJc w:val="left"/>
      <w:pPr>
        <w:ind w:left="2880" w:hanging="360"/>
      </w:pPr>
    </w:lvl>
    <w:lvl w:ilvl="4" w:tplc="78E8C0F2">
      <w:start w:val="1"/>
      <w:numFmt w:val="bullet"/>
      <w:lvlText w:val="○"/>
      <w:lvlJc w:val="left"/>
      <w:pPr>
        <w:ind w:left="3600" w:hanging="360"/>
      </w:pPr>
    </w:lvl>
    <w:lvl w:ilvl="5" w:tplc="A2449414">
      <w:start w:val="1"/>
      <w:numFmt w:val="bullet"/>
      <w:lvlText w:val="■"/>
      <w:lvlJc w:val="left"/>
      <w:pPr>
        <w:ind w:left="4320" w:hanging="360"/>
      </w:pPr>
    </w:lvl>
    <w:lvl w:ilvl="6" w:tplc="674C650C">
      <w:start w:val="1"/>
      <w:numFmt w:val="bullet"/>
      <w:lvlText w:val="●"/>
      <w:lvlJc w:val="left"/>
      <w:pPr>
        <w:ind w:left="5040" w:hanging="360"/>
      </w:pPr>
    </w:lvl>
    <w:lvl w:ilvl="7" w:tplc="0720C4EA">
      <w:start w:val="1"/>
      <w:numFmt w:val="bullet"/>
      <w:lvlText w:val="●"/>
      <w:lvlJc w:val="left"/>
      <w:pPr>
        <w:ind w:left="5760" w:hanging="360"/>
      </w:pPr>
    </w:lvl>
    <w:lvl w:ilvl="8" w:tplc="F13E8824">
      <w:start w:val="1"/>
      <w:numFmt w:val="bullet"/>
      <w:lvlText w:val="●"/>
      <w:lvlJc w:val="left"/>
      <w:pPr>
        <w:ind w:left="6480" w:hanging="360"/>
      </w:pPr>
    </w:lvl>
  </w:abstractNum>
  <w:num w:numId="1" w16cid:durableId="3952027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0748"/>
    <w:rsid w:val="002F0748"/>
    <w:rsid w:val="006C7597"/>
    <w:rsid w:val="00B004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21706F4D"/>
  <w15:docId w15:val="{B296ED4E-4E90-E143-A77B-FEA47A07D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B08D3E"/>
      </w:pBdr>
      <w:spacing w:before="360" w:after="160"/>
      <w:outlineLvl w:val="0"/>
    </w:pPr>
    <w:rPr>
      <w:b/>
      <w:bCs/>
      <w:color w:val="1B2A4A"/>
      <w:sz w:val="30"/>
      <w:szCs w:val="30"/>
    </w:rPr>
  </w:style>
  <w:style w:type="paragraph" w:styleId="Heading2">
    <w:name w:val="heading 2"/>
    <w:uiPriority w:val="9"/>
    <w:unhideWhenUsed/>
    <w:qFormat/>
    <w:pPr>
      <w:spacing w:before="240" w:after="120"/>
      <w:outlineLvl w:val="1"/>
    </w:pPr>
    <w:rPr>
      <w:b/>
      <w:bCs/>
      <w:color w:val="1B2A4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1865</Words>
  <Characters>10636</Characters>
  <Application>Microsoft Office Word</Application>
  <DocSecurity>0</DocSecurity>
  <Lines>88</Lines>
  <Paragraphs>24</Paragraphs>
  <ScaleCrop>false</ScaleCrop>
  <Company/>
  <LinksUpToDate>false</LinksUpToDate>
  <CharactersWithSpaces>12477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Loretta Chapman</cp:lastModifiedBy>
  <cp:revision>2</cp:revision>
  <dcterms:created xsi:type="dcterms:W3CDTF">2026-07-18T19:31:00Z</dcterms:created>
  <dcterms:modified xsi:type="dcterms:W3CDTF">2026-07-18T19:31:00Z</dcterms:modified>
</cp:coreProperties>
</file>