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17761">
      <w:pPr>
        <w:pStyle w:val="7"/>
        <w:spacing w:line="360" w:lineRule="auto"/>
        <w:jc w:val="center"/>
        <w:rPr>
          <w:rFonts w:ascii="Times New Roman" w:hAnsi="Times New Roman" w:eastAsia="宋体" w:cs="Times New Roman"/>
          <w:b/>
          <w:sz w:val="48"/>
          <w:szCs w:val="48"/>
        </w:rPr>
      </w:pPr>
    </w:p>
    <w:p w14:paraId="6B817762">
      <w:pPr>
        <w:pStyle w:val="7"/>
        <w:spacing w:line="360" w:lineRule="auto"/>
        <w:jc w:val="center"/>
        <w:rPr>
          <w:rFonts w:ascii="Times New Roman" w:hAnsi="Times New Roman" w:eastAsia="宋体" w:cs="Times New Roman"/>
          <w:b/>
          <w:sz w:val="48"/>
          <w:szCs w:val="48"/>
        </w:rPr>
      </w:pPr>
    </w:p>
    <w:p w14:paraId="6B817763">
      <w:pPr>
        <w:pStyle w:val="7"/>
        <w:spacing w:line="360" w:lineRule="auto"/>
        <w:jc w:val="center"/>
        <w:rPr>
          <w:rFonts w:ascii="Times New Roman" w:hAnsi="Times New Roman" w:eastAsia="宋体" w:cs="Times New Roman"/>
          <w:b/>
          <w:sz w:val="48"/>
          <w:szCs w:val="48"/>
        </w:rPr>
      </w:pPr>
    </w:p>
    <w:p w14:paraId="6B817764">
      <w:pPr>
        <w:pStyle w:val="7"/>
        <w:spacing w:line="360" w:lineRule="auto"/>
        <w:jc w:val="center"/>
        <w:rPr>
          <w:rFonts w:ascii="Times New Roman" w:hAnsi="Times New Roman" w:eastAsia="宋体" w:cs="Times New Roman"/>
          <w:b/>
          <w:sz w:val="48"/>
          <w:szCs w:val="48"/>
        </w:rPr>
      </w:pPr>
    </w:p>
    <w:p w14:paraId="25DB0108">
      <w:pPr>
        <w:pStyle w:val="7"/>
        <w:spacing w:line="360" w:lineRule="auto"/>
        <w:jc w:val="center"/>
        <w:rPr>
          <w:rFonts w:hint="eastAsia" w:ascii="微软雅黑" w:hAnsi="微软雅黑" w:eastAsia="微软雅黑" w:cs="微软雅黑"/>
          <w:b/>
          <w:sz w:val="48"/>
          <w:szCs w:val="48"/>
          <w:lang w:val="en-US" w:eastAsia="zh-CN"/>
        </w:rPr>
      </w:pPr>
      <w:bookmarkStart w:id="0" w:name="_Toc7574613"/>
      <w:bookmarkStart w:id="1" w:name="_Toc799466465"/>
      <w:r>
        <w:rPr>
          <w:rFonts w:hint="eastAsia" w:ascii="微软雅黑" w:hAnsi="微软雅黑" w:eastAsia="微软雅黑" w:cs="微软雅黑"/>
          <w:b/>
          <w:sz w:val="48"/>
          <w:szCs w:val="48"/>
          <w:lang w:val="en-US" w:eastAsia="zh-CN"/>
        </w:rPr>
        <w:t>成都市食品检验研究院</w:t>
      </w:r>
    </w:p>
    <w:p w14:paraId="0DFC8B46">
      <w:pPr>
        <w:pStyle w:val="7"/>
        <w:spacing w:line="360" w:lineRule="auto"/>
        <w:jc w:val="center"/>
        <w:rPr>
          <w:rFonts w:hint="eastAsia" w:ascii="Times New Roman" w:hAnsi="Times New Roman" w:eastAsia="宋体" w:cs="Times New Roman"/>
          <w:b/>
          <w:sz w:val="48"/>
          <w:szCs w:val="48"/>
          <w:lang w:val="en-US" w:eastAsia="zh-CN"/>
        </w:rPr>
      </w:pPr>
    </w:p>
    <w:p w14:paraId="6B817766">
      <w:pPr>
        <w:pStyle w:val="7"/>
        <w:spacing w:line="360" w:lineRule="auto"/>
        <w:jc w:val="center"/>
        <w:rPr>
          <w:rFonts w:hint="eastAsia" w:ascii="微软雅黑" w:hAnsi="微软雅黑" w:eastAsia="微软雅黑" w:cs="微软雅黑"/>
          <w:b w:val="0"/>
          <w:bCs/>
          <w:sz w:val="48"/>
          <w:szCs w:val="48"/>
        </w:rPr>
      </w:pPr>
      <w:r>
        <w:rPr>
          <w:rFonts w:hint="eastAsia" w:ascii="微软雅黑" w:hAnsi="微软雅黑" w:eastAsia="微软雅黑" w:cs="微软雅黑"/>
          <w:b w:val="0"/>
          <w:bCs/>
          <w:sz w:val="48"/>
          <w:szCs w:val="48"/>
          <w:lang w:val="en-US" w:eastAsia="zh-CN"/>
        </w:rPr>
        <w:t>兽残专项全自动检测实验室详细设计方案</w:t>
      </w:r>
      <w:bookmarkEnd w:id="0"/>
      <w:bookmarkEnd w:id="1"/>
    </w:p>
    <w:p w14:paraId="6B817767">
      <w:pPr>
        <w:jc w:val="left"/>
        <w:rPr>
          <w:rFonts w:ascii="Times New Roman" w:hAnsi="Times New Roman" w:eastAsia="宋体" w:cs="Times New Roman"/>
        </w:rPr>
      </w:pPr>
    </w:p>
    <w:p w14:paraId="6B817768">
      <w:pPr>
        <w:jc w:val="left"/>
        <w:rPr>
          <w:rFonts w:ascii="Times New Roman" w:hAnsi="Times New Roman" w:eastAsia="宋体" w:cs="Times New Roman"/>
        </w:rPr>
      </w:pPr>
    </w:p>
    <w:p w14:paraId="6B817769">
      <w:pPr>
        <w:jc w:val="left"/>
        <w:rPr>
          <w:rFonts w:ascii="Times New Roman" w:hAnsi="Times New Roman" w:eastAsia="宋体" w:cs="Times New Roman"/>
        </w:rPr>
      </w:pPr>
    </w:p>
    <w:p w14:paraId="6B81776A">
      <w:pPr>
        <w:jc w:val="left"/>
        <w:rPr>
          <w:rFonts w:ascii="Times New Roman" w:hAnsi="Times New Roman" w:eastAsia="宋体" w:cs="Times New Roman"/>
        </w:rPr>
      </w:pPr>
    </w:p>
    <w:p w14:paraId="6B81776B">
      <w:pPr>
        <w:jc w:val="left"/>
        <w:rPr>
          <w:rFonts w:ascii="Times New Roman" w:hAnsi="Times New Roman" w:eastAsia="宋体" w:cs="Times New Roman"/>
        </w:rPr>
      </w:pPr>
    </w:p>
    <w:p w14:paraId="6B81776C">
      <w:pPr>
        <w:jc w:val="left"/>
        <w:rPr>
          <w:rFonts w:ascii="Times New Roman" w:hAnsi="Times New Roman" w:eastAsia="宋体" w:cs="Times New Roman"/>
        </w:rPr>
      </w:pPr>
    </w:p>
    <w:p w14:paraId="6B81776D">
      <w:pPr>
        <w:jc w:val="left"/>
        <w:rPr>
          <w:rFonts w:ascii="Times New Roman" w:hAnsi="Times New Roman" w:eastAsia="宋体" w:cs="Times New Roman"/>
        </w:rPr>
      </w:pPr>
    </w:p>
    <w:p w14:paraId="6B81776E">
      <w:pPr>
        <w:rPr>
          <w:rFonts w:ascii="Times New Roman" w:hAnsi="Times New Roman" w:eastAsia="宋体" w:cs="Times New Roman"/>
        </w:rPr>
      </w:pPr>
    </w:p>
    <w:p w14:paraId="6B81776F">
      <w:pPr>
        <w:rPr>
          <w:rFonts w:ascii="Times New Roman" w:hAnsi="Times New Roman" w:eastAsia="宋体" w:cs="Times New Roman"/>
        </w:rPr>
      </w:pPr>
    </w:p>
    <w:p w14:paraId="6B817770">
      <w:pPr>
        <w:rPr>
          <w:rFonts w:ascii="Times New Roman" w:hAnsi="Times New Roman" w:eastAsia="宋体" w:cs="Times New Roman"/>
        </w:rPr>
      </w:pPr>
    </w:p>
    <w:p w14:paraId="6B817771">
      <w:pPr>
        <w:rPr>
          <w:rFonts w:ascii="Times New Roman" w:hAnsi="Times New Roman" w:eastAsia="宋体" w:cs="Times New Roman"/>
        </w:rPr>
      </w:pPr>
    </w:p>
    <w:p w14:paraId="6B817772">
      <w:pPr>
        <w:rPr>
          <w:rFonts w:ascii="Times New Roman" w:hAnsi="Times New Roman" w:eastAsia="宋体" w:cs="Times New Roman"/>
        </w:rPr>
      </w:pPr>
    </w:p>
    <w:p w14:paraId="6B817773">
      <w:pPr>
        <w:rPr>
          <w:rFonts w:ascii="Times New Roman" w:hAnsi="Times New Roman" w:eastAsia="宋体" w:cs="Times New Roman"/>
        </w:rPr>
      </w:pPr>
    </w:p>
    <w:p w14:paraId="6B817774">
      <w:pPr>
        <w:rPr>
          <w:rFonts w:ascii="Times New Roman" w:hAnsi="Times New Roman" w:eastAsia="宋体" w:cs="Times New Roman"/>
        </w:rPr>
      </w:pPr>
    </w:p>
    <w:p w14:paraId="6B817775">
      <w:pPr>
        <w:rPr>
          <w:rFonts w:ascii="Times New Roman" w:hAnsi="Times New Roman" w:eastAsia="宋体" w:cs="Times New Roman"/>
        </w:rPr>
      </w:pPr>
    </w:p>
    <w:p w14:paraId="6B817776">
      <w:pPr>
        <w:rPr>
          <w:rFonts w:ascii="Times New Roman" w:hAnsi="Times New Roman" w:eastAsia="宋体" w:cs="Times New Roman"/>
        </w:rPr>
      </w:pPr>
    </w:p>
    <w:p w14:paraId="6B817777">
      <w:pPr>
        <w:rPr>
          <w:rFonts w:ascii="Times New Roman" w:hAnsi="Times New Roman" w:eastAsia="宋体" w:cs="Times New Roman"/>
        </w:rPr>
      </w:pPr>
    </w:p>
    <w:p w14:paraId="6B817778">
      <w:pPr>
        <w:spacing w:line="360" w:lineRule="auto"/>
        <w:jc w:val="center"/>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百泉聚兴（北京）科技有限公司</w:t>
      </w:r>
    </w:p>
    <w:p w14:paraId="6B817779">
      <w:pPr>
        <w:spacing w:line="360" w:lineRule="auto"/>
        <w:jc w:val="center"/>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202</w:t>
      </w:r>
      <w:r>
        <w:rPr>
          <w:rFonts w:hint="eastAsia" w:ascii="微软雅黑" w:hAnsi="微软雅黑" w:eastAsia="微软雅黑" w:cs="微软雅黑"/>
          <w:b/>
          <w:bCs/>
          <w:sz w:val="28"/>
          <w:szCs w:val="28"/>
          <w:lang w:val="en-US" w:eastAsia="zh-CN"/>
        </w:rPr>
        <w:t>6</w:t>
      </w:r>
      <w:r>
        <w:rPr>
          <w:rFonts w:hint="eastAsia" w:ascii="微软雅黑" w:hAnsi="微软雅黑" w:eastAsia="微软雅黑" w:cs="微软雅黑"/>
          <w:b/>
          <w:bCs/>
          <w:sz w:val="28"/>
          <w:szCs w:val="28"/>
        </w:rPr>
        <w:t>年</w:t>
      </w:r>
      <w:r>
        <w:rPr>
          <w:rFonts w:hint="eastAsia" w:ascii="微软雅黑" w:hAnsi="微软雅黑" w:eastAsia="微软雅黑" w:cs="微软雅黑"/>
          <w:b/>
          <w:bCs/>
          <w:sz w:val="28"/>
          <w:szCs w:val="28"/>
          <w:lang w:val="en-US" w:eastAsia="zh-CN"/>
        </w:rPr>
        <w:t>2</w:t>
      </w:r>
      <w:r>
        <w:rPr>
          <w:rFonts w:hint="eastAsia" w:ascii="微软雅黑" w:hAnsi="微软雅黑" w:eastAsia="微软雅黑" w:cs="微软雅黑"/>
          <w:b/>
          <w:bCs/>
          <w:sz w:val="28"/>
          <w:szCs w:val="28"/>
        </w:rPr>
        <w:t>月</w:t>
      </w:r>
    </w:p>
    <w:p w14:paraId="6B81777A">
      <w:pPr>
        <w:rPr>
          <w:rFonts w:ascii="Times New Roman" w:hAnsi="Times New Roman" w:eastAsia="宋体" w:cs="Times New Roman"/>
        </w:rPr>
      </w:pPr>
    </w:p>
    <w:p w14:paraId="6B81777B">
      <w:pPr>
        <w:rPr>
          <w:rFonts w:ascii="Times New Roman" w:hAnsi="Times New Roman" w:eastAsia="宋体" w:cs="Times New Roman"/>
        </w:rPr>
      </w:pPr>
    </w:p>
    <w:p w14:paraId="6B81777C">
      <w:pPr>
        <w:rPr>
          <w:rFonts w:ascii="Times New Roman" w:hAnsi="Times New Roman" w:eastAsia="宋体" w:cs="Times New Roman"/>
        </w:rPr>
      </w:pPr>
    </w:p>
    <w:p w14:paraId="6B81777D">
      <w:pPr>
        <w:rPr>
          <w:rFonts w:ascii="Times New Roman" w:hAnsi="Times New Roman" w:eastAsia="宋体" w:cs="Times New Roman"/>
        </w:rPr>
      </w:pPr>
    </w:p>
    <w:p w14:paraId="6B81777E">
      <w:pPr>
        <w:rPr>
          <w:rFonts w:ascii="Times New Roman" w:hAnsi="Times New Roman" w:eastAsia="宋体" w:cs="Times New Roman"/>
        </w:rPr>
      </w:pPr>
    </w:p>
    <w:p w14:paraId="6B81777F">
      <w:pPr>
        <w:rPr>
          <w:rFonts w:ascii="Times New Roman" w:hAnsi="Times New Roman" w:eastAsia="宋体" w:cs="Times New Roman"/>
        </w:rPr>
      </w:pPr>
    </w:p>
    <w:p w14:paraId="6B817784">
      <w:pPr>
        <w:rPr>
          <w:rFonts w:ascii="Times New Roman" w:hAnsi="Times New Roman" w:eastAsia="宋体" w:cs="Times New Roman"/>
        </w:rPr>
      </w:pPr>
    </w:p>
    <w:p w14:paraId="6792DD1D">
      <w:pPr>
        <w:pStyle w:val="2"/>
        <w:numPr>
          <w:ilvl w:val="0"/>
          <w:numId w:val="3"/>
        </w:numPr>
        <w:bidi w:val="0"/>
        <w:rPr>
          <w:rFonts w:hint="eastAsia" w:ascii="仿宋" w:hAnsi="仿宋" w:eastAsia="仿宋" w:cs="仿宋"/>
          <w:sz w:val="36"/>
          <w:szCs w:val="36"/>
        </w:rPr>
      </w:pPr>
      <w:r>
        <w:rPr>
          <w:rFonts w:hint="eastAsia" w:ascii="仿宋" w:hAnsi="仿宋" w:eastAsia="仿宋" w:cs="仿宋"/>
          <w:sz w:val="36"/>
          <w:szCs w:val="36"/>
          <w:lang w:val="en-US" w:eastAsia="zh-CN"/>
        </w:rPr>
        <w:t>项目概述</w:t>
      </w:r>
    </w:p>
    <w:p w14:paraId="65B3A704">
      <w:pPr>
        <w:pStyle w:val="3"/>
        <w:bidi w:val="0"/>
        <w:rPr>
          <w:rFonts w:hint="eastAsia"/>
        </w:rPr>
      </w:pPr>
      <w:r>
        <w:rPr>
          <w:rFonts w:hint="eastAsia" w:ascii="仿宋" w:hAnsi="仿宋" w:eastAsia="仿宋" w:cs="仿宋"/>
          <w:sz w:val="30"/>
          <w:szCs w:val="30"/>
          <w:lang w:val="en-US" w:eastAsia="zh-CN"/>
        </w:rPr>
        <w:t>1.1 基本情况概述</w:t>
      </w:r>
    </w:p>
    <w:p w14:paraId="3EEC7186">
      <w:pPr>
        <w:spacing w:before="240"/>
        <w:ind w:left="630" w:leftChars="300" w:firstLine="560" w:firstLineChars="20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成都市食品检验研究院，属市市监局正处级公益二类事业单位，承担食品、食用农产品等监督检验、风险监测与技术研究，是国家食品复检机构，牵头食用农产品抽检监测，开展多兽药残留检测技术攻关。</w:t>
      </w:r>
    </w:p>
    <w:p w14:paraId="311C7AF9">
      <w:pPr>
        <w:spacing w:before="240"/>
        <w:ind w:left="630" w:leftChars="300" w:firstLine="560" w:firstLineChars="20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成都食检院开展食品中硝基呋喃、氯霉素、磺胺类、沙星类兽残检测，前处理实操难点突出且极具针对性。四类兽残均为痕量残留，基质干扰极强，前处理是核心控险环节。人工操作前处理核心难点包括全程手工容错率极低，对人员熟练度要求高。样品均质易不均，高脂高蛋白基质分层，痕量兽残取样偏差大，重复性差。萃取极易乳化，分层困难且目标物易损失；SPE 柱活化、平衡、流速人工把控难，易柱干、堵塞、填料吸附，回收率波动大。氮吹浓缩控温控速难，热敏感物易分解、目标物易挥发，定容精度不足。基质杂质难除引发严重离子抑制，人工操作个体差异大，步骤繁琐，直接影响检测回收率、精准度与结果有效性。</w:t>
      </w:r>
    </w:p>
    <w:p w14:paraId="4565AD0D">
      <w:pPr>
        <w:spacing w:before="240"/>
        <w:ind w:left="630" w:leftChars="300" w:firstLine="560" w:firstLineChars="20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兽残专项自动化检测方案以多品类兽残高通量大筛查为核心基础，深度整合自动化前处理与上机检测全流程，可同步实现硝基呋喃、氯霉素、磺胺类、沙星类四大重点兽残的全自动化检测。方案覆盖样品自动均质、萃取、净化、浓缩、定容、进样等关键环节，全程替代人工繁琐操作，精准规避人工均质不均、萃取乳化、SPE 柱操作偏差、氮吹损失等痛点，有效解决人工操作个体差异大、重复性差、效率低的问题，大幅提升检测回收率与精准度，同时降低基质干扰影响，兼顾高通量筛查与靶向定量需求，适配各类食品基质检测场景，实现兽残检测提质增效、结果精准可控。</w:t>
      </w:r>
    </w:p>
    <w:p w14:paraId="01030E87">
      <w:pPr>
        <w:pStyle w:val="3"/>
        <w:bidi w:val="0"/>
        <w:rPr>
          <w:rFonts w:hint="default"/>
          <w:lang w:val="en-US"/>
        </w:rPr>
      </w:pPr>
      <w:r>
        <w:rPr>
          <w:rFonts w:hint="eastAsia" w:ascii="仿宋" w:hAnsi="仿宋" w:eastAsia="仿宋" w:cs="仿宋"/>
          <w:sz w:val="30"/>
          <w:szCs w:val="30"/>
          <w:lang w:val="en-US" w:eastAsia="zh-CN"/>
        </w:rPr>
        <w:t>1.2 项目场地概述</w:t>
      </w:r>
    </w:p>
    <w:p w14:paraId="3949308D">
      <w:pPr>
        <w:spacing w:before="240"/>
        <w:rPr>
          <w:rFonts w:hint="default" w:ascii="仿宋" w:hAnsi="仿宋" w:eastAsia="仿宋" w:cs="宋体"/>
          <w:color w:val="FF0000"/>
          <w:kern w:val="0"/>
          <w:sz w:val="28"/>
          <w:szCs w:val="28"/>
          <w:lang w:val="en-US" w:eastAsia="zh-CN"/>
          <w14:ligatures w14:val="none"/>
        </w:rPr>
      </w:pPr>
      <w:r>
        <w:rPr>
          <w:rFonts w:hint="eastAsia" w:ascii="仿宋" w:hAnsi="仿宋" w:eastAsia="仿宋" w:cs="宋体"/>
          <w:color w:val="FF0000"/>
          <w:kern w:val="0"/>
          <w:sz w:val="28"/>
          <w:szCs w:val="28"/>
          <w:lang w:val="en-US" w:eastAsia="zh-CN"/>
          <w14:ligatures w14:val="none"/>
        </w:rPr>
        <w:t>全自动检测实验室基于现一楼器皿室和集中称量天平室改造建设，尺寸估算为15500*8800mm（W*D)，136.4平米。器皿室和天平室之间的隔断墙可打通。</w:t>
      </w:r>
    </w:p>
    <w:p w14:paraId="5539CBEE">
      <w:pPr>
        <w:spacing w:before="240"/>
        <w:rPr>
          <w:rFonts w:hint="eastAsia" w:ascii="仿宋" w:hAnsi="仿宋" w:eastAsia="仿宋" w:cs="宋体"/>
          <w:color w:val="auto"/>
          <w:kern w:val="0"/>
          <w:sz w:val="28"/>
          <w:szCs w:val="28"/>
          <w:lang w:val="en-US" w:eastAsia="zh-CN"/>
          <w14:ligatures w14:val="none"/>
        </w:rPr>
      </w:pPr>
      <w:r>
        <w:drawing>
          <wp:anchor distT="0" distB="0" distL="114300" distR="114300" simplePos="0" relativeHeight="251669504" behindDoc="0" locked="0" layoutInCell="1" allowOverlap="1">
            <wp:simplePos x="0" y="0"/>
            <wp:positionH relativeFrom="column">
              <wp:posOffset>139700</wp:posOffset>
            </wp:positionH>
            <wp:positionV relativeFrom="paragraph">
              <wp:posOffset>162560</wp:posOffset>
            </wp:positionV>
            <wp:extent cx="6186170" cy="4020185"/>
            <wp:effectExtent l="0" t="0" r="11430" b="18415"/>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6186170" cy="4020185"/>
                    </a:xfrm>
                    <a:prstGeom prst="rect">
                      <a:avLst/>
                    </a:prstGeom>
                    <a:noFill/>
                    <a:ln>
                      <a:noFill/>
                    </a:ln>
                  </pic:spPr>
                </pic:pic>
              </a:graphicData>
            </a:graphic>
          </wp:anchor>
        </w:drawing>
      </w:r>
    </w:p>
    <w:p w14:paraId="6EF594CF">
      <w:pPr>
        <w:spacing w:before="240"/>
        <w:rPr>
          <w:rFonts w:hint="eastAsia" w:ascii="仿宋" w:hAnsi="仿宋" w:eastAsia="仿宋" w:cs="宋体"/>
          <w:color w:val="auto"/>
          <w:kern w:val="0"/>
          <w:sz w:val="28"/>
          <w:szCs w:val="28"/>
          <w:lang w:val="en-US" w:eastAsia="zh-CN"/>
          <w14:ligatures w14:val="none"/>
        </w:rPr>
      </w:pPr>
    </w:p>
    <w:p w14:paraId="33F95827">
      <w:pPr>
        <w:spacing w:before="240"/>
        <w:rPr>
          <w:rFonts w:hint="eastAsia" w:ascii="仿宋" w:hAnsi="仿宋" w:eastAsia="仿宋" w:cs="宋体"/>
          <w:color w:val="auto"/>
          <w:kern w:val="0"/>
          <w:sz w:val="28"/>
          <w:szCs w:val="28"/>
          <w:lang w:val="en-US" w:eastAsia="zh-CN"/>
          <w14:ligatures w14:val="none"/>
        </w:rPr>
      </w:pPr>
    </w:p>
    <w:p w14:paraId="0C6DBE11">
      <w:pPr>
        <w:spacing w:before="240"/>
        <w:rPr>
          <w:rFonts w:hint="eastAsia" w:ascii="仿宋" w:hAnsi="仿宋" w:eastAsia="仿宋" w:cs="宋体"/>
          <w:color w:val="auto"/>
          <w:kern w:val="0"/>
          <w:sz w:val="28"/>
          <w:szCs w:val="28"/>
          <w:lang w:val="en-US" w:eastAsia="zh-CN"/>
          <w14:ligatures w14:val="none"/>
        </w:rPr>
      </w:pPr>
    </w:p>
    <w:p w14:paraId="25376C23">
      <w:pPr>
        <w:spacing w:before="240"/>
        <w:rPr>
          <w:rFonts w:hint="eastAsia" w:ascii="仿宋" w:hAnsi="仿宋" w:eastAsia="仿宋" w:cs="宋体"/>
          <w:color w:val="auto"/>
          <w:kern w:val="0"/>
          <w:sz w:val="28"/>
          <w:szCs w:val="28"/>
          <w:lang w:val="en-US" w:eastAsia="zh-CN"/>
          <w14:ligatures w14:val="none"/>
        </w:rPr>
      </w:pPr>
    </w:p>
    <w:p w14:paraId="398081BA">
      <w:pPr>
        <w:spacing w:before="240"/>
        <w:rPr>
          <w:rFonts w:hint="eastAsia" w:ascii="仿宋" w:hAnsi="仿宋" w:eastAsia="仿宋" w:cs="宋体"/>
          <w:color w:val="auto"/>
          <w:kern w:val="0"/>
          <w:sz w:val="28"/>
          <w:szCs w:val="28"/>
          <w:lang w:val="en-US" w:eastAsia="zh-CN"/>
          <w14:ligatures w14:val="none"/>
        </w:rPr>
      </w:pPr>
    </w:p>
    <w:p w14:paraId="53FBC519">
      <w:pPr>
        <w:spacing w:before="240"/>
        <w:rPr>
          <w:rFonts w:hint="eastAsia" w:ascii="仿宋" w:hAnsi="仿宋" w:eastAsia="仿宋" w:cs="宋体"/>
          <w:color w:val="auto"/>
          <w:kern w:val="0"/>
          <w:sz w:val="28"/>
          <w:szCs w:val="28"/>
          <w:lang w:val="en-US" w:eastAsia="zh-CN"/>
          <w14:ligatures w14:val="none"/>
        </w:rPr>
      </w:pPr>
    </w:p>
    <w:p w14:paraId="036548F6">
      <w:pPr>
        <w:spacing w:before="240"/>
        <w:rPr>
          <w:rFonts w:hint="eastAsia" w:ascii="仿宋" w:hAnsi="仿宋" w:eastAsia="仿宋" w:cs="宋体"/>
          <w:color w:val="auto"/>
          <w:kern w:val="0"/>
          <w:sz w:val="28"/>
          <w:szCs w:val="28"/>
          <w:lang w:val="en-US" w:eastAsia="zh-CN"/>
          <w14:ligatures w14:val="none"/>
        </w:rPr>
      </w:pPr>
    </w:p>
    <w:p w14:paraId="71ED1F84">
      <w:pPr>
        <w:spacing w:before="240"/>
        <w:jc w:val="center"/>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图1-2-1 实验室原始结构尺寸图</w:t>
      </w:r>
    </w:p>
    <w:p w14:paraId="1AE5C510">
      <w:pPr>
        <w:spacing w:before="240"/>
        <w:rPr>
          <w:rFonts w:hint="eastAsia" w:ascii="仿宋" w:hAnsi="仿宋" w:eastAsia="仿宋" w:cs="宋体"/>
          <w:color w:val="auto"/>
          <w:kern w:val="0"/>
          <w:sz w:val="28"/>
          <w:szCs w:val="28"/>
          <w:lang w:val="en-US" w:eastAsia="zh-CN"/>
          <w14:ligatures w14:val="none"/>
        </w:rPr>
      </w:pPr>
    </w:p>
    <w:p w14:paraId="5A3B2452">
      <w:pPr>
        <w:spacing w:before="240"/>
        <w:rPr>
          <w:rFonts w:hint="eastAsia" w:ascii="仿宋" w:hAnsi="仿宋" w:eastAsia="仿宋" w:cs="宋体"/>
          <w:color w:val="auto"/>
          <w:kern w:val="0"/>
          <w:sz w:val="28"/>
          <w:szCs w:val="28"/>
          <w:lang w:val="en-US" w:eastAsia="zh-CN"/>
          <w14:ligatures w14:val="none"/>
        </w:rPr>
      </w:pPr>
    </w:p>
    <w:p w14:paraId="23D6BA2A">
      <w:pPr>
        <w:pStyle w:val="2"/>
        <w:numPr>
          <w:ilvl w:val="0"/>
          <w:numId w:val="3"/>
        </w:numPr>
        <w:bidi w:val="0"/>
        <w:spacing w:line="240" w:lineRule="auto"/>
        <w:rPr>
          <w:rFonts w:hint="eastAsia" w:ascii="仿宋" w:hAnsi="仿宋" w:eastAsia="仿宋" w:cs="仿宋"/>
          <w:b/>
          <w:sz w:val="36"/>
          <w:szCs w:val="36"/>
          <w:lang w:val="en-US" w:eastAsia="zh-CN"/>
        </w:rPr>
      </w:pPr>
      <w:r>
        <w:rPr>
          <w:rFonts w:hint="eastAsia" w:ascii="仿宋" w:hAnsi="仿宋" w:eastAsia="仿宋" w:cs="仿宋"/>
          <w:b/>
          <w:sz w:val="36"/>
          <w:szCs w:val="36"/>
          <w:lang w:val="en-US" w:eastAsia="zh-CN"/>
        </w:rPr>
        <w:t>自动化需求概述</w:t>
      </w:r>
    </w:p>
    <w:p w14:paraId="31296418">
      <w:pPr>
        <w:spacing w:before="240"/>
        <w:ind w:left="630" w:leftChars="300" w:firstLine="560" w:firstLineChars="20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本方案可实现五大国家标准项下兽残的自动化前处理与一体化检测，高效覆盖硝基呋喃、氯霉素、磺胺类、沙星类等重点检测项目，核心检测效率与通量实现跨越式提升：</w:t>
      </w:r>
    </w:p>
    <w:p w14:paraId="556CEACD">
      <w:pPr>
        <w:numPr>
          <w:ilvl w:val="0"/>
          <w:numId w:val="4"/>
        </w:numPr>
        <w:spacing w:before="240"/>
        <w:ind w:left="1680" w:leftChars="0" w:hanging="420" w:firstLineChars="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硝基呋喃检测依托自动化全流程，20 天即可完成 200 个样品的全流程检测与报告出具；</w:t>
      </w:r>
    </w:p>
    <w:p w14:paraId="7AE2E491">
      <w:pPr>
        <w:numPr>
          <w:ilvl w:val="0"/>
          <w:numId w:val="4"/>
        </w:numPr>
        <w:spacing w:before="240"/>
        <w:ind w:left="1680" w:leftChars="0" w:hanging="420" w:firstLineChars="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氯霉素单品类年上机检测量可达约 10000 针，磺胺类与沙星类组合年上机总量约 10000 针；</w:t>
      </w:r>
    </w:p>
    <w:p w14:paraId="0525D81C">
      <w:pPr>
        <w:numPr>
          <w:ilvl w:val="0"/>
          <w:numId w:val="4"/>
        </w:numPr>
        <w:spacing w:before="240"/>
        <w:ind w:left="1680" w:leftChars="0" w:hanging="420" w:firstLineChars="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针对不同样品检项的差异化需求，自动化系统可灵活适配、精准调度，核心环节全程无需人工干预，所有样品统一收样后，均可在 20 天内完成全流程检测并出具权威报告，兼顾高通量检测需求与结果时效性。</w:t>
      </w:r>
    </w:p>
    <w:p w14:paraId="04052F63">
      <w:pPr>
        <w:pStyle w:val="3"/>
        <w:bidi w:val="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2.1 检测标准与设备适配表</w:t>
      </w:r>
    </w:p>
    <w:p w14:paraId="787E47CB">
      <w:pPr>
        <w:spacing w:before="240"/>
        <w:ind w:left="630" w:leftChars="0" w:hanging="630" w:hangingChars="225"/>
        <w:jc w:val="left"/>
        <w:rPr>
          <w:rFonts w:hint="default"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图2-1 自动化需求统计表</w:t>
      </w:r>
    </w:p>
    <w:p w14:paraId="4EA3E8DD">
      <w:pPr>
        <w:rPr>
          <w:rFonts w:hint="eastAsia"/>
          <w:lang w:val="en-US" w:eastAsia="zh-CN"/>
        </w:rPr>
      </w:pPr>
    </w:p>
    <w:tbl>
      <w:tblPr>
        <w:tblW w:w="9893"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2282"/>
        <w:gridCol w:w="3600"/>
        <w:gridCol w:w="2506"/>
        <w:gridCol w:w="1505"/>
      </w:tblGrid>
      <w:tr w14:paraId="2395F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blHeader/>
        </w:trPr>
        <w:tc>
          <w:tcPr>
            <w:tcW w:w="2282" w:type="dxa"/>
            <w:shd w:val="clear"/>
            <w:noWrap/>
            <w:vAlign w:val="center"/>
          </w:tcPr>
          <w:p w14:paraId="11D2FAC5">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检测方法号</w:t>
            </w:r>
          </w:p>
        </w:tc>
        <w:tc>
          <w:tcPr>
            <w:tcW w:w="3600" w:type="dxa"/>
            <w:shd w:val="clear"/>
            <w:noWrap/>
            <w:vAlign w:val="center"/>
          </w:tcPr>
          <w:p w14:paraId="11C1E032">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检测项目</w:t>
            </w:r>
          </w:p>
        </w:tc>
        <w:tc>
          <w:tcPr>
            <w:tcW w:w="2506" w:type="dxa"/>
            <w:shd w:val="clear"/>
            <w:noWrap/>
            <w:vAlign w:val="center"/>
          </w:tcPr>
          <w:p w14:paraId="38A78818">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前处理自动化系统</w:t>
            </w:r>
          </w:p>
        </w:tc>
        <w:tc>
          <w:tcPr>
            <w:tcW w:w="1505" w:type="dxa"/>
            <w:shd w:val="clear"/>
            <w:noWrap/>
            <w:vAlign w:val="center"/>
          </w:tcPr>
          <w:p w14:paraId="56C195C2">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检测仪器</w:t>
            </w:r>
          </w:p>
        </w:tc>
      </w:tr>
      <w:tr w14:paraId="440B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blHeader/>
        </w:trPr>
        <w:tc>
          <w:tcPr>
            <w:tcW w:w="2282" w:type="dxa"/>
            <w:shd w:val="clear"/>
            <w:noWrap/>
            <w:vAlign w:val="center"/>
          </w:tcPr>
          <w:p w14:paraId="3470586A">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GBxxx.2-2020</w:t>
            </w:r>
          </w:p>
        </w:tc>
        <w:tc>
          <w:tcPr>
            <w:tcW w:w="3600" w:type="dxa"/>
            <w:shd w:val="clear"/>
            <w:noWrap/>
            <w:vAlign w:val="center"/>
          </w:tcPr>
          <w:p w14:paraId="3CF935F7">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127 种药物残留量</w:t>
            </w:r>
          </w:p>
        </w:tc>
        <w:tc>
          <w:tcPr>
            <w:tcW w:w="2506" w:type="dxa"/>
            <w:shd w:val="clear"/>
            <w:noWrap/>
            <w:vAlign w:val="center"/>
          </w:tcPr>
          <w:p w14:paraId="55A7BE1A">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兽残专项前处理系统</w:t>
            </w:r>
          </w:p>
        </w:tc>
        <w:tc>
          <w:tcPr>
            <w:tcW w:w="1505" w:type="dxa"/>
            <w:shd w:val="clear"/>
            <w:noWrap/>
            <w:vAlign w:val="center"/>
          </w:tcPr>
          <w:p w14:paraId="6AF04D5C">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LC-Q-TOF</w:t>
            </w:r>
          </w:p>
        </w:tc>
      </w:tr>
      <w:tr w14:paraId="7FD8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blHeader/>
        </w:trPr>
        <w:tc>
          <w:tcPr>
            <w:tcW w:w="2282" w:type="dxa"/>
            <w:shd w:val="clear"/>
            <w:noWrap/>
            <w:vAlign w:val="center"/>
          </w:tcPr>
          <w:p w14:paraId="7E243FAC">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GB/T 21316-2007</w:t>
            </w:r>
          </w:p>
        </w:tc>
        <w:tc>
          <w:tcPr>
            <w:tcW w:w="3600" w:type="dxa"/>
            <w:shd w:val="clear"/>
            <w:noWrap/>
            <w:vAlign w:val="center"/>
          </w:tcPr>
          <w:p w14:paraId="00DF92EC">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磺胺喹嗯啉、磺胺二甲嘧啶</w:t>
            </w:r>
          </w:p>
        </w:tc>
        <w:tc>
          <w:tcPr>
            <w:tcW w:w="2506" w:type="dxa"/>
            <w:shd w:val="clear"/>
            <w:noWrap/>
            <w:vAlign w:val="center"/>
          </w:tcPr>
          <w:p w14:paraId="7663C6FF">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兽残专项前处理系统</w:t>
            </w:r>
          </w:p>
        </w:tc>
        <w:tc>
          <w:tcPr>
            <w:tcW w:w="1505" w:type="dxa"/>
            <w:shd w:val="clear"/>
            <w:noWrap/>
            <w:vAlign w:val="center"/>
          </w:tcPr>
          <w:p w14:paraId="3AE4A65E">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LC-MS/MS</w:t>
            </w:r>
          </w:p>
        </w:tc>
      </w:tr>
      <w:tr w14:paraId="77191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rHeight w:val="336" w:hRule="atLeast"/>
          <w:tblHeader/>
        </w:trPr>
        <w:tc>
          <w:tcPr>
            <w:tcW w:w="2282" w:type="dxa"/>
            <w:shd w:val="clear"/>
            <w:noWrap/>
            <w:vAlign w:val="center"/>
          </w:tcPr>
          <w:p w14:paraId="4D809A3B">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GB/T 20366-2006</w:t>
            </w:r>
          </w:p>
        </w:tc>
        <w:tc>
          <w:tcPr>
            <w:tcW w:w="3600" w:type="dxa"/>
            <w:shd w:val="clear"/>
            <w:noWrap/>
            <w:vAlign w:val="center"/>
          </w:tcPr>
          <w:p w14:paraId="13B0309A">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环丙沙星</w:t>
            </w:r>
          </w:p>
        </w:tc>
        <w:tc>
          <w:tcPr>
            <w:tcW w:w="2506" w:type="dxa"/>
            <w:shd w:val="clear"/>
            <w:noWrap/>
            <w:vAlign w:val="center"/>
          </w:tcPr>
          <w:p w14:paraId="47B1A8D4">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兽残专项前处理系统</w:t>
            </w:r>
          </w:p>
        </w:tc>
        <w:tc>
          <w:tcPr>
            <w:tcW w:w="1505" w:type="dxa"/>
            <w:shd w:val="clear"/>
            <w:noWrap/>
            <w:vAlign w:val="center"/>
          </w:tcPr>
          <w:p w14:paraId="69C46D47">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LC-MS/MS</w:t>
            </w:r>
          </w:p>
        </w:tc>
      </w:tr>
      <w:tr w14:paraId="6E964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rHeight w:val="336" w:hRule="atLeast"/>
          <w:tblHeader/>
        </w:trPr>
        <w:tc>
          <w:tcPr>
            <w:tcW w:w="2282" w:type="dxa"/>
            <w:shd w:val="clear"/>
            <w:noWrap/>
            <w:vAlign w:val="center"/>
          </w:tcPr>
          <w:p w14:paraId="29C28D98">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GB 31658.2-2021</w:t>
            </w:r>
          </w:p>
        </w:tc>
        <w:tc>
          <w:tcPr>
            <w:tcW w:w="3600" w:type="dxa"/>
            <w:shd w:val="clear"/>
            <w:noWrap/>
            <w:vAlign w:val="center"/>
          </w:tcPr>
          <w:p w14:paraId="6995403E">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氯霉素</w:t>
            </w:r>
          </w:p>
        </w:tc>
        <w:tc>
          <w:tcPr>
            <w:tcW w:w="2506" w:type="dxa"/>
            <w:shd w:val="clear"/>
            <w:noWrap/>
            <w:vAlign w:val="center"/>
          </w:tcPr>
          <w:p w14:paraId="6B970181">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兽残专项前处理系统</w:t>
            </w:r>
          </w:p>
        </w:tc>
        <w:tc>
          <w:tcPr>
            <w:tcW w:w="1505" w:type="dxa"/>
            <w:shd w:val="clear"/>
            <w:noWrap/>
            <w:vAlign w:val="center"/>
          </w:tcPr>
          <w:p w14:paraId="269B1BB7">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LC-MS/MS</w:t>
            </w:r>
          </w:p>
        </w:tc>
      </w:tr>
      <w:tr w14:paraId="5418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rHeight w:val="640" w:hRule="atLeast"/>
          <w:tblHeader/>
        </w:trPr>
        <w:tc>
          <w:tcPr>
            <w:tcW w:w="2282" w:type="dxa"/>
            <w:shd w:val="clear"/>
            <w:noWrap/>
            <w:vAlign w:val="center"/>
          </w:tcPr>
          <w:p w14:paraId="17E0E52A">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GB/T 21311-2007</w:t>
            </w:r>
          </w:p>
        </w:tc>
        <w:tc>
          <w:tcPr>
            <w:tcW w:w="3600" w:type="dxa"/>
            <w:shd w:val="clear"/>
            <w:vAlign w:val="center"/>
          </w:tcPr>
          <w:p w14:paraId="68929EAC">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呋喃它酮代谢物、呋喃妥因代谢物、呋喃唑酮代谢物</w:t>
            </w:r>
          </w:p>
        </w:tc>
        <w:tc>
          <w:tcPr>
            <w:tcW w:w="2506" w:type="dxa"/>
            <w:shd w:val="clear"/>
            <w:noWrap/>
            <w:vAlign w:val="center"/>
          </w:tcPr>
          <w:p w14:paraId="4A4C3740">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兽残专项前处理系统</w:t>
            </w:r>
          </w:p>
        </w:tc>
        <w:tc>
          <w:tcPr>
            <w:tcW w:w="1505" w:type="dxa"/>
            <w:shd w:val="clear"/>
            <w:noWrap/>
            <w:vAlign w:val="center"/>
          </w:tcPr>
          <w:p w14:paraId="6CA9BE55">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14:ligatures w14:val="standardContextual"/>
              </w:rPr>
              <w:t>LC-MS/MS</w:t>
            </w:r>
          </w:p>
        </w:tc>
      </w:tr>
    </w:tbl>
    <w:p w14:paraId="5D7DF8AA">
      <w:pPr>
        <w:spacing w:before="240"/>
        <w:rPr>
          <w:rFonts w:hint="eastAsia" w:ascii="仿宋" w:hAnsi="仿宋" w:eastAsia="仿宋" w:cs="宋体"/>
          <w:color w:val="auto"/>
          <w:kern w:val="0"/>
          <w:sz w:val="28"/>
          <w:szCs w:val="28"/>
          <w:lang w:val="en-US" w:eastAsia="zh-CN"/>
          <w14:ligatures w14:val="none"/>
        </w:rPr>
      </w:pPr>
    </w:p>
    <w:p w14:paraId="3176B06F">
      <w:pPr>
        <w:pStyle w:val="2"/>
        <w:numPr>
          <w:ilvl w:val="0"/>
          <w:numId w:val="3"/>
        </w:numPr>
        <w:bidi w:val="0"/>
        <w:spacing w:line="240" w:lineRule="auto"/>
        <w:rPr>
          <w:rFonts w:hint="eastAsia" w:ascii="仿宋" w:hAnsi="仿宋" w:eastAsia="仿宋" w:cs="仿宋"/>
          <w:b/>
          <w:sz w:val="36"/>
          <w:szCs w:val="36"/>
          <w:lang w:val="en-US" w:eastAsia="zh-CN"/>
        </w:rPr>
      </w:pPr>
      <w:r>
        <w:rPr>
          <w:rFonts w:hint="eastAsia" w:ascii="仿宋" w:hAnsi="仿宋" w:eastAsia="仿宋" w:cs="仿宋"/>
          <w:b/>
          <w:sz w:val="36"/>
          <w:szCs w:val="36"/>
          <w:lang w:val="en-US" w:eastAsia="zh-CN"/>
        </w:rPr>
        <w:t>自动化详细设计方案</w:t>
      </w:r>
    </w:p>
    <w:p w14:paraId="03E0EFDF">
      <w:pPr>
        <w:spacing w:before="240"/>
        <w:ind w:left="630" w:leftChars="300" w:firstLine="560" w:firstLineChars="20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本自动化系统以国家标准为设计依据，实现样品分样后的水解、衍生化、提取、净化和检测的全流程业务闭环自动化，整体采用模块化架构 + 智能物流联动 + 数字化管理设计，可灵活适配不同基质、不同检项的检测需求，同时保障系统稳定性、扩展性与操作便捷性。</w:t>
      </w:r>
    </w:p>
    <w:p w14:paraId="0E5FBBAD">
      <w:pPr>
        <w:rPr>
          <w:rFonts w:hint="eastAsia"/>
          <w:lang w:val="en-US" w:eastAsia="zh-CN"/>
        </w:rPr>
      </w:pPr>
    </w:p>
    <w:p w14:paraId="4117F101">
      <w:pPr>
        <w:pStyle w:val="3"/>
        <w:bidi w:val="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3.1 设计依据和改造布局图</w:t>
      </w:r>
    </w:p>
    <w:p w14:paraId="43572BAB">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3.1.1 设计依据</w:t>
      </w:r>
    </w:p>
    <w:p w14:paraId="2CF1DEF0">
      <w:pPr>
        <w:spacing w:before="240"/>
        <w:ind w:firstLine="560" w:firstLineChars="20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系统严格遵循以下国家标准开展系统设计与研发：</w:t>
      </w:r>
    </w:p>
    <w:p w14:paraId="29360D28">
      <w:pPr>
        <w:numPr>
          <w:ilvl w:val="0"/>
          <w:numId w:val="5"/>
        </w:numPr>
        <w:spacing w:before="240"/>
        <w:ind w:left="1265" w:leftChars="0" w:hanging="425" w:firstLineChars="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GBxxx.2—2020《食品安全国家标准 动物性食品中 127 种药物残留量的筛查 液相色谱 - 高分辨质谱法》</w:t>
      </w:r>
    </w:p>
    <w:p w14:paraId="2E82A4B2">
      <w:pPr>
        <w:numPr>
          <w:ilvl w:val="0"/>
          <w:numId w:val="5"/>
        </w:numPr>
        <w:spacing w:before="240"/>
        <w:ind w:left="1265" w:leftChars="0" w:hanging="425" w:firstLineChars="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GB/T 21311-2007《动物源性食品中硝基呋喃类药物代谢物残留量检测方法 高效液相色谱 / 串联质谱法》</w:t>
      </w:r>
    </w:p>
    <w:p w14:paraId="36BB1D66">
      <w:pPr>
        <w:numPr>
          <w:ilvl w:val="0"/>
          <w:numId w:val="5"/>
        </w:numPr>
        <w:spacing w:before="240"/>
        <w:ind w:left="1265" w:leftChars="0" w:hanging="425" w:firstLineChars="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GB 31658.2-2021《食品安全国家标准 动物性食品中氯霉素残留量的测定 液相色谱 - 串联质谱法》</w:t>
      </w:r>
    </w:p>
    <w:p w14:paraId="32F86D86">
      <w:pPr>
        <w:numPr>
          <w:ilvl w:val="0"/>
          <w:numId w:val="5"/>
        </w:numPr>
        <w:spacing w:before="240"/>
        <w:ind w:left="1265" w:leftChars="0" w:hanging="425" w:firstLineChars="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GB/T 21316-2007《动物源性食品中磺胺类药物残留量的测定 液相色谱 - 质谱 / 质谱法》</w:t>
      </w:r>
    </w:p>
    <w:p w14:paraId="307C5752">
      <w:pPr>
        <w:numPr>
          <w:ilvl w:val="0"/>
          <w:numId w:val="5"/>
        </w:numPr>
        <w:spacing w:before="240"/>
        <w:ind w:left="1265" w:leftChars="0" w:hanging="425" w:firstLineChars="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GB/T 20366-2006《动物源产品中喹诺酮类残留量的测定 液相色谱 - 串联质谱法》</w:t>
      </w:r>
    </w:p>
    <w:p w14:paraId="3BEEB843">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3.1.2 整体布局设计</w:t>
      </w:r>
      <w:bookmarkStart w:id="5" w:name="_GoBack"/>
      <w:bookmarkEnd w:id="5"/>
    </w:p>
    <w:p w14:paraId="2A778C0C">
      <w:pPr>
        <w:spacing w:before="240"/>
        <w:ind w:firstLine="560" w:firstLineChars="20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系统</w:t>
      </w:r>
      <w:r>
        <w:rPr>
          <w:rFonts w:hint="eastAsia" w:ascii="仿宋" w:hAnsi="仿宋" w:eastAsia="仿宋" w:cs="宋体"/>
          <w:color w:val="auto"/>
          <w:kern w:val="0"/>
          <w:sz w:val="28"/>
          <w:szCs w:val="28"/>
          <w:lang w:val="en-US" w:eastAsia="zh-CN"/>
          <w14:ligatures w14:val="none"/>
        </w:rPr>
        <w:t>整体方案规划分为智能线边仓库、提取平台、水解（均质、加标和调ph）平台、离心净化平台、SPE净化和过滤平台、液液萃取净化平台、恒温衍生化平台、低温样品存储平台、自动化LC-Q-TOF检测平台、自动化LC-MS/MS检测平台、手工实验平台、自动化物流搬运平台、中央控制系统和数字化孪生系统。</w:t>
      </w:r>
      <w:r>
        <w:rPr>
          <w:rFonts w:hint="eastAsia" w:ascii="仿宋" w:hAnsi="仿宋" w:eastAsia="仿宋" w:cs="宋体"/>
          <w:color w:val="auto"/>
          <w:kern w:val="0"/>
          <w:sz w:val="28"/>
          <w:szCs w:val="28"/>
          <w:lang w:val="en-US" w:eastAsia="zh-CN"/>
          <w14:ligatures w14:val="none"/>
        </w:rPr>
        <w:t>各模块通过自动化物流搬运平台联动，配套智能控制和管理系统 和 数字化孪生系统实现全流程监控、调度与追溯，布局兼顾操作便捷性、流程合理性与空间利用率。</w:t>
      </w:r>
    </w:p>
    <w:p w14:paraId="28E2233F">
      <w:pPr>
        <w:pStyle w:val="9"/>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以下是系统设计布局图：</w:t>
      </w:r>
    </w:p>
    <w:p w14:paraId="03859C5F">
      <w:pPr>
        <w:pStyle w:val="12"/>
        <w:rPr>
          <w:rFonts w:hint="eastAsia" w:ascii="仿宋" w:hAnsi="仿宋" w:eastAsia="仿宋" w:cs="宋体"/>
          <w:color w:val="auto"/>
          <w:kern w:val="0"/>
          <w:sz w:val="28"/>
          <w:szCs w:val="28"/>
          <w:lang w:val="en-US" w:eastAsia="zh-CN" w:bidi="ar-SA"/>
          <w14:ligatures w14:val="none"/>
        </w:rPr>
      </w:pPr>
      <w:r>
        <w:drawing>
          <wp:anchor distT="0" distB="0" distL="114300" distR="114300" simplePos="0" relativeHeight="251659264" behindDoc="0" locked="0" layoutInCell="1" allowOverlap="1">
            <wp:simplePos x="0" y="0"/>
            <wp:positionH relativeFrom="column">
              <wp:posOffset>-107950</wp:posOffset>
            </wp:positionH>
            <wp:positionV relativeFrom="paragraph">
              <wp:posOffset>45720</wp:posOffset>
            </wp:positionV>
            <wp:extent cx="6736715" cy="1800225"/>
            <wp:effectExtent l="0" t="0" r="19685" b="3175"/>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6736715" cy="1800225"/>
                    </a:xfrm>
                    <a:prstGeom prst="rect">
                      <a:avLst/>
                    </a:prstGeom>
                    <a:noFill/>
                    <a:ln>
                      <a:noFill/>
                    </a:ln>
                  </pic:spPr>
                </pic:pic>
              </a:graphicData>
            </a:graphic>
          </wp:anchor>
        </w:drawing>
      </w:r>
    </w:p>
    <w:p w14:paraId="70FB6962">
      <w:pPr>
        <w:spacing w:line="240" w:lineRule="auto"/>
        <w:ind w:left="0" w:leftChars="0" w:firstLine="0" w:firstLineChars="0"/>
        <w:rPr>
          <w:rFonts w:hint="eastAsia" w:eastAsia="宋体"/>
          <w:lang w:eastAsia="zh-CN"/>
        </w:rPr>
      </w:pPr>
    </w:p>
    <w:p w14:paraId="276A52D3">
      <w:pPr>
        <w:spacing w:line="240" w:lineRule="auto"/>
        <w:ind w:left="0" w:leftChars="0" w:firstLine="0" w:firstLineChars="0"/>
        <w:rPr>
          <w:rFonts w:hint="eastAsia" w:eastAsia="宋体"/>
          <w:lang w:eastAsia="zh-CN"/>
        </w:rPr>
      </w:pPr>
    </w:p>
    <w:p w14:paraId="077A5C9C">
      <w:pPr>
        <w:spacing w:line="240" w:lineRule="auto"/>
        <w:ind w:left="0" w:leftChars="0" w:firstLine="0" w:firstLineChars="0"/>
        <w:rPr>
          <w:rFonts w:hint="eastAsia" w:eastAsia="宋体"/>
          <w:lang w:eastAsia="zh-CN"/>
        </w:rPr>
      </w:pPr>
    </w:p>
    <w:p w14:paraId="350CD348">
      <w:pPr>
        <w:spacing w:line="240" w:lineRule="auto"/>
        <w:ind w:left="0" w:leftChars="0" w:firstLine="0" w:firstLineChars="0"/>
        <w:rPr>
          <w:rFonts w:hint="eastAsia" w:eastAsia="宋体"/>
          <w:lang w:eastAsia="zh-CN"/>
        </w:rPr>
      </w:pPr>
    </w:p>
    <w:p w14:paraId="536201C3">
      <w:pPr>
        <w:spacing w:line="240" w:lineRule="auto"/>
        <w:ind w:left="0" w:leftChars="0" w:firstLine="0" w:firstLineChars="0"/>
        <w:rPr>
          <w:rFonts w:hint="eastAsia" w:eastAsia="宋体"/>
          <w:lang w:eastAsia="zh-CN"/>
        </w:rPr>
      </w:pPr>
    </w:p>
    <w:p w14:paraId="62049466">
      <w:pPr>
        <w:spacing w:line="240" w:lineRule="auto"/>
        <w:ind w:left="0" w:leftChars="0" w:firstLine="0" w:firstLineChars="0"/>
        <w:rPr>
          <w:rFonts w:hint="eastAsia" w:eastAsia="宋体"/>
          <w:lang w:eastAsia="zh-CN"/>
        </w:rPr>
      </w:pPr>
    </w:p>
    <w:p w14:paraId="7656EF41">
      <w:pPr>
        <w:spacing w:line="240" w:lineRule="auto"/>
        <w:ind w:left="0" w:leftChars="0" w:firstLine="0" w:firstLineChars="0"/>
        <w:rPr>
          <w:rFonts w:hint="eastAsia" w:eastAsia="宋体"/>
          <w:lang w:eastAsia="zh-CN"/>
        </w:rPr>
      </w:pPr>
    </w:p>
    <w:p w14:paraId="4CE426FE">
      <w:pPr>
        <w:spacing w:line="240" w:lineRule="auto"/>
        <w:ind w:left="0" w:leftChars="0" w:firstLine="0" w:firstLineChars="0"/>
        <w:rPr>
          <w:rFonts w:hint="eastAsia" w:eastAsia="宋体"/>
          <w:lang w:eastAsia="zh-CN"/>
        </w:rPr>
      </w:pPr>
    </w:p>
    <w:p w14:paraId="264B4568">
      <w:pPr>
        <w:spacing w:before="240"/>
        <w:jc w:val="center"/>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图3-1-1 智能化实验室规划布局图</w:t>
      </w:r>
    </w:p>
    <w:p w14:paraId="642179BB">
      <w:pPr>
        <w:spacing w:before="240"/>
        <w:ind w:firstLine="560" w:firstLineChars="20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所有设备主体均为预先完成机械结构和电气设备集成装配的标准化产品，现场仅需完成模块拼接、调试与联动，大幅缩短现场建设周期。</w:t>
      </w:r>
    </w:p>
    <w:p w14:paraId="52322F32">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3.1.3 管道排风系统改造设计</w:t>
      </w:r>
    </w:p>
    <w:p w14:paraId="0C661DBE">
      <w:pPr>
        <w:rPr>
          <w:rFonts w:hint="default"/>
          <w:lang w:val="en-US" w:eastAsia="zh-CN"/>
        </w:rPr>
      </w:pPr>
    </w:p>
    <w:p w14:paraId="3DFF8595">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3.1.4 气路分布系统改造设计</w:t>
      </w:r>
    </w:p>
    <w:p w14:paraId="48B4CE68">
      <w:pPr>
        <w:rPr>
          <w:rFonts w:hint="default"/>
          <w:lang w:val="en-US" w:eastAsia="zh-CN"/>
        </w:rPr>
      </w:pPr>
    </w:p>
    <w:p w14:paraId="32E627F1">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3.1.4 强弱电和网络系统改造设计</w:t>
      </w:r>
    </w:p>
    <w:p w14:paraId="44B00F1B">
      <w:pPr>
        <w:spacing w:before="240"/>
        <w:ind w:firstLine="560" w:firstLineChars="200"/>
        <w:rPr>
          <w:rFonts w:hint="default" w:ascii="仿宋" w:hAnsi="仿宋" w:eastAsia="仿宋" w:cs="宋体"/>
          <w:color w:val="auto"/>
          <w:kern w:val="0"/>
          <w:sz w:val="28"/>
          <w:szCs w:val="28"/>
          <w:lang w:val="en-US" w:eastAsia="zh-CN"/>
          <w14:ligatures w14:val="none"/>
        </w:rPr>
      </w:pPr>
    </w:p>
    <w:p w14:paraId="57161A4D">
      <w:pPr>
        <w:pStyle w:val="3"/>
        <w:bidi w:val="0"/>
        <w:spacing w:line="240" w:lineRule="auto"/>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3.2 提取平台</w:t>
      </w:r>
    </w:p>
    <w:p w14:paraId="04DF5EB4">
      <w:pPr>
        <w:pStyle w:val="4"/>
        <w:ind w:firstLine="482"/>
        <w:rPr>
          <w:rFonts w:hint="default" w:ascii="仿宋" w:hAnsi="仿宋" w:eastAsia="仿宋" w:cs="宋体"/>
          <w:b w:val="0"/>
          <w:bCs w:val="0"/>
          <w:color w:val="auto"/>
          <w:kern w:val="0"/>
          <w:sz w:val="28"/>
          <w:szCs w:val="28"/>
          <w:lang w:val="en-US" w:eastAsia="zh-CN" w:bidi="ar-SA"/>
          <w14:ligatures w14:val="none"/>
        </w:rPr>
      </w:pPr>
      <w:bookmarkStart w:id="2" w:name="_Toc852264611"/>
      <w:r>
        <w:rPr>
          <w:rFonts w:hint="eastAsia" w:ascii="仿宋" w:hAnsi="仿宋" w:eastAsia="仿宋" w:cs="宋体"/>
          <w:b w:val="0"/>
          <w:bCs w:val="0"/>
          <w:color w:val="auto"/>
          <w:kern w:val="0"/>
          <w:sz w:val="28"/>
          <w:szCs w:val="28"/>
          <w:lang w:val="en-US" w:eastAsia="zh-CN" w:bidi="ar-SA"/>
          <w14:ligatures w14:val="none"/>
        </w:rPr>
        <w:t>3.2.1</w:t>
      </w:r>
      <w:r>
        <w:rPr>
          <w:rFonts w:hint="eastAsia" w:ascii="仿宋" w:hAnsi="仿宋" w:eastAsia="仿宋" w:cs="宋体"/>
          <w:b w:val="0"/>
          <w:bCs w:val="0"/>
          <w:color w:val="auto"/>
          <w:kern w:val="0"/>
          <w:sz w:val="28"/>
          <w:szCs w:val="28"/>
          <w:lang w:val="en-GB" w:eastAsia="zh-CN" w:bidi="ar-SA"/>
          <w14:ligatures w14:val="none"/>
        </w:rPr>
        <w:t>、</w:t>
      </w:r>
      <w:r>
        <w:rPr>
          <w:rFonts w:hint="eastAsia" w:ascii="仿宋" w:hAnsi="仿宋" w:eastAsia="仿宋" w:cs="宋体"/>
          <w:b w:val="0"/>
          <w:bCs w:val="0"/>
          <w:color w:val="auto"/>
          <w:kern w:val="0"/>
          <w:sz w:val="28"/>
          <w:szCs w:val="28"/>
          <w:lang w:val="en-US" w:eastAsia="zh-CN" w:bidi="ar-SA"/>
          <w14:ligatures w14:val="none"/>
        </w:rPr>
        <w:t>平台组成</w:t>
      </w:r>
      <w:bookmarkEnd w:id="2"/>
    </w:p>
    <w:p w14:paraId="70E78C94">
      <w:pPr>
        <w:widowControl/>
        <w:ind w:firstLine="480"/>
        <w:jc w:val="left"/>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提取平台包括搬运模块、扫码模块、加液涡旋模块、振荡模块、全量上清转移模块、离心模块移液模块和上下样模块。</w:t>
      </w:r>
    </w:p>
    <w:p w14:paraId="31DB363B">
      <w:pPr>
        <w:widowControl/>
        <w:ind w:firstLine="480"/>
        <w:jc w:val="left"/>
        <w:rPr>
          <w:rFonts w:hint="eastAsia" w:ascii="仿宋" w:hAnsi="仿宋" w:eastAsia="仿宋" w:cs="宋体"/>
          <w:b w:val="0"/>
          <w:bCs w:val="0"/>
          <w:color w:val="auto"/>
          <w:kern w:val="0"/>
          <w:sz w:val="28"/>
          <w:szCs w:val="28"/>
          <w:lang w:val="en-US" w:eastAsia="zh-CN" w:bidi="ar-SA"/>
          <w14:ligatures w14:val="none"/>
        </w:rPr>
      </w:pPr>
      <w:r>
        <w:drawing>
          <wp:anchor distT="0" distB="0" distL="114300" distR="114300" simplePos="0" relativeHeight="251660288" behindDoc="0" locked="0" layoutInCell="1" allowOverlap="1">
            <wp:simplePos x="0" y="0"/>
            <wp:positionH relativeFrom="column">
              <wp:posOffset>444500</wp:posOffset>
            </wp:positionH>
            <wp:positionV relativeFrom="paragraph">
              <wp:posOffset>69850</wp:posOffset>
            </wp:positionV>
            <wp:extent cx="4954905" cy="1475740"/>
            <wp:effectExtent l="0" t="0" r="23495" b="22860"/>
            <wp:wrapNone/>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4954905" cy="1475740"/>
                    </a:xfrm>
                    <a:prstGeom prst="rect">
                      <a:avLst/>
                    </a:prstGeom>
                    <a:noFill/>
                    <a:ln>
                      <a:noFill/>
                    </a:ln>
                  </pic:spPr>
                </pic:pic>
              </a:graphicData>
            </a:graphic>
          </wp:anchor>
        </w:drawing>
      </w:r>
    </w:p>
    <w:p w14:paraId="307D22C1">
      <w:pPr>
        <w:widowControl/>
        <w:ind w:firstLine="480"/>
        <w:jc w:val="left"/>
        <w:rPr>
          <w:rFonts w:hint="eastAsia" w:ascii="仿宋" w:hAnsi="仿宋" w:eastAsia="仿宋" w:cs="宋体"/>
          <w:b w:val="0"/>
          <w:bCs w:val="0"/>
          <w:color w:val="auto"/>
          <w:kern w:val="0"/>
          <w:sz w:val="28"/>
          <w:szCs w:val="28"/>
          <w:lang w:val="en-US" w:eastAsia="zh-CN" w:bidi="ar-SA"/>
          <w14:ligatures w14:val="none"/>
        </w:rPr>
      </w:pPr>
    </w:p>
    <w:p w14:paraId="56F7BFEA">
      <w:pPr>
        <w:widowControl/>
        <w:ind w:firstLine="480"/>
        <w:jc w:val="left"/>
        <w:rPr>
          <w:rFonts w:hint="eastAsia" w:ascii="仿宋" w:hAnsi="仿宋" w:eastAsia="仿宋" w:cs="宋体"/>
          <w:b w:val="0"/>
          <w:bCs w:val="0"/>
          <w:color w:val="auto"/>
          <w:kern w:val="0"/>
          <w:sz w:val="28"/>
          <w:szCs w:val="28"/>
          <w:lang w:val="en-US" w:eastAsia="zh-CN" w:bidi="ar-SA"/>
          <w14:ligatures w14:val="none"/>
        </w:rPr>
      </w:pPr>
    </w:p>
    <w:p w14:paraId="43A7A9D2">
      <w:pPr>
        <w:widowControl/>
        <w:jc w:val="left"/>
        <w:rPr>
          <w:rFonts w:hint="default" w:ascii="仿宋" w:hAnsi="仿宋" w:eastAsia="仿宋" w:cs="宋体"/>
          <w:b w:val="0"/>
          <w:bCs w:val="0"/>
          <w:color w:val="auto"/>
          <w:kern w:val="0"/>
          <w:sz w:val="28"/>
          <w:szCs w:val="28"/>
          <w:lang w:val="en-US" w:eastAsia="zh-CN" w:bidi="ar-SA"/>
          <w14:ligatures w14:val="none"/>
        </w:rPr>
      </w:pPr>
    </w:p>
    <w:p w14:paraId="14522457">
      <w:pPr>
        <w:widowControl/>
        <w:ind w:firstLine="480"/>
        <w:jc w:val="center"/>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图3-2-2 提取平台示意图</w:t>
      </w:r>
    </w:p>
    <w:p w14:paraId="442DD399">
      <w:pPr>
        <w:pStyle w:val="4"/>
        <w:ind w:firstLine="482"/>
        <w:rPr>
          <w:rFonts w:hint="default" w:ascii="仿宋" w:hAnsi="仿宋" w:eastAsia="仿宋" w:cs="宋体"/>
          <w:b w:val="0"/>
          <w:bCs w:val="0"/>
          <w:color w:val="auto"/>
          <w:kern w:val="0"/>
          <w:sz w:val="28"/>
          <w:szCs w:val="28"/>
          <w:lang w:val="en-US" w:eastAsia="zh-CN" w:bidi="ar-SA"/>
          <w14:ligatures w14:val="none"/>
        </w:rPr>
      </w:pPr>
      <w:bookmarkStart w:id="3" w:name="_Toc295391587"/>
      <w:r>
        <w:rPr>
          <w:rFonts w:hint="eastAsia" w:ascii="仿宋" w:hAnsi="仿宋" w:eastAsia="仿宋" w:cs="宋体"/>
          <w:b w:val="0"/>
          <w:bCs w:val="0"/>
          <w:color w:val="auto"/>
          <w:kern w:val="0"/>
          <w:sz w:val="28"/>
          <w:szCs w:val="28"/>
          <w:lang w:val="en-US" w:eastAsia="zh-CN" w:bidi="ar-SA"/>
          <w14:ligatures w14:val="none"/>
        </w:rPr>
        <w:t>3.2.2平台功能说明</w:t>
      </w:r>
      <w:bookmarkEnd w:id="3"/>
    </w:p>
    <w:p w14:paraId="40936EF5">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实现各类样品基质的自动化提取，一站式完成扫码、开关盖、移液、液体 / 固体试剂添加、涡旋混匀、振荡提取、离心分离、上清转移等操作；支持多标准提取操作整合，多样品并行处理，可 24 小时不间断运行，适配高通量、复杂前处理需求。</w:t>
      </w:r>
    </w:p>
    <w:p w14:paraId="6D4C01D4">
      <w:pPr>
        <w:pStyle w:val="4"/>
        <w:ind w:firstLine="482"/>
        <w:rPr>
          <w:rFonts w:hint="default" w:ascii="仿宋" w:hAnsi="仿宋" w:eastAsia="仿宋" w:cs="宋体"/>
          <w:b w:val="0"/>
          <w:bCs w:val="0"/>
          <w:color w:val="auto"/>
          <w:kern w:val="0"/>
          <w:sz w:val="28"/>
          <w:szCs w:val="28"/>
          <w:lang w:val="en-US" w:eastAsia="zh-CN" w:bidi="ar-SA"/>
          <w14:ligatures w14:val="none"/>
        </w:rPr>
      </w:pPr>
      <w:bookmarkStart w:id="4" w:name="_Toc1811694492"/>
      <w:r>
        <w:rPr>
          <w:rFonts w:hint="eastAsia" w:ascii="仿宋" w:hAnsi="仿宋" w:eastAsia="仿宋" w:cs="宋体"/>
          <w:b w:val="0"/>
          <w:bCs w:val="0"/>
          <w:color w:val="auto"/>
          <w:kern w:val="0"/>
          <w:sz w:val="28"/>
          <w:szCs w:val="28"/>
          <w:lang w:val="en-US" w:eastAsia="zh-CN" w:bidi="ar-SA"/>
          <w14:ligatures w14:val="none"/>
        </w:rPr>
        <w:t>3.2.3 关键技术指标</w:t>
      </w:r>
      <w:bookmarkEnd w:id="4"/>
    </w:p>
    <w:p w14:paraId="2C2ACAD3">
      <w:pPr>
        <w:pStyle w:val="24"/>
        <w:ind w:firstLine="0" w:firstLineChars="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关键设备指标表</w:t>
      </w:r>
    </w:p>
    <w:p w14:paraId="536A3D76">
      <w:pPr>
        <w:pStyle w:val="25"/>
        <w:spacing w:line="240" w:lineRule="exact"/>
        <w:ind w:firstLine="280" w:firstLineChars="1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表3-2-1</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3275"/>
        <w:gridCol w:w="5137"/>
      </w:tblGrid>
      <w:tr w14:paraId="6499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top w:val="single" w:color="auto" w:sz="12" w:space="0"/>
              <w:left w:val="single" w:color="auto" w:sz="12" w:space="0"/>
            </w:tcBorders>
            <w:noWrap w:val="0"/>
            <w:vAlign w:val="center"/>
          </w:tcPr>
          <w:p w14:paraId="7F96D543">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序号</w:t>
            </w:r>
          </w:p>
        </w:tc>
        <w:tc>
          <w:tcPr>
            <w:tcW w:w="3275" w:type="dxa"/>
            <w:tcBorders>
              <w:top w:val="single" w:color="auto" w:sz="12" w:space="0"/>
            </w:tcBorders>
            <w:noWrap w:val="0"/>
            <w:vAlign w:val="center"/>
          </w:tcPr>
          <w:p w14:paraId="5A5754DC">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设备名称</w:t>
            </w:r>
          </w:p>
        </w:tc>
        <w:tc>
          <w:tcPr>
            <w:tcW w:w="5137" w:type="dxa"/>
            <w:tcBorders>
              <w:top w:val="single" w:color="auto" w:sz="12" w:space="0"/>
              <w:right w:val="single" w:color="auto" w:sz="12" w:space="0"/>
            </w:tcBorders>
            <w:noWrap w:val="0"/>
            <w:vAlign w:val="center"/>
          </w:tcPr>
          <w:p w14:paraId="04EF07DF">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系统指标</w:t>
            </w:r>
          </w:p>
        </w:tc>
      </w:tr>
      <w:tr w14:paraId="581E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39" w:hRule="atLeast"/>
          <w:jc w:val="center"/>
        </w:trPr>
        <w:tc>
          <w:tcPr>
            <w:tcW w:w="807" w:type="dxa"/>
            <w:tcBorders>
              <w:left w:val="single" w:color="auto" w:sz="12" w:space="0"/>
            </w:tcBorders>
            <w:noWrap w:val="0"/>
            <w:vAlign w:val="center"/>
          </w:tcPr>
          <w:p w14:paraId="3672CD20">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w:t>
            </w:r>
          </w:p>
        </w:tc>
        <w:tc>
          <w:tcPr>
            <w:tcW w:w="3275" w:type="dxa"/>
            <w:noWrap w:val="0"/>
            <w:vAlign w:val="center"/>
          </w:tcPr>
          <w:p w14:paraId="753E5C7F">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搬运模块</w:t>
            </w:r>
          </w:p>
        </w:tc>
        <w:tc>
          <w:tcPr>
            <w:tcW w:w="5137" w:type="dxa"/>
            <w:tcBorders>
              <w:right w:val="single" w:color="auto" w:sz="12" w:space="0"/>
            </w:tcBorders>
            <w:noWrap w:val="0"/>
            <w:vAlign w:val="center"/>
          </w:tcPr>
          <w:p w14:paraId="25BB953A">
            <w:pPr>
              <w:pStyle w:val="12"/>
              <w:widowControl/>
              <w:spacing w:line="240" w:lineRule="auto"/>
              <w:ind w:left="0" w:leftChars="0" w:right="0" w:righ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1.自由度：≥3</w:t>
            </w:r>
          </w:p>
          <w:p w14:paraId="19DD59FE">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2.控制方式：专用控制器</w:t>
            </w:r>
          </w:p>
          <w:p w14:paraId="58229298">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3.接口类型：具备通讯接口和IO接口</w:t>
            </w:r>
          </w:p>
          <w:p w14:paraId="62301405">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4.有效负载：≥7</w:t>
            </w:r>
            <w:r>
              <w:rPr>
                <w:rFonts w:hint="eastAsia" w:ascii="仿宋" w:hAnsi="仿宋" w:eastAsia="仿宋" w:cs="仿宋"/>
                <w:color w:val="auto"/>
                <w:w w:val="100"/>
                <w:kern w:val="2"/>
                <w:sz w:val="28"/>
                <w:szCs w:val="28"/>
                <w:lang w:val="en-US" w:eastAsia="zh-CN" w:bidi="ar"/>
              </w:rPr>
              <w:t>kg</w:t>
            </w:r>
          </w:p>
          <w:p w14:paraId="434B6968">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5.工作半径：≥1000mm</w:t>
            </w:r>
          </w:p>
          <w:p w14:paraId="58258F8D">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6.末端最大速度：≥3.2m/s</w:t>
            </w:r>
          </w:p>
          <w:p w14:paraId="2C580BFA">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7.重复定位精度：≤±0.03m</w:t>
            </w:r>
          </w:p>
          <w:p w14:paraId="688B63BA">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8.工作温度：≤（0-50）℃</w:t>
            </w:r>
          </w:p>
          <w:p w14:paraId="3EFEF05E">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9.具有先进的可调安全功能</w:t>
            </w:r>
          </w:p>
          <w:p w14:paraId="673C77E6">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10.需获得国内、国外安全功能认证</w:t>
            </w:r>
          </w:p>
          <w:p w14:paraId="11EF1747">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11.具有内置力矩传感器</w:t>
            </w:r>
          </w:p>
          <w:p w14:paraId="27959F13">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力感应，工具法兰／扭矩传感器</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作用力，x-y-z</w:t>
            </w:r>
          </w:p>
          <w:p w14:paraId="4F0DF41E">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范围</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±50.0N</w:t>
            </w:r>
          </w:p>
          <w:p w14:paraId="334F2115">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精确度</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±3.5N</w:t>
            </w:r>
          </w:p>
          <w:p w14:paraId="16D2B752">
            <w:pPr>
              <w:jc w:val="left"/>
              <w:rPr>
                <w:rFonts w:hint="eastAsia" w:ascii="仿宋" w:hAnsi="仿宋" w:eastAsia="仿宋" w:cs="仿宋"/>
                <w:color w:val="auto"/>
                <w:sz w:val="28"/>
                <w:szCs w:val="28"/>
                <w:lang w:val="en-US" w:eastAsia="zh-CN"/>
              </w:rPr>
            </w:pPr>
            <w:r>
              <w:rPr>
                <w:rFonts w:hint="eastAsia" w:ascii="仿宋" w:hAnsi="仿宋" w:eastAsia="仿宋" w:cs="仿宋"/>
                <w:color w:val="auto"/>
                <w:w w:val="80"/>
                <w:kern w:val="0"/>
                <w:sz w:val="28"/>
                <w:szCs w:val="28"/>
                <w:lang w:val="en-US" w:eastAsia="zh-CN" w:bidi="ar"/>
              </w:rPr>
              <w:t>准确度</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±4.0N</w:t>
            </w:r>
          </w:p>
        </w:tc>
      </w:tr>
      <w:tr w14:paraId="56194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2" w:hRule="atLeast"/>
          <w:jc w:val="center"/>
        </w:trPr>
        <w:tc>
          <w:tcPr>
            <w:tcW w:w="807" w:type="dxa"/>
            <w:tcBorders>
              <w:left w:val="single" w:color="auto" w:sz="12" w:space="0"/>
            </w:tcBorders>
            <w:noWrap w:val="0"/>
            <w:vAlign w:val="center"/>
          </w:tcPr>
          <w:p w14:paraId="20553358">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w:t>
            </w:r>
          </w:p>
        </w:tc>
        <w:tc>
          <w:tcPr>
            <w:tcW w:w="3275" w:type="dxa"/>
            <w:noWrap w:val="0"/>
            <w:vAlign w:val="center"/>
          </w:tcPr>
          <w:p w14:paraId="013C36FB">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宋体"/>
                <w:b w:val="0"/>
                <w:bCs w:val="0"/>
                <w:color w:val="auto"/>
                <w:kern w:val="0"/>
                <w:sz w:val="28"/>
                <w:szCs w:val="28"/>
                <w:lang w:val="en-US" w:eastAsia="zh-CN" w:bidi="ar-SA"/>
                <w14:ligatures w14:val="none"/>
              </w:rPr>
              <w:t>加液涡旋模块</w:t>
            </w:r>
          </w:p>
        </w:tc>
        <w:tc>
          <w:tcPr>
            <w:tcW w:w="5137" w:type="dxa"/>
            <w:tcBorders>
              <w:right w:val="single" w:color="auto" w:sz="12" w:space="0"/>
            </w:tcBorders>
            <w:noWrap w:val="0"/>
            <w:vAlign w:val="center"/>
          </w:tcPr>
          <w:p w14:paraId="4F849B51">
            <w:pPr>
              <w:widowControl/>
              <w:numPr>
                <w:ilvl w:val="0"/>
                <w:numId w:val="6"/>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液体添加种类：4种</w:t>
            </w:r>
          </w:p>
          <w:p w14:paraId="2B4763AA">
            <w:pPr>
              <w:widowControl/>
              <w:numPr>
                <w:ilvl w:val="0"/>
                <w:numId w:val="6"/>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加液体积：0.1~50ml</w:t>
            </w:r>
          </w:p>
          <w:p w14:paraId="4B4A644C">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 重复精度≤0.5％（100％量程 室温 去离子水）</w:t>
            </w:r>
          </w:p>
          <w:p w14:paraId="762FD20E">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 吸排液精度≤1％100％量程 室温 去离子水）</w:t>
            </w:r>
          </w:p>
          <w:p w14:paraId="5B182FF3">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 涡旋转速：0~3000rpm</w:t>
            </w:r>
          </w:p>
          <w:p w14:paraId="0CE1263A">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6. 涡旋时长：0~31min</w:t>
            </w:r>
          </w:p>
          <w:p w14:paraId="12571775">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7. 通讯：ModbusTcp、webApi、RS485、TCP；</w:t>
            </w:r>
          </w:p>
        </w:tc>
      </w:tr>
      <w:tr w14:paraId="538B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left w:val="single" w:color="auto" w:sz="12" w:space="0"/>
            </w:tcBorders>
            <w:noWrap w:val="0"/>
            <w:vAlign w:val="center"/>
          </w:tcPr>
          <w:p w14:paraId="0479BB53">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w:t>
            </w:r>
          </w:p>
        </w:tc>
        <w:tc>
          <w:tcPr>
            <w:tcW w:w="3275" w:type="dxa"/>
            <w:noWrap w:val="0"/>
            <w:vAlign w:val="center"/>
          </w:tcPr>
          <w:p w14:paraId="3954BD10">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电动夹爪</w:t>
            </w:r>
          </w:p>
        </w:tc>
        <w:tc>
          <w:tcPr>
            <w:tcW w:w="5137" w:type="dxa"/>
            <w:tcBorders>
              <w:right w:val="single" w:color="auto" w:sz="12" w:space="0"/>
            </w:tcBorders>
            <w:noWrap w:val="0"/>
            <w:vAlign w:val="center"/>
          </w:tcPr>
          <w:p w14:paraId="43193505">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1.可调行程：0-26mm；</w:t>
            </w:r>
          </w:p>
          <w:p w14:paraId="4B9049AE">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2.单指夹持力：30-100N;</w:t>
            </w:r>
          </w:p>
          <w:p w14:paraId="69BA3499">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3.位置重复精度：±0.02mm；</w:t>
            </w:r>
          </w:p>
          <w:p w14:paraId="53C4402F">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4.掉落检测：有；</w:t>
            </w:r>
          </w:p>
          <w:p w14:paraId="5A1CB8FC">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5.通讯协议：RS485+I/O；</w:t>
            </w:r>
          </w:p>
        </w:tc>
      </w:tr>
      <w:tr w14:paraId="32E3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left w:val="single" w:color="auto" w:sz="12" w:space="0"/>
            </w:tcBorders>
            <w:noWrap w:val="0"/>
            <w:vAlign w:val="center"/>
          </w:tcPr>
          <w:p w14:paraId="5E6B9393">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w:t>
            </w:r>
          </w:p>
        </w:tc>
        <w:tc>
          <w:tcPr>
            <w:tcW w:w="3275" w:type="dxa"/>
            <w:noWrap w:val="0"/>
            <w:vAlign w:val="center"/>
          </w:tcPr>
          <w:p w14:paraId="4181DA85">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振荡模块</w:t>
            </w:r>
          </w:p>
        </w:tc>
        <w:tc>
          <w:tcPr>
            <w:tcW w:w="5137" w:type="dxa"/>
            <w:tcBorders>
              <w:right w:val="single" w:color="auto" w:sz="12" w:space="0"/>
            </w:tcBorders>
            <w:noWrap w:val="0"/>
            <w:vAlign w:val="center"/>
          </w:tcPr>
          <w:p w14:paraId="556EF6C8">
            <w:pPr>
              <w:widowControl/>
              <w:numPr>
                <w:ilvl w:val="0"/>
                <w:numId w:val="7"/>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振荡频率：0~300 cpm</w:t>
            </w:r>
          </w:p>
          <w:p w14:paraId="720BABF4">
            <w:pPr>
              <w:widowControl/>
              <w:numPr>
                <w:ilvl w:val="0"/>
                <w:numId w:val="7"/>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振幅：40mm</w:t>
            </w:r>
          </w:p>
          <w:p w14:paraId="12D7FFBC">
            <w:pPr>
              <w:widowControl/>
              <w:numPr>
                <w:ilvl w:val="0"/>
                <w:numId w:val="7"/>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振荡时长：0~30min （按秒控制）</w:t>
            </w:r>
          </w:p>
          <w:p w14:paraId="4DE8BB59">
            <w:pPr>
              <w:widowControl/>
              <w:numPr>
                <w:ilvl w:val="0"/>
                <w:numId w:val="7"/>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通讯：ModbusTcp、webApi、RS485、TCP；</w:t>
            </w:r>
          </w:p>
        </w:tc>
      </w:tr>
      <w:tr w14:paraId="6E75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39" w:hRule="atLeast"/>
          <w:jc w:val="center"/>
        </w:trPr>
        <w:tc>
          <w:tcPr>
            <w:tcW w:w="807" w:type="dxa"/>
            <w:tcBorders>
              <w:left w:val="single" w:color="auto" w:sz="12" w:space="0"/>
            </w:tcBorders>
            <w:noWrap w:val="0"/>
            <w:vAlign w:val="center"/>
          </w:tcPr>
          <w:p w14:paraId="73048AB8">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w:t>
            </w:r>
          </w:p>
        </w:tc>
        <w:tc>
          <w:tcPr>
            <w:tcW w:w="3275" w:type="dxa"/>
            <w:noWrap w:val="0"/>
            <w:vAlign w:val="center"/>
          </w:tcPr>
          <w:p w14:paraId="1BFB5630">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移液模块</w:t>
            </w:r>
          </w:p>
        </w:tc>
        <w:tc>
          <w:tcPr>
            <w:tcW w:w="5137" w:type="dxa"/>
            <w:tcBorders>
              <w:right w:val="single" w:color="auto" w:sz="12" w:space="0"/>
            </w:tcBorders>
            <w:noWrap w:val="0"/>
            <w:vAlign w:val="center"/>
          </w:tcPr>
          <w:p w14:paraId="731CC047">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1.精度：≤5%；</w:t>
            </w:r>
          </w:p>
          <w:p w14:paraId="376E48D7">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2.用于范围：100ul-5000ul；</w:t>
            </w:r>
          </w:p>
          <w:p w14:paraId="42E27AAB">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3.移液最大速度：2500ul/s；</w:t>
            </w:r>
          </w:p>
          <w:p w14:paraId="3A77AF16">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4.过程安全：TIP状态、压力式液面检测、电容式液面检测、移液过程检测；</w:t>
            </w:r>
          </w:p>
          <w:p w14:paraId="64B43138">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5.Z轴行程：180mm；</w:t>
            </w:r>
          </w:p>
          <w:p w14:paraId="4BB19E7C">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6.Z轴精度：±0.05mm;</w:t>
            </w:r>
          </w:p>
        </w:tc>
      </w:tr>
      <w:tr w14:paraId="4C4F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left w:val="single" w:color="auto" w:sz="12" w:space="0"/>
            </w:tcBorders>
            <w:noWrap w:val="0"/>
            <w:vAlign w:val="center"/>
          </w:tcPr>
          <w:p w14:paraId="1C36CFC2">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6</w:t>
            </w:r>
          </w:p>
        </w:tc>
        <w:tc>
          <w:tcPr>
            <w:tcW w:w="3275" w:type="dxa"/>
            <w:noWrap w:val="0"/>
            <w:vAlign w:val="center"/>
          </w:tcPr>
          <w:p w14:paraId="4D9E6CF7">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 xml:space="preserve"> 离心模块</w:t>
            </w:r>
          </w:p>
        </w:tc>
        <w:tc>
          <w:tcPr>
            <w:tcW w:w="5137" w:type="dxa"/>
            <w:tcBorders>
              <w:right w:val="single" w:color="auto" w:sz="12" w:space="0"/>
            </w:tcBorders>
            <w:noWrap w:val="0"/>
            <w:vAlign w:val="center"/>
          </w:tcPr>
          <w:p w14:paraId="4FEEC7A2">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1.转速：不小于8000rpm，</w:t>
            </w:r>
          </w:p>
          <w:p w14:paraId="445F14F5">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2.离心力：≥6000×g，</w:t>
            </w:r>
          </w:p>
          <w:p w14:paraId="7E437A7F">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3.支持50mL离心管，具备温度控制（4-40℃）与不平衡报警功能</w:t>
            </w:r>
          </w:p>
        </w:tc>
      </w:tr>
      <w:tr w14:paraId="38AA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50" w:hRule="atLeast"/>
          <w:jc w:val="center"/>
        </w:trPr>
        <w:tc>
          <w:tcPr>
            <w:tcW w:w="807" w:type="dxa"/>
            <w:tcBorders>
              <w:left w:val="single" w:color="auto" w:sz="12" w:space="0"/>
            </w:tcBorders>
            <w:noWrap w:val="0"/>
            <w:vAlign w:val="center"/>
          </w:tcPr>
          <w:p w14:paraId="4754CF4C">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7</w:t>
            </w:r>
          </w:p>
        </w:tc>
        <w:tc>
          <w:tcPr>
            <w:tcW w:w="3275" w:type="dxa"/>
            <w:noWrap w:val="0"/>
            <w:vAlign w:val="center"/>
          </w:tcPr>
          <w:p w14:paraId="41A689E3">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扫码模块</w:t>
            </w:r>
          </w:p>
        </w:tc>
        <w:tc>
          <w:tcPr>
            <w:tcW w:w="5137" w:type="dxa"/>
            <w:tcBorders>
              <w:right w:val="single" w:color="auto" w:sz="12" w:space="0"/>
            </w:tcBorders>
            <w:noWrap w:val="0"/>
            <w:vAlign w:val="center"/>
          </w:tcPr>
          <w:p w14:paraId="27781253">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识别效率1.响应时间≤50</w:t>
            </w:r>
            <w:r>
              <w:rPr>
                <w:rFonts w:hint="eastAsia" w:ascii="仿宋" w:hAnsi="仿宋" w:eastAsia="仿宋" w:cs="仿宋"/>
                <w:color w:val="auto"/>
                <w:w w:val="80"/>
                <w:kern w:val="0"/>
                <w:sz w:val="28"/>
                <w:szCs w:val="28"/>
                <w:highlight w:val="none"/>
                <w:lang w:val="en-US" w:eastAsia="zh-CN" w:bidi="ar"/>
              </w:rPr>
              <w:t>0ms；2连续识别效率：≥5个样品</w:t>
            </w:r>
            <w:r>
              <w:rPr>
                <w:rFonts w:hint="eastAsia" w:ascii="仿宋" w:hAnsi="仿宋" w:eastAsia="仿宋" w:cs="仿宋"/>
                <w:color w:val="auto"/>
                <w:w w:val="80"/>
                <w:kern w:val="0"/>
                <w:sz w:val="28"/>
                <w:szCs w:val="28"/>
                <w:lang w:val="en-US" w:eastAsia="zh-CN" w:bidi="ar"/>
              </w:rPr>
              <w:t>瓶/s；</w:t>
            </w:r>
          </w:p>
          <w:p w14:paraId="7A039F4C">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准确率1.标准状态下（标签清洗、无污染、正对识别区）：≥99.9%；</w:t>
            </w:r>
          </w:p>
        </w:tc>
      </w:tr>
    </w:tbl>
    <w:p w14:paraId="18FFAEF3">
      <w:pPr>
        <w:pStyle w:val="3"/>
        <w:bidi w:val="0"/>
        <w:spacing w:line="240" w:lineRule="auto"/>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3.3 水解（均质、加标和调pH)平台</w:t>
      </w:r>
    </w:p>
    <w:p w14:paraId="60570C04">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3.3.1平台组成</w:t>
      </w:r>
    </w:p>
    <w:p w14:paraId="6441258F">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水解（均质、加标和调pH)平台包括搬运模块、加液涡旋模块、均质模块、加内标模块、振摇模块、加盐涡旋模块、调pH模块和上下样模块。</w:t>
      </w:r>
    </w:p>
    <w:p w14:paraId="6B809582">
      <w:pPr>
        <w:ind w:firstLine="420" w:firstLineChars="200"/>
      </w:pPr>
      <w:r>
        <w:drawing>
          <wp:anchor distT="0" distB="0" distL="114300" distR="114300" simplePos="0" relativeHeight="251661312" behindDoc="0" locked="0" layoutInCell="1" allowOverlap="1">
            <wp:simplePos x="0" y="0"/>
            <wp:positionH relativeFrom="column">
              <wp:posOffset>1962150</wp:posOffset>
            </wp:positionH>
            <wp:positionV relativeFrom="paragraph">
              <wp:posOffset>58420</wp:posOffset>
            </wp:positionV>
            <wp:extent cx="2614295" cy="1440180"/>
            <wp:effectExtent l="0" t="0" r="1905" b="7620"/>
            <wp:wrapNone/>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2614295" cy="1440180"/>
                    </a:xfrm>
                    <a:prstGeom prst="rect">
                      <a:avLst/>
                    </a:prstGeom>
                    <a:noFill/>
                    <a:ln>
                      <a:noFill/>
                    </a:ln>
                  </pic:spPr>
                </pic:pic>
              </a:graphicData>
            </a:graphic>
          </wp:anchor>
        </w:drawing>
      </w:r>
    </w:p>
    <w:p w14:paraId="7ADC8A0D">
      <w:pPr>
        <w:ind w:firstLine="420" w:firstLineChars="200"/>
      </w:pPr>
    </w:p>
    <w:p w14:paraId="2F40DB05">
      <w:pPr>
        <w:ind w:firstLine="420" w:firstLineChars="200"/>
      </w:pPr>
    </w:p>
    <w:p w14:paraId="27A12B46">
      <w:pPr>
        <w:ind w:firstLine="420" w:firstLineChars="200"/>
      </w:pPr>
    </w:p>
    <w:p w14:paraId="382F3E87">
      <w:pPr>
        <w:ind w:firstLine="420" w:firstLineChars="200"/>
      </w:pPr>
    </w:p>
    <w:p w14:paraId="7E33B91B">
      <w:pPr>
        <w:ind w:firstLine="420" w:firstLineChars="200"/>
      </w:pPr>
    </w:p>
    <w:p w14:paraId="43CBEFCE">
      <w:pPr>
        <w:ind w:firstLine="420" w:firstLineChars="200"/>
      </w:pPr>
    </w:p>
    <w:p w14:paraId="04ACA4FA">
      <w:pPr>
        <w:ind w:firstLine="420" w:firstLineChars="200"/>
      </w:pPr>
    </w:p>
    <w:p w14:paraId="0D42A5AC">
      <w:pPr>
        <w:widowControl/>
        <w:ind w:firstLine="480"/>
        <w:jc w:val="center"/>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图3-3-1 水解平台示意图</w:t>
      </w:r>
    </w:p>
    <w:p w14:paraId="0A48F224">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3.3.2平台功能说明</w:t>
      </w:r>
    </w:p>
    <w:p w14:paraId="109197A7">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集成复杂样品基质的均质、加标、调 pH 等核心前处理功能，可一站式完成开关盖、液体试剂精准添加、固体试剂定量投加、涡旋高速混匀、均质强力提取、振摇温和萃取、多梯度精密加标、智能调 pH 等全流程实验操作。平台适配畜禽肉、水产、果蔬等不同基质样品的前处理需求，各模块协同联动，无需人工干预，能根据实验方法自由设定加标浓度、调 pH 梯度、振摇频率、均质时间等关键参数，精准把控反应条件，有效规避人工操作带来的误差，显著提升实验重复性与处理效率，满足高通量检测对标准化、自动化前处理的严苛要求。</w:t>
      </w:r>
    </w:p>
    <w:p w14:paraId="1D803164">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3.3.3 关键技术指标</w:t>
      </w:r>
    </w:p>
    <w:p w14:paraId="09099C16">
      <w:pPr>
        <w:pStyle w:val="24"/>
        <w:ind w:firstLine="0" w:firstLineChars="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关键设备指标表</w:t>
      </w:r>
    </w:p>
    <w:p w14:paraId="332C29F2">
      <w:pPr>
        <w:pStyle w:val="25"/>
        <w:spacing w:line="240" w:lineRule="exact"/>
        <w:ind w:firstLine="280" w:firstLineChars="1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表3-3-1</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3275"/>
        <w:gridCol w:w="5137"/>
      </w:tblGrid>
      <w:tr w14:paraId="7D44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top w:val="single" w:color="auto" w:sz="12" w:space="0"/>
              <w:left w:val="single" w:color="auto" w:sz="12" w:space="0"/>
            </w:tcBorders>
            <w:noWrap w:val="0"/>
            <w:vAlign w:val="center"/>
          </w:tcPr>
          <w:p w14:paraId="528AAFDD">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序号</w:t>
            </w:r>
          </w:p>
        </w:tc>
        <w:tc>
          <w:tcPr>
            <w:tcW w:w="3275" w:type="dxa"/>
            <w:tcBorders>
              <w:top w:val="single" w:color="auto" w:sz="12" w:space="0"/>
            </w:tcBorders>
            <w:noWrap w:val="0"/>
            <w:vAlign w:val="center"/>
          </w:tcPr>
          <w:p w14:paraId="7460A9EC">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名称</w:t>
            </w:r>
          </w:p>
        </w:tc>
        <w:tc>
          <w:tcPr>
            <w:tcW w:w="5137" w:type="dxa"/>
            <w:tcBorders>
              <w:top w:val="single" w:color="auto" w:sz="12" w:space="0"/>
              <w:right w:val="single" w:color="auto" w:sz="12" w:space="0"/>
            </w:tcBorders>
            <w:noWrap w:val="0"/>
            <w:vAlign w:val="center"/>
          </w:tcPr>
          <w:p w14:paraId="0F6F00D3">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系统指标</w:t>
            </w:r>
          </w:p>
        </w:tc>
      </w:tr>
      <w:tr w14:paraId="654D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39" w:hRule="atLeast"/>
          <w:jc w:val="center"/>
        </w:trPr>
        <w:tc>
          <w:tcPr>
            <w:tcW w:w="807" w:type="dxa"/>
            <w:tcBorders>
              <w:left w:val="single" w:color="auto" w:sz="12" w:space="0"/>
            </w:tcBorders>
            <w:noWrap w:val="0"/>
            <w:vAlign w:val="center"/>
          </w:tcPr>
          <w:p w14:paraId="608396B6">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w:t>
            </w:r>
          </w:p>
        </w:tc>
        <w:tc>
          <w:tcPr>
            <w:tcW w:w="3275" w:type="dxa"/>
            <w:noWrap w:val="0"/>
            <w:vAlign w:val="center"/>
          </w:tcPr>
          <w:p w14:paraId="2FFB8AFE">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搬运模块</w:t>
            </w:r>
          </w:p>
        </w:tc>
        <w:tc>
          <w:tcPr>
            <w:tcW w:w="5137" w:type="dxa"/>
            <w:tcBorders>
              <w:right w:val="single" w:color="auto" w:sz="12" w:space="0"/>
            </w:tcBorders>
            <w:noWrap w:val="0"/>
            <w:vAlign w:val="center"/>
          </w:tcPr>
          <w:p w14:paraId="733FA087">
            <w:pPr>
              <w:pStyle w:val="12"/>
              <w:widowControl/>
              <w:spacing w:line="240" w:lineRule="auto"/>
              <w:ind w:left="0" w:leftChars="0" w:right="0" w:righ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1.自由度：≥3</w:t>
            </w:r>
          </w:p>
          <w:p w14:paraId="2751C92F">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2.控制方式：专用控制器</w:t>
            </w:r>
          </w:p>
          <w:p w14:paraId="5F9EB20A">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3.接口类型：具备通讯接口和IO接口</w:t>
            </w:r>
          </w:p>
          <w:p w14:paraId="468818E3">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4.有效负载：≥7</w:t>
            </w:r>
            <w:r>
              <w:rPr>
                <w:rFonts w:hint="eastAsia" w:ascii="仿宋" w:hAnsi="仿宋" w:eastAsia="仿宋" w:cs="仿宋"/>
                <w:color w:val="auto"/>
                <w:w w:val="100"/>
                <w:kern w:val="2"/>
                <w:sz w:val="28"/>
                <w:szCs w:val="28"/>
                <w:lang w:val="en-US" w:eastAsia="zh-CN" w:bidi="ar"/>
              </w:rPr>
              <w:t>kg</w:t>
            </w:r>
          </w:p>
          <w:p w14:paraId="64231611">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5.工作半径：≥1000mm</w:t>
            </w:r>
          </w:p>
          <w:p w14:paraId="544D1033">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6.末端最大速度：≥3.2m/s</w:t>
            </w:r>
          </w:p>
          <w:p w14:paraId="2555A580">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7.重复定位精度：≤±0.03m</w:t>
            </w:r>
          </w:p>
          <w:p w14:paraId="6EBDE531">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8.工作温度：≤（0-50）℃</w:t>
            </w:r>
          </w:p>
          <w:p w14:paraId="22490B8B">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9.具有先进的可调安全功能</w:t>
            </w:r>
          </w:p>
          <w:p w14:paraId="545A1D77">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10.需获得国内、国外安全功能认证</w:t>
            </w:r>
          </w:p>
          <w:p w14:paraId="395178C5">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11.具有内置力矩传感器</w:t>
            </w:r>
          </w:p>
          <w:p w14:paraId="1D4FAEAB">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力感应，工具法兰／扭矩传感器</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作用力，x-y-z</w:t>
            </w:r>
          </w:p>
          <w:p w14:paraId="098BC74A">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范围</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±50.0N</w:t>
            </w:r>
          </w:p>
          <w:p w14:paraId="7379D58D">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精确度</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±3.5N</w:t>
            </w:r>
          </w:p>
          <w:p w14:paraId="2FC1FB44">
            <w:pPr>
              <w:jc w:val="left"/>
              <w:rPr>
                <w:rFonts w:hint="eastAsia" w:ascii="仿宋" w:hAnsi="仿宋" w:eastAsia="仿宋" w:cs="仿宋"/>
                <w:color w:val="auto"/>
                <w:sz w:val="28"/>
                <w:szCs w:val="28"/>
                <w:lang w:val="en-US" w:eastAsia="zh-CN"/>
              </w:rPr>
            </w:pPr>
            <w:r>
              <w:rPr>
                <w:rFonts w:hint="eastAsia" w:ascii="仿宋" w:hAnsi="仿宋" w:eastAsia="仿宋" w:cs="仿宋"/>
                <w:color w:val="auto"/>
                <w:w w:val="80"/>
                <w:kern w:val="0"/>
                <w:sz w:val="28"/>
                <w:szCs w:val="28"/>
                <w:lang w:val="en-US" w:eastAsia="zh-CN" w:bidi="ar"/>
              </w:rPr>
              <w:t>准确度</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±4.0N</w:t>
            </w:r>
          </w:p>
        </w:tc>
      </w:tr>
      <w:tr w14:paraId="5691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2" w:hRule="atLeast"/>
          <w:jc w:val="center"/>
        </w:trPr>
        <w:tc>
          <w:tcPr>
            <w:tcW w:w="807" w:type="dxa"/>
            <w:tcBorders>
              <w:left w:val="single" w:color="auto" w:sz="12" w:space="0"/>
            </w:tcBorders>
            <w:noWrap w:val="0"/>
            <w:vAlign w:val="center"/>
          </w:tcPr>
          <w:p w14:paraId="529F4577">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w:t>
            </w:r>
          </w:p>
        </w:tc>
        <w:tc>
          <w:tcPr>
            <w:tcW w:w="3275" w:type="dxa"/>
            <w:noWrap w:val="0"/>
            <w:vAlign w:val="center"/>
          </w:tcPr>
          <w:p w14:paraId="7E5DBE3C">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宋体"/>
                <w:b w:val="0"/>
                <w:bCs w:val="0"/>
                <w:color w:val="auto"/>
                <w:kern w:val="0"/>
                <w:sz w:val="28"/>
                <w:szCs w:val="28"/>
                <w:lang w:val="en-US" w:eastAsia="zh-CN" w:bidi="ar-SA"/>
                <w14:ligatures w14:val="none"/>
              </w:rPr>
              <w:t>加液涡旋模块</w:t>
            </w:r>
          </w:p>
        </w:tc>
        <w:tc>
          <w:tcPr>
            <w:tcW w:w="5137" w:type="dxa"/>
            <w:tcBorders>
              <w:right w:val="single" w:color="auto" w:sz="12" w:space="0"/>
            </w:tcBorders>
            <w:noWrap w:val="0"/>
            <w:vAlign w:val="center"/>
          </w:tcPr>
          <w:p w14:paraId="5686D7CB">
            <w:pPr>
              <w:widowControl/>
              <w:numPr>
                <w:ilvl w:val="0"/>
                <w:numId w:val="8"/>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液体添加种类：4种</w:t>
            </w:r>
          </w:p>
          <w:p w14:paraId="795AF9A8">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 重复精度≤0.5％（100％量程 室温 去离子水）</w:t>
            </w:r>
          </w:p>
          <w:p w14:paraId="6990876E">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 吸排液精度≤1％100％量程 室温 去离子水）</w:t>
            </w:r>
          </w:p>
          <w:p w14:paraId="360339CD">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 涡旋转速：0~3000rpm</w:t>
            </w:r>
          </w:p>
          <w:p w14:paraId="5FD57A15">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 涡旋时长：0~31min</w:t>
            </w:r>
          </w:p>
          <w:p w14:paraId="13D85A6F">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6. 通讯：ModbusTcp、webApi、RS485、TCP；</w:t>
            </w:r>
          </w:p>
        </w:tc>
      </w:tr>
      <w:tr w14:paraId="51A62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left w:val="single" w:color="auto" w:sz="12" w:space="0"/>
            </w:tcBorders>
            <w:noWrap w:val="0"/>
            <w:vAlign w:val="center"/>
          </w:tcPr>
          <w:p w14:paraId="65BDEB83">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w:t>
            </w:r>
          </w:p>
        </w:tc>
        <w:tc>
          <w:tcPr>
            <w:tcW w:w="3275" w:type="dxa"/>
            <w:noWrap w:val="0"/>
            <w:vAlign w:val="center"/>
          </w:tcPr>
          <w:p w14:paraId="49C45B19">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电动夹爪</w:t>
            </w:r>
          </w:p>
        </w:tc>
        <w:tc>
          <w:tcPr>
            <w:tcW w:w="5137" w:type="dxa"/>
            <w:tcBorders>
              <w:right w:val="single" w:color="auto" w:sz="12" w:space="0"/>
            </w:tcBorders>
            <w:noWrap w:val="0"/>
            <w:vAlign w:val="center"/>
          </w:tcPr>
          <w:p w14:paraId="1376E0CF">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1.可调行程：0-26mm；</w:t>
            </w:r>
          </w:p>
          <w:p w14:paraId="1AC24D23">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2.单指夹持力：30-100N;</w:t>
            </w:r>
          </w:p>
          <w:p w14:paraId="1B079E18">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3.位置重复精度：±0.02mm；</w:t>
            </w:r>
          </w:p>
          <w:p w14:paraId="6E668B55">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4.掉落检测：有；</w:t>
            </w:r>
          </w:p>
          <w:p w14:paraId="0FC359B7">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5.通讯协议：RS485+I/O；</w:t>
            </w:r>
          </w:p>
        </w:tc>
      </w:tr>
      <w:tr w14:paraId="2B0B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left w:val="single" w:color="auto" w:sz="12" w:space="0"/>
            </w:tcBorders>
            <w:noWrap w:val="0"/>
            <w:vAlign w:val="center"/>
          </w:tcPr>
          <w:p w14:paraId="54885A84">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w:t>
            </w:r>
          </w:p>
        </w:tc>
        <w:tc>
          <w:tcPr>
            <w:tcW w:w="3275" w:type="dxa"/>
            <w:noWrap w:val="0"/>
            <w:vAlign w:val="center"/>
          </w:tcPr>
          <w:p w14:paraId="166B7805">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振摇模块</w:t>
            </w:r>
          </w:p>
        </w:tc>
        <w:tc>
          <w:tcPr>
            <w:tcW w:w="5137" w:type="dxa"/>
            <w:tcBorders>
              <w:right w:val="single" w:color="auto" w:sz="12" w:space="0"/>
            </w:tcBorders>
            <w:noWrap w:val="0"/>
            <w:vAlign w:val="center"/>
          </w:tcPr>
          <w:p w14:paraId="54B6106B">
            <w:pPr>
              <w:widowControl/>
              <w:numPr>
                <w:ilvl w:val="0"/>
                <w:numId w:val="9"/>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振摇频率：0–2000rpm</w:t>
            </w:r>
          </w:p>
          <w:p w14:paraId="37B760A5">
            <w:pPr>
              <w:widowControl/>
              <w:numPr>
                <w:ilvl w:val="0"/>
                <w:numId w:val="9"/>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振幅：3~6mm</w:t>
            </w:r>
          </w:p>
          <w:p w14:paraId="0EEA19AC">
            <w:pPr>
              <w:widowControl/>
              <w:numPr>
                <w:ilvl w:val="0"/>
                <w:numId w:val="9"/>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振摇时长：0~60min （按秒控制）</w:t>
            </w:r>
          </w:p>
          <w:p w14:paraId="7B286C2C">
            <w:pPr>
              <w:widowControl/>
              <w:numPr>
                <w:ilvl w:val="0"/>
                <w:numId w:val="9"/>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通讯：ModbusTcp、webApi、RS485、TCP；</w:t>
            </w:r>
          </w:p>
        </w:tc>
      </w:tr>
      <w:tr w14:paraId="7D8492E5">
        <w:trPr>
          <w:trHeight w:val="2239" w:hRule="atLeast"/>
          <w:jc w:val="center"/>
        </w:trPr>
        <w:tc>
          <w:tcPr>
            <w:tcW w:w="807" w:type="dxa"/>
            <w:tcBorders>
              <w:left w:val="single" w:color="auto" w:sz="12" w:space="0"/>
            </w:tcBorders>
            <w:noWrap w:val="0"/>
            <w:vAlign w:val="center"/>
          </w:tcPr>
          <w:p w14:paraId="11D08A82">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w:t>
            </w:r>
          </w:p>
        </w:tc>
        <w:tc>
          <w:tcPr>
            <w:tcW w:w="3275" w:type="dxa"/>
            <w:noWrap w:val="0"/>
            <w:vAlign w:val="center"/>
          </w:tcPr>
          <w:p w14:paraId="463F4543">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均质模块</w:t>
            </w:r>
          </w:p>
        </w:tc>
        <w:tc>
          <w:tcPr>
            <w:tcW w:w="5137" w:type="dxa"/>
            <w:tcBorders>
              <w:right w:val="single" w:color="auto" w:sz="12" w:space="0"/>
            </w:tcBorders>
            <w:noWrap w:val="0"/>
            <w:vAlign w:val="center"/>
          </w:tcPr>
          <w:p w14:paraId="4BD2C5AF">
            <w:pPr>
              <w:widowControl/>
              <w:numPr>
                <w:ilvl w:val="0"/>
                <w:numId w:val="10"/>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均质频率：1000–12000rpm；</w:t>
            </w:r>
          </w:p>
          <w:p w14:paraId="07814039">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 均质时长：0~5min （按秒控制）</w:t>
            </w:r>
          </w:p>
          <w:p w14:paraId="4EA4AAAE">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 通讯：ModbusTcp、webApi、RS485、TCP；</w:t>
            </w:r>
          </w:p>
        </w:tc>
      </w:tr>
      <w:tr w14:paraId="764B9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left w:val="single" w:color="auto" w:sz="12" w:space="0"/>
            </w:tcBorders>
            <w:noWrap w:val="0"/>
            <w:vAlign w:val="center"/>
          </w:tcPr>
          <w:p w14:paraId="76499EE1">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6</w:t>
            </w:r>
          </w:p>
        </w:tc>
        <w:tc>
          <w:tcPr>
            <w:tcW w:w="3275" w:type="dxa"/>
            <w:noWrap w:val="0"/>
            <w:vAlign w:val="center"/>
          </w:tcPr>
          <w:p w14:paraId="3F1F78D7">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调pH模块</w:t>
            </w:r>
          </w:p>
        </w:tc>
        <w:tc>
          <w:tcPr>
            <w:tcW w:w="5137" w:type="dxa"/>
            <w:tcBorders>
              <w:right w:val="single" w:color="auto" w:sz="12" w:space="0"/>
            </w:tcBorders>
            <w:noWrap w:val="0"/>
            <w:vAlign w:val="center"/>
          </w:tcPr>
          <w:p w14:paraId="24DA2333">
            <w:pPr>
              <w:widowControl/>
              <w:numPr>
                <w:ilvl w:val="0"/>
                <w:numId w:val="11"/>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pH 测量范围：0–14.00 pH；</w:t>
            </w:r>
          </w:p>
          <w:p w14:paraId="129FDDAD">
            <w:pPr>
              <w:widowControl/>
              <w:numPr>
                <w:ilvl w:val="0"/>
                <w:numId w:val="11"/>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调节精度：≤0.1 pH；</w:t>
            </w:r>
          </w:p>
          <w:p w14:paraId="002E4012">
            <w:pPr>
              <w:widowControl/>
              <w:numPr>
                <w:ilvl w:val="0"/>
                <w:numId w:val="11"/>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支持50mL离心管操作；</w:t>
            </w:r>
          </w:p>
          <w:p w14:paraId="76916B47">
            <w:pPr>
              <w:widowControl/>
              <w:numPr>
                <w:ilvl w:val="0"/>
                <w:numId w:val="11"/>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通讯：ModbusTcp、webApi、RS485、TCP；</w:t>
            </w:r>
          </w:p>
        </w:tc>
      </w:tr>
      <w:tr w14:paraId="343F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50" w:hRule="atLeast"/>
          <w:jc w:val="center"/>
        </w:trPr>
        <w:tc>
          <w:tcPr>
            <w:tcW w:w="807" w:type="dxa"/>
            <w:tcBorders>
              <w:left w:val="single" w:color="auto" w:sz="12" w:space="0"/>
            </w:tcBorders>
            <w:noWrap w:val="0"/>
            <w:vAlign w:val="center"/>
          </w:tcPr>
          <w:p w14:paraId="053EEB06">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7</w:t>
            </w:r>
          </w:p>
        </w:tc>
        <w:tc>
          <w:tcPr>
            <w:tcW w:w="3275" w:type="dxa"/>
            <w:noWrap w:val="0"/>
            <w:vAlign w:val="center"/>
          </w:tcPr>
          <w:p w14:paraId="031F8118">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加盐涡旋模块</w:t>
            </w:r>
          </w:p>
        </w:tc>
        <w:tc>
          <w:tcPr>
            <w:tcW w:w="5137" w:type="dxa"/>
            <w:tcBorders>
              <w:right w:val="single" w:color="auto" w:sz="12" w:space="0"/>
            </w:tcBorders>
            <w:noWrap w:val="0"/>
            <w:vAlign w:val="center"/>
          </w:tcPr>
          <w:p w14:paraId="797AD248">
            <w:pPr>
              <w:widowControl/>
              <w:numPr>
                <w:ilvl w:val="0"/>
                <w:numId w:val="12"/>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加固体种类：1</w:t>
            </w:r>
          </w:p>
          <w:p w14:paraId="6C1ECF9E">
            <w:pPr>
              <w:widowControl/>
              <w:numPr>
                <w:ilvl w:val="0"/>
                <w:numId w:val="12"/>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加盐方式：盐包/盐管</w:t>
            </w:r>
          </w:p>
          <w:p w14:paraId="5F2EE861">
            <w:pPr>
              <w:widowControl/>
              <w:numPr>
                <w:ilvl w:val="0"/>
                <w:numId w:val="12"/>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加盐精度：±0.05g</w:t>
            </w:r>
          </w:p>
          <w:p w14:paraId="448DC0A0">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 涡旋转速：0~3000rpm</w:t>
            </w:r>
          </w:p>
          <w:p w14:paraId="4C491323">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 涡旋时长：0~31min</w:t>
            </w:r>
          </w:p>
          <w:p w14:paraId="43108D03">
            <w:pPr>
              <w:widowControl/>
              <w:numPr>
                <w:ilvl w:val="0"/>
                <w:numId w:val="0"/>
              </w:numPr>
              <w:spacing w:line="240" w:lineRule="atLeast"/>
              <w:ind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6. 通讯：ModbusTcp、webApi、RS485、TCP；</w:t>
            </w:r>
          </w:p>
        </w:tc>
      </w:tr>
    </w:tbl>
    <w:p w14:paraId="4471A398">
      <w:pPr>
        <w:pStyle w:val="3"/>
        <w:bidi w:val="0"/>
        <w:spacing w:line="240" w:lineRule="auto"/>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3.4 SPE净化和过滤平台</w:t>
      </w:r>
    </w:p>
    <w:p w14:paraId="2D768141">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3.4.1平台组成</w:t>
      </w:r>
    </w:p>
    <w:p w14:paraId="4A90D2C0">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SPE净化和过滤平台包括搬运模块、SPE模块、浓缩模块、过滤模块、拆盖模块和上下样模块。</w:t>
      </w:r>
    </w:p>
    <w:p w14:paraId="33245307">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07FD380E">
      <w:pPr>
        <w:ind w:firstLine="420" w:firstLineChars="200"/>
      </w:pPr>
      <w:r>
        <w:drawing>
          <wp:anchor distT="0" distB="0" distL="114300" distR="114300" simplePos="0" relativeHeight="251662336" behindDoc="0" locked="0" layoutInCell="1" allowOverlap="1">
            <wp:simplePos x="0" y="0"/>
            <wp:positionH relativeFrom="column">
              <wp:posOffset>501650</wp:posOffset>
            </wp:positionH>
            <wp:positionV relativeFrom="paragraph">
              <wp:posOffset>54610</wp:posOffset>
            </wp:positionV>
            <wp:extent cx="5000625" cy="1332230"/>
            <wp:effectExtent l="0" t="0" r="3175" b="1397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000625" cy="1332230"/>
                    </a:xfrm>
                    <a:prstGeom prst="rect">
                      <a:avLst/>
                    </a:prstGeom>
                    <a:noFill/>
                    <a:ln>
                      <a:noFill/>
                    </a:ln>
                  </pic:spPr>
                </pic:pic>
              </a:graphicData>
            </a:graphic>
          </wp:anchor>
        </w:drawing>
      </w:r>
    </w:p>
    <w:p w14:paraId="58DB3976">
      <w:pPr>
        <w:ind w:firstLine="420" w:firstLineChars="200"/>
      </w:pPr>
    </w:p>
    <w:p w14:paraId="06FC84E8">
      <w:pPr>
        <w:ind w:firstLine="420" w:firstLineChars="200"/>
      </w:pPr>
    </w:p>
    <w:p w14:paraId="4E656415">
      <w:pPr>
        <w:ind w:firstLine="420" w:firstLineChars="200"/>
      </w:pPr>
    </w:p>
    <w:p w14:paraId="644C76B4">
      <w:pPr>
        <w:ind w:firstLine="420" w:firstLineChars="200"/>
      </w:pPr>
    </w:p>
    <w:p w14:paraId="01E5B4F2">
      <w:pPr>
        <w:ind w:firstLine="420" w:firstLineChars="200"/>
      </w:pPr>
    </w:p>
    <w:p w14:paraId="683B3ECE">
      <w:pPr>
        <w:ind w:firstLine="420" w:firstLineChars="200"/>
      </w:pPr>
    </w:p>
    <w:p w14:paraId="0E451072"/>
    <w:p w14:paraId="663DA8BB">
      <w:pPr>
        <w:widowControl/>
        <w:ind w:firstLine="480"/>
        <w:jc w:val="center"/>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图3-4-1 SPE净化和过滤平台示意图</w:t>
      </w:r>
    </w:p>
    <w:p w14:paraId="3933E28E">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3.4.2平台功能说明</w:t>
      </w:r>
    </w:p>
    <w:p w14:paraId="0536716F">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SPE 净化和过滤自动化平台整合各类复杂样品基质的固相萃取净化、洗脱液高效浓干、精准复溶定容及样品过滤转移至 2mL 进样小瓶等全流程实验操作，适配食品、农产品等多基质兽残检测需求。其中核心的 SPE 模块可实现全流程自动化智能控制，对活化、平衡、吹干、上样、淋洗、吹干、洗脱、吹干八大关键操作步骤进行精准流速调控，流速精度可达微升级别，避免人工操作导致的流速不均、柱干失效等问题。同时，平台支持根据不同检测标准或个性化实验方法，自由编辑、存储并调用多组操作程序，灵活调整各步骤的时间、流速与试剂用量，大幅提升净化效率与结果重复性，满足高通量检测的标准化、规范化要求。</w:t>
      </w:r>
    </w:p>
    <w:p w14:paraId="6BD4221A">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3.4.3 关键技术指标</w:t>
      </w:r>
    </w:p>
    <w:p w14:paraId="326C389B">
      <w:pPr>
        <w:pStyle w:val="24"/>
        <w:ind w:firstLine="0" w:firstLineChars="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关键设备指标表</w:t>
      </w:r>
    </w:p>
    <w:p w14:paraId="60ACAC9F">
      <w:pPr>
        <w:pStyle w:val="25"/>
        <w:spacing w:line="240" w:lineRule="exact"/>
        <w:ind w:firstLine="280" w:firstLineChars="1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表3-4-1</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3275"/>
        <w:gridCol w:w="5137"/>
      </w:tblGrid>
      <w:tr w14:paraId="0A2C5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top w:val="single" w:color="auto" w:sz="12" w:space="0"/>
              <w:left w:val="single" w:color="auto" w:sz="12" w:space="0"/>
            </w:tcBorders>
            <w:noWrap w:val="0"/>
            <w:vAlign w:val="center"/>
          </w:tcPr>
          <w:p w14:paraId="4D1DDA2C">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序号</w:t>
            </w:r>
          </w:p>
        </w:tc>
        <w:tc>
          <w:tcPr>
            <w:tcW w:w="3275" w:type="dxa"/>
            <w:tcBorders>
              <w:top w:val="single" w:color="auto" w:sz="12" w:space="0"/>
            </w:tcBorders>
            <w:noWrap w:val="0"/>
            <w:vAlign w:val="center"/>
          </w:tcPr>
          <w:p w14:paraId="4700625B">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名称</w:t>
            </w:r>
          </w:p>
        </w:tc>
        <w:tc>
          <w:tcPr>
            <w:tcW w:w="5137" w:type="dxa"/>
            <w:tcBorders>
              <w:top w:val="single" w:color="auto" w:sz="12" w:space="0"/>
              <w:right w:val="single" w:color="auto" w:sz="12" w:space="0"/>
            </w:tcBorders>
            <w:noWrap w:val="0"/>
            <w:vAlign w:val="center"/>
          </w:tcPr>
          <w:p w14:paraId="0D9A1EBA">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系统指标</w:t>
            </w:r>
          </w:p>
        </w:tc>
      </w:tr>
      <w:tr w14:paraId="5B92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39" w:hRule="atLeast"/>
          <w:jc w:val="center"/>
        </w:trPr>
        <w:tc>
          <w:tcPr>
            <w:tcW w:w="807" w:type="dxa"/>
            <w:tcBorders>
              <w:left w:val="single" w:color="auto" w:sz="12" w:space="0"/>
            </w:tcBorders>
            <w:noWrap w:val="0"/>
            <w:vAlign w:val="center"/>
          </w:tcPr>
          <w:p w14:paraId="411AB245">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w:t>
            </w:r>
          </w:p>
        </w:tc>
        <w:tc>
          <w:tcPr>
            <w:tcW w:w="3275" w:type="dxa"/>
            <w:noWrap w:val="0"/>
            <w:vAlign w:val="center"/>
          </w:tcPr>
          <w:p w14:paraId="096FA6D4">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搬运模块</w:t>
            </w:r>
          </w:p>
        </w:tc>
        <w:tc>
          <w:tcPr>
            <w:tcW w:w="5137" w:type="dxa"/>
            <w:tcBorders>
              <w:right w:val="single" w:color="auto" w:sz="12" w:space="0"/>
            </w:tcBorders>
            <w:noWrap w:val="0"/>
            <w:vAlign w:val="center"/>
          </w:tcPr>
          <w:p w14:paraId="7BB92C0F">
            <w:pPr>
              <w:pStyle w:val="12"/>
              <w:widowControl/>
              <w:spacing w:line="240" w:lineRule="auto"/>
              <w:ind w:left="0" w:leftChars="0" w:right="0" w:righ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1.自由度：≥3</w:t>
            </w:r>
          </w:p>
          <w:p w14:paraId="2EA18F17">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2.控制方式：专用控制器</w:t>
            </w:r>
          </w:p>
          <w:p w14:paraId="0A1331FD">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3.接口类型：具备通讯接口和IO接口</w:t>
            </w:r>
          </w:p>
          <w:p w14:paraId="16F7BD47">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4.有效负载：≥7</w:t>
            </w:r>
            <w:r>
              <w:rPr>
                <w:rFonts w:hint="eastAsia" w:ascii="仿宋" w:hAnsi="仿宋" w:eastAsia="仿宋" w:cs="仿宋"/>
                <w:color w:val="auto"/>
                <w:w w:val="100"/>
                <w:kern w:val="2"/>
                <w:sz w:val="28"/>
                <w:szCs w:val="28"/>
                <w:lang w:val="en-US" w:eastAsia="zh-CN" w:bidi="ar"/>
              </w:rPr>
              <w:t>kg</w:t>
            </w:r>
          </w:p>
          <w:p w14:paraId="75A2D6F8">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5.工作半径：≥1000mm</w:t>
            </w:r>
          </w:p>
          <w:p w14:paraId="578B8F7D">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6.末端最大速度：≥3.2m/s</w:t>
            </w:r>
          </w:p>
          <w:p w14:paraId="6531BBCA">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7.重复定位精度：≤±0.03m</w:t>
            </w:r>
          </w:p>
          <w:p w14:paraId="4419C9F1">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8.工作温度：≤（0-50）℃</w:t>
            </w:r>
          </w:p>
          <w:p w14:paraId="33120969">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9.具有先进的可调安全功能</w:t>
            </w:r>
          </w:p>
          <w:p w14:paraId="36980B9C">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10.需获得国内、国外安全功能认证</w:t>
            </w:r>
          </w:p>
          <w:p w14:paraId="5EF0B588">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11.具有内置力矩传感器</w:t>
            </w:r>
          </w:p>
          <w:p w14:paraId="23C70948">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力感应，工具法兰／扭矩传感器</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作用力，x-y-z</w:t>
            </w:r>
          </w:p>
          <w:p w14:paraId="76429C0B">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范围</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±50.0N</w:t>
            </w:r>
          </w:p>
          <w:p w14:paraId="2B74341B">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精确度</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±3.5N</w:t>
            </w:r>
          </w:p>
          <w:p w14:paraId="70A0AD64">
            <w:pPr>
              <w:jc w:val="left"/>
              <w:rPr>
                <w:rFonts w:hint="eastAsia" w:ascii="仿宋" w:hAnsi="仿宋" w:eastAsia="仿宋" w:cs="仿宋"/>
                <w:color w:val="auto"/>
                <w:sz w:val="28"/>
                <w:szCs w:val="28"/>
                <w:lang w:val="en-US" w:eastAsia="zh-CN"/>
              </w:rPr>
            </w:pPr>
            <w:r>
              <w:rPr>
                <w:rFonts w:hint="eastAsia" w:ascii="仿宋" w:hAnsi="仿宋" w:eastAsia="仿宋" w:cs="仿宋"/>
                <w:color w:val="auto"/>
                <w:w w:val="80"/>
                <w:kern w:val="0"/>
                <w:sz w:val="28"/>
                <w:szCs w:val="28"/>
                <w:lang w:val="en-US" w:eastAsia="zh-CN" w:bidi="ar"/>
              </w:rPr>
              <w:t>准确度</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±4.0N</w:t>
            </w:r>
          </w:p>
        </w:tc>
      </w:tr>
      <w:tr w14:paraId="7C1D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2" w:hRule="atLeast"/>
          <w:jc w:val="center"/>
        </w:trPr>
        <w:tc>
          <w:tcPr>
            <w:tcW w:w="807" w:type="dxa"/>
            <w:tcBorders>
              <w:left w:val="single" w:color="auto" w:sz="12" w:space="0"/>
            </w:tcBorders>
            <w:noWrap w:val="0"/>
            <w:vAlign w:val="center"/>
          </w:tcPr>
          <w:p w14:paraId="62DD9FE5">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w:t>
            </w:r>
          </w:p>
        </w:tc>
        <w:tc>
          <w:tcPr>
            <w:tcW w:w="3275" w:type="dxa"/>
            <w:noWrap w:val="0"/>
            <w:vAlign w:val="center"/>
          </w:tcPr>
          <w:p w14:paraId="641FACFD">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宋体"/>
                <w:b w:val="0"/>
                <w:bCs w:val="0"/>
                <w:color w:val="auto"/>
                <w:kern w:val="0"/>
                <w:sz w:val="28"/>
                <w:szCs w:val="28"/>
                <w:lang w:val="en-US" w:eastAsia="zh-CN" w:bidi="ar-SA"/>
                <w14:ligatures w14:val="none"/>
              </w:rPr>
              <w:t>SPE模块</w:t>
            </w:r>
          </w:p>
        </w:tc>
        <w:tc>
          <w:tcPr>
            <w:tcW w:w="5137" w:type="dxa"/>
            <w:tcBorders>
              <w:right w:val="single" w:color="auto" w:sz="12" w:space="0"/>
            </w:tcBorders>
            <w:noWrap w:val="0"/>
            <w:vAlign w:val="center"/>
          </w:tcPr>
          <w:p w14:paraId="3FB8C850">
            <w:pPr>
              <w:widowControl/>
              <w:numPr>
                <w:ilvl w:val="0"/>
                <w:numId w:val="13"/>
              </w:numPr>
              <w:spacing w:line="240" w:lineRule="atLeast"/>
              <w:ind w:left="-42" w:leftChars="-20" w:right="-42" w:rightChars="-20" w:firstLine="0" w:firstLineChars="0"/>
              <w:jc w:val="left"/>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接入试剂种类：4种</w:t>
            </w:r>
          </w:p>
          <w:p w14:paraId="41764933">
            <w:pPr>
              <w:widowControl/>
              <w:numPr>
                <w:ilvl w:val="0"/>
                <w:numId w:val="13"/>
              </w:numPr>
              <w:spacing w:line="240" w:lineRule="atLeast"/>
              <w:ind w:left="-42" w:leftChars="-20" w:right="-42" w:rightChars="-20" w:firstLine="0" w:firstLineChars="0"/>
              <w:jc w:val="left"/>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流速控制范围：0.1–20 mL/min，流速精度≤±2%；</w:t>
            </w:r>
          </w:p>
          <w:p w14:paraId="78CEA3C8">
            <w:pPr>
              <w:widowControl/>
              <w:numPr>
                <w:ilvl w:val="0"/>
                <w:numId w:val="13"/>
              </w:numPr>
              <w:spacing w:line="240" w:lineRule="atLeast"/>
              <w:ind w:left="-42" w:leftChars="-20" w:right="-42" w:rightChars="-20" w:firstLine="0" w:firstLineChars="0"/>
              <w:jc w:val="left"/>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液体处理精度：移液体积范围 0.1–1000 mL，移液精度≤±0.5%；</w:t>
            </w:r>
          </w:p>
          <w:p w14:paraId="1F4DDC92">
            <w:pPr>
              <w:widowControl/>
              <w:numPr>
                <w:ilvl w:val="0"/>
                <w:numId w:val="13"/>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宋体"/>
                <w:b w:val="0"/>
                <w:bCs w:val="0"/>
                <w:color w:val="auto"/>
                <w:kern w:val="0"/>
                <w:sz w:val="28"/>
                <w:szCs w:val="28"/>
                <w:lang w:val="en-US" w:eastAsia="zh-CN" w:bidi="ar-SA"/>
                <w14:ligatures w14:val="none"/>
              </w:rPr>
              <w:t>SPE 柱兼容性：兼容 3 mL、6 mL常规规格 SPE 柱；</w:t>
            </w:r>
          </w:p>
          <w:p w14:paraId="0BE2AFAA">
            <w:pPr>
              <w:widowControl/>
              <w:numPr>
                <w:ilvl w:val="0"/>
                <w:numId w:val="13"/>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吹干功能：满足，空气或氮气吹干</w:t>
            </w:r>
          </w:p>
          <w:p w14:paraId="33253450">
            <w:pPr>
              <w:widowControl/>
              <w:numPr>
                <w:ilvl w:val="0"/>
                <w:numId w:val="13"/>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通讯：ModbusTcp、webApi、RS485、TCP；</w:t>
            </w:r>
          </w:p>
        </w:tc>
      </w:tr>
      <w:tr w14:paraId="5602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left w:val="single" w:color="auto" w:sz="12" w:space="0"/>
            </w:tcBorders>
            <w:noWrap w:val="0"/>
            <w:vAlign w:val="center"/>
          </w:tcPr>
          <w:p w14:paraId="1AC195D6">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w:t>
            </w:r>
          </w:p>
        </w:tc>
        <w:tc>
          <w:tcPr>
            <w:tcW w:w="3275" w:type="dxa"/>
            <w:noWrap w:val="0"/>
            <w:vAlign w:val="center"/>
          </w:tcPr>
          <w:p w14:paraId="45DD2A80">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浓缩模块</w:t>
            </w:r>
          </w:p>
        </w:tc>
        <w:tc>
          <w:tcPr>
            <w:tcW w:w="5137" w:type="dxa"/>
            <w:tcBorders>
              <w:right w:val="single" w:color="auto" w:sz="12" w:space="0"/>
            </w:tcBorders>
            <w:noWrap w:val="0"/>
            <w:vAlign w:val="center"/>
          </w:tcPr>
          <w:p w14:paraId="24CEE167">
            <w:pPr>
              <w:widowControl/>
              <w:numPr>
                <w:ilvl w:val="0"/>
                <w:numId w:val="14"/>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转速：0-8000rpm</w:t>
            </w:r>
          </w:p>
          <w:p w14:paraId="274E197B">
            <w:pPr>
              <w:widowControl/>
              <w:numPr>
                <w:ilvl w:val="0"/>
                <w:numId w:val="9"/>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浓缩效率：1ml/min（甲醇，45℃）</w:t>
            </w:r>
          </w:p>
          <w:p w14:paraId="1D803627">
            <w:pPr>
              <w:widowControl/>
              <w:numPr>
                <w:ilvl w:val="0"/>
                <w:numId w:val="9"/>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温度范围：室温~100℃，控温精度≤±0.5℃</w:t>
            </w:r>
          </w:p>
          <w:p w14:paraId="1AFA9053">
            <w:pPr>
              <w:widowControl/>
              <w:numPr>
                <w:ilvl w:val="0"/>
                <w:numId w:val="9"/>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通讯：ModbusTcp、webApi、RS485、TCP；</w:t>
            </w:r>
          </w:p>
        </w:tc>
      </w:tr>
      <w:tr w14:paraId="49B4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39" w:hRule="atLeast"/>
          <w:jc w:val="center"/>
        </w:trPr>
        <w:tc>
          <w:tcPr>
            <w:tcW w:w="807" w:type="dxa"/>
            <w:tcBorders>
              <w:left w:val="single" w:color="auto" w:sz="12" w:space="0"/>
            </w:tcBorders>
            <w:noWrap w:val="0"/>
            <w:vAlign w:val="center"/>
          </w:tcPr>
          <w:p w14:paraId="415EF972">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w:t>
            </w:r>
          </w:p>
        </w:tc>
        <w:tc>
          <w:tcPr>
            <w:tcW w:w="3275" w:type="dxa"/>
            <w:noWrap w:val="0"/>
            <w:vAlign w:val="center"/>
          </w:tcPr>
          <w:p w14:paraId="1162D4BE">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针式过滤模块</w:t>
            </w:r>
          </w:p>
        </w:tc>
        <w:tc>
          <w:tcPr>
            <w:tcW w:w="5137" w:type="dxa"/>
            <w:tcBorders>
              <w:right w:val="single" w:color="auto" w:sz="12" w:space="0"/>
            </w:tcBorders>
            <w:noWrap w:val="0"/>
            <w:vAlign w:val="center"/>
          </w:tcPr>
          <w:p w14:paraId="5A539656">
            <w:pPr>
              <w:widowControl/>
              <w:numPr>
                <w:ilvl w:val="0"/>
                <w:numId w:val="15"/>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滤膜兼容性：支持0.22μm、0.45μm等常规孔径滤膜；</w:t>
            </w:r>
          </w:p>
          <w:p w14:paraId="571E73AC">
            <w:pPr>
              <w:widowControl/>
              <w:numPr>
                <w:ilvl w:val="0"/>
                <w:numId w:val="15"/>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过滤压力控制：采用正压过滤模式，压力调节范围 0.05–0.3MPa，精度≤±0.01MPa</w:t>
            </w:r>
          </w:p>
          <w:p w14:paraId="39652443">
            <w:pPr>
              <w:widowControl/>
              <w:numPr>
                <w:ilvl w:val="0"/>
                <w:numId w:val="15"/>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样品体积：0.2~2ml</w:t>
            </w:r>
          </w:p>
          <w:p w14:paraId="5C723CFB">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 通讯：ModbusTcp、webApi、RS485、TCP；</w:t>
            </w:r>
          </w:p>
        </w:tc>
      </w:tr>
      <w:tr w14:paraId="4D01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left w:val="single" w:color="auto" w:sz="12" w:space="0"/>
            </w:tcBorders>
            <w:noWrap w:val="0"/>
            <w:vAlign w:val="center"/>
          </w:tcPr>
          <w:p w14:paraId="615C63CE">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6</w:t>
            </w:r>
          </w:p>
        </w:tc>
        <w:tc>
          <w:tcPr>
            <w:tcW w:w="3275" w:type="dxa"/>
            <w:noWrap w:val="0"/>
            <w:vAlign w:val="center"/>
          </w:tcPr>
          <w:p w14:paraId="41A00003">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西林瓶拆盖模块</w:t>
            </w:r>
          </w:p>
        </w:tc>
        <w:tc>
          <w:tcPr>
            <w:tcW w:w="5137" w:type="dxa"/>
            <w:tcBorders>
              <w:right w:val="single" w:color="auto" w:sz="12" w:space="0"/>
            </w:tcBorders>
            <w:noWrap w:val="0"/>
            <w:vAlign w:val="center"/>
          </w:tcPr>
          <w:p w14:paraId="082C4F85">
            <w:pPr>
              <w:widowControl/>
              <w:numPr>
                <w:ilvl w:val="0"/>
                <w:numId w:val="16"/>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适配容器规格：兼容 2mL 离心管、2mL 进样瓶；</w:t>
            </w:r>
          </w:p>
          <w:p w14:paraId="6EBA8C96">
            <w:pPr>
              <w:widowControl/>
              <w:numPr>
                <w:ilvl w:val="0"/>
                <w:numId w:val="16"/>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拆盖 / 封盖效率：单管操作时间≤10s；</w:t>
            </w:r>
          </w:p>
          <w:p w14:paraId="04EFA27F">
            <w:pPr>
              <w:widowControl/>
              <w:numPr>
                <w:ilvl w:val="0"/>
                <w:numId w:val="16"/>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操作成功率：拆盖成功率≥99.5%；</w:t>
            </w:r>
          </w:p>
          <w:p w14:paraId="1835DEB9">
            <w:pPr>
              <w:widowControl/>
              <w:numPr>
                <w:ilvl w:val="0"/>
                <w:numId w:val="16"/>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通讯：ModbusTcp、webApi、RS485、TCP；</w:t>
            </w:r>
          </w:p>
        </w:tc>
      </w:tr>
      <w:tr w14:paraId="2A80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left w:val="single" w:color="auto" w:sz="12" w:space="0"/>
            </w:tcBorders>
            <w:noWrap w:val="0"/>
            <w:vAlign w:val="center"/>
          </w:tcPr>
          <w:p w14:paraId="01B135F1">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7</w:t>
            </w:r>
          </w:p>
        </w:tc>
        <w:tc>
          <w:tcPr>
            <w:tcW w:w="3275" w:type="dxa"/>
            <w:noWrap w:val="0"/>
            <w:vAlign w:val="center"/>
          </w:tcPr>
          <w:p w14:paraId="44F72039">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移液模块</w:t>
            </w:r>
          </w:p>
        </w:tc>
        <w:tc>
          <w:tcPr>
            <w:tcW w:w="5137" w:type="dxa"/>
            <w:tcBorders>
              <w:right w:val="single" w:color="auto" w:sz="12" w:space="0"/>
            </w:tcBorders>
            <w:noWrap w:val="0"/>
            <w:vAlign w:val="center"/>
          </w:tcPr>
          <w:p w14:paraId="567C382A">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1.精度：≤5%；</w:t>
            </w:r>
          </w:p>
          <w:p w14:paraId="44A405F1">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2.用于范围：100ul-1000ul；</w:t>
            </w:r>
          </w:p>
          <w:p w14:paraId="14DA100B">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3.移液最大速度：1000ul/s；</w:t>
            </w:r>
          </w:p>
          <w:p w14:paraId="0B48F30C">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4.过程安全：TIP状态、压力式液面检测、电容式液面检测、移液过程检测；</w:t>
            </w:r>
          </w:p>
          <w:p w14:paraId="7AE7F3DC">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5.Z轴行程：180mm；</w:t>
            </w:r>
          </w:p>
          <w:p w14:paraId="443F84EB">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6.Z轴精度：±0.05mm;</w:t>
            </w:r>
          </w:p>
        </w:tc>
      </w:tr>
    </w:tbl>
    <w:p w14:paraId="022ADB6B">
      <w:pPr>
        <w:rPr>
          <w:rFonts w:hint="eastAsia" w:ascii="仿宋" w:hAnsi="仿宋" w:eastAsia="仿宋" w:cs="宋体"/>
          <w:b w:val="0"/>
          <w:bCs w:val="0"/>
          <w:color w:val="auto"/>
          <w:kern w:val="0"/>
          <w:sz w:val="28"/>
          <w:szCs w:val="28"/>
          <w:lang w:val="en-US" w:eastAsia="zh-CN" w:bidi="ar-SA"/>
          <w14:ligatures w14:val="none"/>
        </w:rPr>
      </w:pPr>
    </w:p>
    <w:p w14:paraId="1A1C8C07">
      <w:pPr>
        <w:pStyle w:val="3"/>
        <w:bidi w:val="0"/>
        <w:spacing w:line="240" w:lineRule="auto"/>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3.5 萃取净化平台</w:t>
      </w:r>
    </w:p>
    <w:p w14:paraId="15E4D465">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3.5.1平台组成</w:t>
      </w:r>
    </w:p>
    <w:p w14:paraId="20E5E539">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萃取净化平台包括搬运模块、加液涡旋模块、浓缩模块和上下样模块。</w:t>
      </w:r>
    </w:p>
    <w:p w14:paraId="71600560">
      <w:pPr>
        <w:ind w:firstLine="420" w:firstLineChars="200"/>
        <w:rPr>
          <w:rFonts w:hint="eastAsia" w:ascii="仿宋" w:hAnsi="仿宋" w:eastAsia="仿宋" w:cs="宋体"/>
          <w:b w:val="0"/>
          <w:bCs w:val="0"/>
          <w:color w:val="auto"/>
          <w:kern w:val="0"/>
          <w:sz w:val="28"/>
          <w:szCs w:val="28"/>
          <w:lang w:val="en-US" w:eastAsia="zh-CN" w:bidi="ar-SA"/>
          <w14:ligatures w14:val="none"/>
        </w:rPr>
      </w:pPr>
      <w:r>
        <w:drawing>
          <wp:anchor distT="0" distB="0" distL="114300" distR="114300" simplePos="0" relativeHeight="251663360" behindDoc="0" locked="0" layoutInCell="1" allowOverlap="1">
            <wp:simplePos x="0" y="0"/>
            <wp:positionH relativeFrom="column">
              <wp:posOffset>1879600</wp:posOffset>
            </wp:positionH>
            <wp:positionV relativeFrom="paragraph">
              <wp:posOffset>39370</wp:posOffset>
            </wp:positionV>
            <wp:extent cx="2660650" cy="1403985"/>
            <wp:effectExtent l="0" t="0" r="6350" b="18415"/>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2660650" cy="1403985"/>
                    </a:xfrm>
                    <a:prstGeom prst="rect">
                      <a:avLst/>
                    </a:prstGeom>
                    <a:noFill/>
                    <a:ln>
                      <a:noFill/>
                    </a:ln>
                  </pic:spPr>
                </pic:pic>
              </a:graphicData>
            </a:graphic>
          </wp:anchor>
        </w:drawing>
      </w:r>
    </w:p>
    <w:p w14:paraId="5CAA1837">
      <w:pPr>
        <w:ind w:firstLine="420" w:firstLineChars="200"/>
      </w:pPr>
    </w:p>
    <w:p w14:paraId="1DB3FCA0">
      <w:pPr>
        <w:ind w:firstLine="420" w:firstLineChars="200"/>
      </w:pPr>
    </w:p>
    <w:p w14:paraId="484FDF97">
      <w:pPr>
        <w:ind w:firstLine="420" w:firstLineChars="200"/>
      </w:pPr>
    </w:p>
    <w:p w14:paraId="5A1DD3D0">
      <w:pPr>
        <w:ind w:firstLine="420" w:firstLineChars="200"/>
      </w:pPr>
    </w:p>
    <w:p w14:paraId="63321DEA"/>
    <w:p w14:paraId="6630666F"/>
    <w:p w14:paraId="0E4C6144">
      <w:pPr>
        <w:widowControl/>
        <w:ind w:firstLine="480"/>
        <w:jc w:val="center"/>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图3-5-1 萃取平台示意图</w:t>
      </w:r>
    </w:p>
    <w:p w14:paraId="7BDCA199">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3.5.2平台功能说明</w:t>
      </w:r>
    </w:p>
    <w:p w14:paraId="2297832E">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萃取净化自动化平台深度整合各类复杂样品基质的液液萃取净化、洗脱液高效浓干、精准复溶定容等前处理全流程实验操作，可一站式完成从样品提取到上机检测前的标准化处理。平台针对大体积样品处理需求进行专项优化，不仅能实现大体积提取液的自动化萃取净化，有效分离目标物与基质杂质，还可对大体积萃取液开展高效浓缩，通过智能控温、精准控压技术规避目标物挥发损失，同时配套自动复溶与定容模块，保障定容体积精度符合检测标准。该平台适配畜禽肉、水产、果蔬等多类型基质样品，大幅减少人工干预，提升实验重复性与通量，满足高通量检测对标准化、自动化前处理的严苛要求。</w:t>
      </w:r>
    </w:p>
    <w:p w14:paraId="1569886E">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3.5.3 关键技术指标</w:t>
      </w:r>
    </w:p>
    <w:p w14:paraId="33EFD95F">
      <w:pPr>
        <w:pStyle w:val="24"/>
        <w:ind w:firstLine="0" w:firstLineChars="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关键设备指标表</w:t>
      </w:r>
    </w:p>
    <w:p w14:paraId="41B38FC2">
      <w:pPr>
        <w:pStyle w:val="25"/>
        <w:spacing w:line="240" w:lineRule="exact"/>
        <w:ind w:firstLine="280" w:firstLineChars="1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表3-5-1</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3275"/>
        <w:gridCol w:w="5137"/>
      </w:tblGrid>
      <w:tr w14:paraId="5C3FC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top w:val="single" w:color="auto" w:sz="12" w:space="0"/>
              <w:left w:val="single" w:color="auto" w:sz="12" w:space="0"/>
            </w:tcBorders>
            <w:noWrap w:val="0"/>
            <w:vAlign w:val="center"/>
          </w:tcPr>
          <w:p w14:paraId="03A57CAF">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序号</w:t>
            </w:r>
          </w:p>
        </w:tc>
        <w:tc>
          <w:tcPr>
            <w:tcW w:w="3275" w:type="dxa"/>
            <w:tcBorders>
              <w:top w:val="single" w:color="auto" w:sz="12" w:space="0"/>
            </w:tcBorders>
            <w:noWrap w:val="0"/>
            <w:vAlign w:val="center"/>
          </w:tcPr>
          <w:p w14:paraId="642A3B8B">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名称</w:t>
            </w:r>
          </w:p>
        </w:tc>
        <w:tc>
          <w:tcPr>
            <w:tcW w:w="5137" w:type="dxa"/>
            <w:tcBorders>
              <w:top w:val="single" w:color="auto" w:sz="12" w:space="0"/>
              <w:right w:val="single" w:color="auto" w:sz="12" w:space="0"/>
            </w:tcBorders>
            <w:noWrap w:val="0"/>
            <w:vAlign w:val="center"/>
          </w:tcPr>
          <w:p w14:paraId="67F16CD4">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系统指标</w:t>
            </w:r>
          </w:p>
        </w:tc>
      </w:tr>
      <w:tr w14:paraId="5B53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39" w:hRule="atLeast"/>
          <w:jc w:val="center"/>
        </w:trPr>
        <w:tc>
          <w:tcPr>
            <w:tcW w:w="807" w:type="dxa"/>
            <w:tcBorders>
              <w:left w:val="single" w:color="auto" w:sz="12" w:space="0"/>
            </w:tcBorders>
            <w:noWrap w:val="0"/>
            <w:vAlign w:val="center"/>
          </w:tcPr>
          <w:p w14:paraId="63492165">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w:t>
            </w:r>
          </w:p>
        </w:tc>
        <w:tc>
          <w:tcPr>
            <w:tcW w:w="3275" w:type="dxa"/>
            <w:noWrap w:val="0"/>
            <w:vAlign w:val="center"/>
          </w:tcPr>
          <w:p w14:paraId="420D01C1">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搬运模块</w:t>
            </w:r>
          </w:p>
        </w:tc>
        <w:tc>
          <w:tcPr>
            <w:tcW w:w="5137" w:type="dxa"/>
            <w:tcBorders>
              <w:right w:val="single" w:color="auto" w:sz="12" w:space="0"/>
            </w:tcBorders>
            <w:noWrap w:val="0"/>
            <w:vAlign w:val="center"/>
          </w:tcPr>
          <w:p w14:paraId="66A09518">
            <w:pPr>
              <w:pStyle w:val="12"/>
              <w:widowControl/>
              <w:spacing w:line="240" w:lineRule="auto"/>
              <w:ind w:left="0" w:leftChars="0" w:right="0" w:righ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1.自由度：≥3</w:t>
            </w:r>
          </w:p>
          <w:p w14:paraId="3DC97382">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2.控制方式：专用控制器</w:t>
            </w:r>
          </w:p>
          <w:p w14:paraId="63C57754">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3.接口类型：具备通讯接口和IO接口</w:t>
            </w:r>
          </w:p>
          <w:p w14:paraId="2851DF5F">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4.有效负载：≥7</w:t>
            </w:r>
            <w:r>
              <w:rPr>
                <w:rFonts w:hint="eastAsia" w:ascii="仿宋" w:hAnsi="仿宋" w:eastAsia="仿宋" w:cs="仿宋"/>
                <w:color w:val="auto"/>
                <w:w w:val="100"/>
                <w:kern w:val="2"/>
                <w:sz w:val="28"/>
                <w:szCs w:val="28"/>
                <w:lang w:val="en-US" w:eastAsia="zh-CN" w:bidi="ar"/>
              </w:rPr>
              <w:t>kg</w:t>
            </w:r>
          </w:p>
          <w:p w14:paraId="7D2FD2EF">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5.工作半径：≥1000mm</w:t>
            </w:r>
          </w:p>
          <w:p w14:paraId="092A5083">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6.末端最大速度：≥3.2m/s</w:t>
            </w:r>
          </w:p>
          <w:p w14:paraId="11491422">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7.重复定位精度：≤±0.03m</w:t>
            </w:r>
          </w:p>
          <w:p w14:paraId="018BFCB4">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8.工作温度：≤（0-50）℃</w:t>
            </w:r>
          </w:p>
          <w:p w14:paraId="0F185CF1">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9.具有先进的可调安全功能</w:t>
            </w:r>
          </w:p>
          <w:p w14:paraId="2C8F5DCF">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10.需获得国内、国外安全功能认证</w:t>
            </w:r>
          </w:p>
          <w:p w14:paraId="49761F4A">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11.具有内置力矩传感器</w:t>
            </w:r>
          </w:p>
          <w:p w14:paraId="67824BB8">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力感应，工具法兰／扭矩传感器</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作用力，x-y-z</w:t>
            </w:r>
          </w:p>
          <w:p w14:paraId="798E7D26">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范围</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±50.0N</w:t>
            </w:r>
          </w:p>
          <w:p w14:paraId="642BE493">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精确度</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±3.5N</w:t>
            </w:r>
          </w:p>
          <w:p w14:paraId="7CBF1FB5">
            <w:pPr>
              <w:jc w:val="left"/>
              <w:rPr>
                <w:rFonts w:hint="eastAsia" w:ascii="仿宋" w:hAnsi="仿宋" w:eastAsia="仿宋" w:cs="仿宋"/>
                <w:color w:val="auto"/>
                <w:sz w:val="28"/>
                <w:szCs w:val="28"/>
                <w:lang w:val="en-US" w:eastAsia="zh-CN"/>
              </w:rPr>
            </w:pPr>
            <w:r>
              <w:rPr>
                <w:rFonts w:hint="eastAsia" w:ascii="仿宋" w:hAnsi="仿宋" w:eastAsia="仿宋" w:cs="仿宋"/>
                <w:color w:val="auto"/>
                <w:w w:val="80"/>
                <w:kern w:val="0"/>
                <w:sz w:val="28"/>
                <w:szCs w:val="28"/>
                <w:lang w:val="en-US" w:eastAsia="zh-CN" w:bidi="ar"/>
              </w:rPr>
              <w:t>准确度</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±4.0N</w:t>
            </w:r>
          </w:p>
        </w:tc>
      </w:tr>
      <w:tr w14:paraId="4FA0C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2" w:hRule="atLeast"/>
          <w:jc w:val="center"/>
        </w:trPr>
        <w:tc>
          <w:tcPr>
            <w:tcW w:w="807" w:type="dxa"/>
            <w:tcBorders>
              <w:left w:val="single" w:color="auto" w:sz="12" w:space="0"/>
            </w:tcBorders>
            <w:noWrap w:val="0"/>
            <w:vAlign w:val="center"/>
          </w:tcPr>
          <w:p w14:paraId="578C20B2">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w:t>
            </w:r>
          </w:p>
        </w:tc>
        <w:tc>
          <w:tcPr>
            <w:tcW w:w="3275" w:type="dxa"/>
            <w:noWrap w:val="0"/>
            <w:vAlign w:val="center"/>
          </w:tcPr>
          <w:p w14:paraId="507220B3">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宋体"/>
                <w:b w:val="0"/>
                <w:bCs w:val="0"/>
                <w:color w:val="auto"/>
                <w:kern w:val="0"/>
                <w:sz w:val="28"/>
                <w:szCs w:val="28"/>
                <w:lang w:val="en-US" w:eastAsia="zh-CN" w:bidi="ar-SA"/>
                <w14:ligatures w14:val="none"/>
              </w:rPr>
              <w:t>加液涡旋模块</w:t>
            </w:r>
          </w:p>
        </w:tc>
        <w:tc>
          <w:tcPr>
            <w:tcW w:w="5137" w:type="dxa"/>
            <w:tcBorders>
              <w:right w:val="single" w:color="auto" w:sz="12" w:space="0"/>
            </w:tcBorders>
            <w:noWrap w:val="0"/>
            <w:vAlign w:val="center"/>
          </w:tcPr>
          <w:p w14:paraId="73CCBA8C">
            <w:pPr>
              <w:widowControl/>
              <w:numPr>
                <w:ilvl w:val="0"/>
                <w:numId w:val="17"/>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液体添加种类：4种</w:t>
            </w:r>
          </w:p>
          <w:p w14:paraId="23CE2A44">
            <w:pPr>
              <w:widowControl/>
              <w:numPr>
                <w:ilvl w:val="0"/>
                <w:numId w:val="17"/>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加液体积：0.1~50ml</w:t>
            </w:r>
          </w:p>
          <w:p w14:paraId="053EA323">
            <w:pPr>
              <w:widowControl/>
              <w:numPr>
                <w:ilvl w:val="0"/>
                <w:numId w:val="17"/>
              </w:numPr>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重复精度≤0.5％（100％量程 室温 去离子水）</w:t>
            </w:r>
          </w:p>
          <w:p w14:paraId="0F3F0639">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 吸排液精度≤1％100％量程 室温 去离子水）</w:t>
            </w:r>
          </w:p>
          <w:p w14:paraId="00CC6ADA">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 涡旋转速：0~3000rpm</w:t>
            </w:r>
          </w:p>
          <w:p w14:paraId="03A10545">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 涡旋时长：0~31min</w:t>
            </w:r>
          </w:p>
          <w:p w14:paraId="5DB94FD9">
            <w:pPr>
              <w:widowControl/>
              <w:numPr>
                <w:ilvl w:val="0"/>
                <w:numId w:val="0"/>
              </w:numPr>
              <w:spacing w:line="240" w:lineRule="atLeast"/>
              <w:ind w:leftChars="-20"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6. 通讯：ModbusTcp、webApi、RS485、TCP；</w:t>
            </w:r>
          </w:p>
        </w:tc>
      </w:tr>
      <w:tr w14:paraId="3357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left w:val="single" w:color="auto" w:sz="12" w:space="0"/>
            </w:tcBorders>
            <w:noWrap w:val="0"/>
            <w:vAlign w:val="center"/>
          </w:tcPr>
          <w:p w14:paraId="5CE278A5">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w:t>
            </w:r>
          </w:p>
        </w:tc>
        <w:tc>
          <w:tcPr>
            <w:tcW w:w="3275" w:type="dxa"/>
            <w:noWrap w:val="0"/>
            <w:vAlign w:val="center"/>
          </w:tcPr>
          <w:p w14:paraId="03D0D61C">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浓缩模块</w:t>
            </w:r>
          </w:p>
        </w:tc>
        <w:tc>
          <w:tcPr>
            <w:tcW w:w="5137" w:type="dxa"/>
            <w:tcBorders>
              <w:right w:val="single" w:color="auto" w:sz="12" w:space="0"/>
            </w:tcBorders>
            <w:noWrap w:val="0"/>
            <w:vAlign w:val="center"/>
          </w:tcPr>
          <w:p w14:paraId="49016486">
            <w:pPr>
              <w:widowControl/>
              <w:numPr>
                <w:ilvl w:val="0"/>
                <w:numId w:val="18"/>
              </w:numPr>
              <w:spacing w:line="240" w:lineRule="atLeast"/>
              <w:ind w:right="-42" w:rightChars="-2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转速：0-8000rpm</w:t>
            </w:r>
          </w:p>
          <w:p w14:paraId="428D3304">
            <w:pPr>
              <w:widowControl/>
              <w:numPr>
                <w:ilvl w:val="0"/>
                <w:numId w:val="18"/>
              </w:numPr>
              <w:spacing w:line="240" w:lineRule="atLeast"/>
              <w:ind w:left="0" w:leftChars="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浓缩效率：1ml/min（甲醇，45℃）</w:t>
            </w:r>
          </w:p>
          <w:p w14:paraId="11B6E7FD">
            <w:pPr>
              <w:widowControl/>
              <w:numPr>
                <w:ilvl w:val="0"/>
                <w:numId w:val="18"/>
              </w:numPr>
              <w:spacing w:line="240" w:lineRule="atLeast"/>
              <w:ind w:left="0" w:leftChars="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温度范围：室温~100℃，控温精度≤±0.5℃</w:t>
            </w:r>
          </w:p>
          <w:p w14:paraId="1D11B344">
            <w:pPr>
              <w:widowControl/>
              <w:numPr>
                <w:ilvl w:val="0"/>
                <w:numId w:val="18"/>
              </w:numPr>
              <w:spacing w:line="240" w:lineRule="atLeast"/>
              <w:ind w:left="0" w:leftChars="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通讯：ModbusTcp、webApi、RS485、TCP；</w:t>
            </w:r>
          </w:p>
        </w:tc>
      </w:tr>
      <w:tr w14:paraId="1BED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39" w:hRule="atLeast"/>
          <w:jc w:val="center"/>
        </w:trPr>
        <w:tc>
          <w:tcPr>
            <w:tcW w:w="807" w:type="dxa"/>
            <w:tcBorders>
              <w:left w:val="single" w:color="auto" w:sz="12" w:space="0"/>
            </w:tcBorders>
            <w:noWrap w:val="0"/>
            <w:vAlign w:val="center"/>
          </w:tcPr>
          <w:p w14:paraId="6535C3A9">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w:t>
            </w:r>
          </w:p>
        </w:tc>
        <w:tc>
          <w:tcPr>
            <w:tcW w:w="3275" w:type="dxa"/>
            <w:noWrap w:val="0"/>
            <w:vAlign w:val="center"/>
          </w:tcPr>
          <w:p w14:paraId="7139F82A">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移液模块</w:t>
            </w:r>
          </w:p>
        </w:tc>
        <w:tc>
          <w:tcPr>
            <w:tcW w:w="5137" w:type="dxa"/>
            <w:tcBorders>
              <w:right w:val="single" w:color="auto" w:sz="12" w:space="0"/>
            </w:tcBorders>
            <w:noWrap w:val="0"/>
            <w:vAlign w:val="center"/>
          </w:tcPr>
          <w:p w14:paraId="3DDA41E4">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1.精度：≤5%；</w:t>
            </w:r>
          </w:p>
          <w:p w14:paraId="64F0E6E3">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2.用于范围：100ul-5000ul；</w:t>
            </w:r>
          </w:p>
          <w:p w14:paraId="315ED87C">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3.移液最大速度：2500ul/s；</w:t>
            </w:r>
          </w:p>
          <w:p w14:paraId="6D279046">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4.过程安全：TIP状态、压力式液面检测、电容式液面检测、移液过程检测；</w:t>
            </w:r>
          </w:p>
          <w:p w14:paraId="2817073A">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5.Z轴行程：180mm；</w:t>
            </w:r>
          </w:p>
          <w:p w14:paraId="36D975A4">
            <w:pPr>
              <w:widowControl/>
              <w:spacing w:line="240" w:lineRule="atLeast"/>
              <w:ind w:left="-42" w:leftChars="-20"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6.Z轴精度：±0.05mm;</w:t>
            </w:r>
          </w:p>
        </w:tc>
      </w:tr>
    </w:tbl>
    <w:p w14:paraId="114605A0">
      <w:pPr>
        <w:pStyle w:val="3"/>
        <w:bidi w:val="0"/>
        <w:spacing w:line="240" w:lineRule="auto"/>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3.6 智能仓库</w:t>
      </w:r>
    </w:p>
    <w:p w14:paraId="3FBFF1BB">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3.6.1系统组成</w:t>
      </w:r>
    </w:p>
    <w:p w14:paraId="7C473CD6">
      <w:pPr>
        <w:ind w:firstLine="420" w:firstLineChars="200"/>
        <w:rPr>
          <w:rFonts w:hint="eastAsia" w:ascii="仿宋" w:hAnsi="仿宋" w:eastAsia="仿宋" w:cs="宋体"/>
          <w:b w:val="0"/>
          <w:bCs w:val="0"/>
          <w:color w:val="auto"/>
          <w:kern w:val="0"/>
          <w:sz w:val="28"/>
          <w:szCs w:val="28"/>
          <w:lang w:val="en-US" w:eastAsia="zh-CN" w:bidi="ar-SA"/>
          <w14:ligatures w14:val="none"/>
        </w:rPr>
      </w:pPr>
      <w:r>
        <w:drawing>
          <wp:anchor distT="0" distB="0" distL="114300" distR="114300" simplePos="0" relativeHeight="251664384" behindDoc="0" locked="0" layoutInCell="1" allowOverlap="1">
            <wp:simplePos x="0" y="0"/>
            <wp:positionH relativeFrom="column">
              <wp:posOffset>1962150</wp:posOffset>
            </wp:positionH>
            <wp:positionV relativeFrom="paragraph">
              <wp:posOffset>383540</wp:posOffset>
            </wp:positionV>
            <wp:extent cx="1334770" cy="1871980"/>
            <wp:effectExtent l="0" t="0" r="11430" b="7620"/>
            <wp:wrapNone/>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1"/>
                    <a:stretch>
                      <a:fillRect/>
                    </a:stretch>
                  </pic:blipFill>
                  <pic:spPr>
                    <a:xfrm>
                      <a:off x="0" y="0"/>
                      <a:ext cx="1334770" cy="187198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3403600</wp:posOffset>
            </wp:positionH>
            <wp:positionV relativeFrom="paragraph">
              <wp:posOffset>379730</wp:posOffset>
            </wp:positionV>
            <wp:extent cx="942975" cy="1874520"/>
            <wp:effectExtent l="0" t="0" r="22225" b="5080"/>
            <wp:wrapNone/>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2"/>
                    <a:stretch>
                      <a:fillRect/>
                    </a:stretch>
                  </pic:blipFill>
                  <pic:spPr>
                    <a:xfrm>
                      <a:off x="0" y="0"/>
                      <a:ext cx="942975" cy="1874520"/>
                    </a:xfrm>
                    <a:prstGeom prst="rect">
                      <a:avLst/>
                    </a:prstGeom>
                    <a:noFill/>
                    <a:ln>
                      <a:noFill/>
                    </a:ln>
                  </pic:spPr>
                </pic:pic>
              </a:graphicData>
            </a:graphic>
          </wp:anchor>
        </w:drawing>
      </w:r>
      <w:r>
        <w:rPr>
          <w:rFonts w:hint="eastAsia" w:ascii="仿宋" w:hAnsi="仿宋" w:eastAsia="仿宋" w:cs="宋体"/>
          <w:b w:val="0"/>
          <w:bCs w:val="0"/>
          <w:color w:val="auto"/>
          <w:kern w:val="0"/>
          <w:sz w:val="28"/>
          <w:szCs w:val="28"/>
          <w:lang w:val="en-US" w:eastAsia="zh-CN" w:bidi="ar-SA"/>
          <w14:ligatures w14:val="none"/>
        </w:rPr>
        <w:t>智能仓库包括智能存储库位和搬运模块。</w:t>
      </w:r>
    </w:p>
    <w:p w14:paraId="2D42189B">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1F9FC006">
      <w:pPr>
        <w:ind w:firstLine="420" w:firstLineChars="200"/>
      </w:pPr>
    </w:p>
    <w:p w14:paraId="5D4C532B">
      <w:pPr>
        <w:ind w:firstLine="420" w:firstLineChars="200"/>
      </w:pPr>
    </w:p>
    <w:p w14:paraId="0CE3CE68">
      <w:pPr>
        <w:ind w:firstLine="420" w:firstLineChars="200"/>
      </w:pPr>
    </w:p>
    <w:p w14:paraId="1FAC55ED">
      <w:pPr>
        <w:ind w:firstLine="420" w:firstLineChars="200"/>
      </w:pPr>
    </w:p>
    <w:p w14:paraId="4095421F"/>
    <w:p w14:paraId="71014CD9"/>
    <w:p w14:paraId="4DA956E1"/>
    <w:p w14:paraId="278696EA"/>
    <w:p w14:paraId="7C651CF5">
      <w:pPr>
        <w:widowControl/>
        <w:ind w:firstLine="480"/>
        <w:jc w:val="center"/>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图3-6-1 智能仓库示意图</w:t>
      </w:r>
    </w:p>
    <w:p w14:paraId="7D08A63D">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3.6.2系统功能说明</w:t>
      </w:r>
    </w:p>
    <w:p w14:paraId="2EE92A9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兽残检测智能仓库作为自动化全流程的核心物料管理枢纽，深度衔接 “物料供应 - 样品流转 - 实验闭环” 全链条，既是自动化系统的物料储备中心，也是人机交互的核心界面，为检测流程高效运转提供全方位支撑。该仓库可实现三重核心功能覆盖：一是物料精准供应与智能补料，实验人员可将检测所需耗材（如 SPE 柱、滤膜、离心管、进样瓶）及试剂（标准品、衍生剂、萃取剂、缓冲液）分类存入对应仓位，系统通过内置传感器实时监测物料库存，当耗材或试剂低于预设阈值时自动触发补料提醒，确保实验连续进行；二是样品规范化暂存与自动化上料，支持待检测样品的分类暂存、信息关联与有序流转，实验人员仅需将贴标后的样品批量放入指定区域，系统即可通过扫码识别样品信息并绑定检测任务；三是全流程闭环管理，无需复杂人工干预，仅需一键启动自动化系统，仓库便会根据预设检测方案，通过机械臂与输送轨道协同，自动完成样品、耗材、试剂的精准调取与上料，同步对接均质、萃取、净化、浓缩等前处理模块。实验结束后，系统将已完成检测的样品、剩余试剂及废弃耗材自动分类回库，其中检测样品按合格 / 待复检等状态分区存放，废弃耗材则归集至专用回收仓，实验人员仅需通过仓库交互界面完成样品领取、试剂耗材核对与废弃物处理，全程实现物料流转的标准化、自动化与可追溯，大幅降低人工操作强度，提升检测流程的规范性与效率。</w:t>
      </w:r>
    </w:p>
    <w:p w14:paraId="38CF1949">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3.6.3 关键技术指标</w:t>
      </w:r>
    </w:p>
    <w:p w14:paraId="5E73B7F0">
      <w:pPr>
        <w:pStyle w:val="24"/>
        <w:ind w:firstLine="0" w:firstLineChars="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关键设备指标表</w:t>
      </w:r>
    </w:p>
    <w:p w14:paraId="4E9B9F64">
      <w:pPr>
        <w:pStyle w:val="25"/>
        <w:spacing w:line="240" w:lineRule="exact"/>
        <w:ind w:firstLine="280" w:firstLineChars="1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表3-6-1</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3275"/>
        <w:gridCol w:w="5137"/>
      </w:tblGrid>
      <w:tr w14:paraId="08B6B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top w:val="single" w:color="auto" w:sz="12" w:space="0"/>
              <w:left w:val="single" w:color="auto" w:sz="12" w:space="0"/>
            </w:tcBorders>
            <w:noWrap w:val="0"/>
            <w:vAlign w:val="center"/>
          </w:tcPr>
          <w:p w14:paraId="00FB9E24">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序号</w:t>
            </w:r>
          </w:p>
        </w:tc>
        <w:tc>
          <w:tcPr>
            <w:tcW w:w="3275" w:type="dxa"/>
            <w:tcBorders>
              <w:top w:val="single" w:color="auto" w:sz="12" w:space="0"/>
            </w:tcBorders>
            <w:noWrap w:val="0"/>
            <w:vAlign w:val="center"/>
          </w:tcPr>
          <w:p w14:paraId="42B59662">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名称</w:t>
            </w:r>
          </w:p>
        </w:tc>
        <w:tc>
          <w:tcPr>
            <w:tcW w:w="5137" w:type="dxa"/>
            <w:tcBorders>
              <w:top w:val="single" w:color="auto" w:sz="12" w:space="0"/>
              <w:right w:val="single" w:color="auto" w:sz="12" w:space="0"/>
            </w:tcBorders>
            <w:noWrap w:val="0"/>
            <w:vAlign w:val="center"/>
          </w:tcPr>
          <w:p w14:paraId="3720AD35">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系统指标</w:t>
            </w:r>
          </w:p>
        </w:tc>
      </w:tr>
      <w:tr w14:paraId="1CBA7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39" w:hRule="atLeast"/>
          <w:jc w:val="center"/>
        </w:trPr>
        <w:tc>
          <w:tcPr>
            <w:tcW w:w="807" w:type="dxa"/>
            <w:tcBorders>
              <w:left w:val="single" w:color="auto" w:sz="12" w:space="0"/>
            </w:tcBorders>
            <w:noWrap w:val="0"/>
            <w:vAlign w:val="center"/>
          </w:tcPr>
          <w:p w14:paraId="6A484D98">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w:t>
            </w:r>
          </w:p>
        </w:tc>
        <w:tc>
          <w:tcPr>
            <w:tcW w:w="3275" w:type="dxa"/>
            <w:noWrap w:val="0"/>
            <w:vAlign w:val="center"/>
          </w:tcPr>
          <w:p w14:paraId="6F32FF20">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智能仓库</w:t>
            </w:r>
          </w:p>
        </w:tc>
        <w:tc>
          <w:tcPr>
            <w:tcW w:w="5137" w:type="dxa"/>
            <w:tcBorders>
              <w:right w:val="single" w:color="auto" w:sz="12" w:space="0"/>
            </w:tcBorders>
            <w:noWrap w:val="0"/>
            <w:vAlign w:val="center"/>
          </w:tcPr>
          <w:p w14:paraId="53D5AA9C">
            <w:pPr>
              <w:numPr>
                <w:ilvl w:val="0"/>
                <w:numId w:val="19"/>
              </w:numPr>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仓位配置：64位，支持分区设计（样品区、耗材区、试剂区、废弃区）；</w:t>
            </w:r>
          </w:p>
          <w:p w14:paraId="2DF73691">
            <w:pPr>
              <w:numPr>
                <w:ilvl w:val="0"/>
                <w:numId w:val="19"/>
              </w:numPr>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机械臂定位精度：重复定位精度≤±0.2mm，抓取速度 0.5–2m/s 可调；</w:t>
            </w:r>
          </w:p>
          <w:p w14:paraId="756568F9">
            <w:pPr>
              <w:numPr>
                <w:ilvl w:val="0"/>
                <w:numId w:val="19"/>
              </w:numPr>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库存监测：实时监测物料库存，库存数据更新频率≤1s；​</w:t>
            </w:r>
          </w:p>
          <w:p w14:paraId="7C693FB4">
            <w:pPr>
              <w:numPr>
                <w:ilvl w:val="0"/>
                <w:numId w:val="19"/>
              </w:numPr>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补料提醒：当物料库存低于预设阈值（可自由设定）时，通过系统界面、短信双重提醒，补料响应延迟≤30s。</w:t>
            </w:r>
          </w:p>
          <w:p w14:paraId="19CEF5BF">
            <w:pPr>
              <w:numPr>
                <w:ilvl w:val="0"/>
                <w:numId w:val="19"/>
              </w:numPr>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自动化流转效率：单批次上料时间：≤5min/18 个样品</w:t>
            </w:r>
          </w:p>
          <w:p w14:paraId="0B397D3F">
            <w:pPr>
              <w:numPr>
                <w:ilvl w:val="0"/>
                <w:numId w:val="19"/>
              </w:numPr>
              <w:jc w:val="left"/>
              <w:rPr>
                <w:rFonts w:hint="eastAsia" w:ascii="仿宋" w:hAnsi="仿宋" w:eastAsia="仿宋" w:cs="仿宋"/>
                <w:color w:val="auto"/>
                <w:sz w:val="28"/>
                <w:szCs w:val="28"/>
                <w:lang w:val="en-US" w:eastAsia="zh-CN"/>
              </w:rPr>
            </w:pPr>
            <w:r>
              <w:rPr>
                <w:rFonts w:hint="eastAsia" w:ascii="仿宋" w:hAnsi="仿宋" w:eastAsia="仿宋" w:cs="仿宋"/>
                <w:color w:val="auto"/>
                <w:w w:val="80"/>
                <w:kern w:val="0"/>
                <w:sz w:val="28"/>
                <w:szCs w:val="28"/>
                <w:lang w:val="en-US" w:eastAsia="zh-CN" w:bidi="ar"/>
              </w:rPr>
              <w:t>通讯：ModbusTcp、webApi、RS485、TCP；</w:t>
            </w:r>
          </w:p>
        </w:tc>
      </w:tr>
    </w:tbl>
    <w:p w14:paraId="4BEC429B">
      <w:pPr>
        <w:rPr>
          <w:rFonts w:hint="eastAsia" w:ascii="仿宋" w:hAnsi="仿宋" w:eastAsia="仿宋" w:cs="宋体"/>
          <w:b w:val="0"/>
          <w:bCs w:val="0"/>
          <w:color w:val="auto"/>
          <w:kern w:val="0"/>
          <w:sz w:val="28"/>
          <w:szCs w:val="28"/>
          <w:lang w:val="en-US" w:eastAsia="zh-CN" w:bidi="ar-SA"/>
          <w14:ligatures w14:val="none"/>
        </w:rPr>
      </w:pPr>
    </w:p>
    <w:p w14:paraId="7EB77314">
      <w:pPr>
        <w:pStyle w:val="3"/>
        <w:bidi w:val="0"/>
        <w:spacing w:line="240" w:lineRule="auto"/>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3.7 恒温存储平台</w:t>
      </w:r>
    </w:p>
    <w:p w14:paraId="12A6ADFF">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3.7.1平台组成</w:t>
      </w:r>
    </w:p>
    <w:p w14:paraId="7CD15FF0">
      <w:pPr>
        <w:ind w:firstLine="420" w:firstLineChars="200"/>
        <w:rPr>
          <w:rFonts w:hint="eastAsia" w:ascii="仿宋" w:hAnsi="仿宋" w:eastAsia="仿宋" w:cs="宋体"/>
          <w:b w:val="0"/>
          <w:bCs w:val="0"/>
          <w:color w:val="auto"/>
          <w:kern w:val="0"/>
          <w:sz w:val="28"/>
          <w:szCs w:val="28"/>
          <w:lang w:val="en-US" w:eastAsia="zh-CN" w:bidi="ar-SA"/>
          <w14:ligatures w14:val="none"/>
        </w:rPr>
      </w:pPr>
      <w:r>
        <w:drawing>
          <wp:anchor distT="0" distB="0" distL="114300" distR="114300" simplePos="0" relativeHeight="251666432" behindDoc="0" locked="0" layoutInCell="1" allowOverlap="1">
            <wp:simplePos x="0" y="0"/>
            <wp:positionH relativeFrom="column">
              <wp:posOffset>2403475</wp:posOffset>
            </wp:positionH>
            <wp:positionV relativeFrom="paragraph">
              <wp:posOffset>385445</wp:posOffset>
            </wp:positionV>
            <wp:extent cx="1711325" cy="2183130"/>
            <wp:effectExtent l="0" t="0" r="15875" b="1270"/>
            <wp:wrapNone/>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3"/>
                    <a:stretch>
                      <a:fillRect/>
                    </a:stretch>
                  </pic:blipFill>
                  <pic:spPr>
                    <a:xfrm>
                      <a:off x="0" y="0"/>
                      <a:ext cx="1711325" cy="2183130"/>
                    </a:xfrm>
                    <a:prstGeom prst="rect">
                      <a:avLst/>
                    </a:prstGeom>
                    <a:noFill/>
                    <a:ln>
                      <a:noFill/>
                    </a:ln>
                  </pic:spPr>
                </pic:pic>
              </a:graphicData>
            </a:graphic>
          </wp:anchor>
        </w:drawing>
      </w:r>
      <w:r>
        <w:rPr>
          <w:rFonts w:hint="eastAsia" w:ascii="仿宋" w:hAnsi="仿宋" w:eastAsia="仿宋" w:cs="宋体"/>
          <w:b w:val="0"/>
          <w:bCs w:val="0"/>
          <w:color w:val="auto"/>
          <w:kern w:val="0"/>
          <w:sz w:val="28"/>
          <w:szCs w:val="28"/>
          <w:lang w:val="en-US" w:eastAsia="zh-CN" w:bidi="ar-SA"/>
          <w14:ligatures w14:val="none"/>
        </w:rPr>
        <w:t>恒温存储平台包括搬运模块、恒温衍生模块、低温样品暂存模块。</w:t>
      </w:r>
    </w:p>
    <w:p w14:paraId="72235518">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12A82710">
      <w:pPr>
        <w:ind w:firstLine="420" w:firstLineChars="200"/>
      </w:pPr>
    </w:p>
    <w:p w14:paraId="19879BA9">
      <w:pPr>
        <w:ind w:firstLine="420" w:firstLineChars="200"/>
      </w:pPr>
    </w:p>
    <w:p w14:paraId="3DD3C8E2">
      <w:pPr>
        <w:ind w:firstLine="420" w:firstLineChars="200"/>
      </w:pPr>
    </w:p>
    <w:p w14:paraId="3E63EAF2">
      <w:pPr>
        <w:ind w:firstLine="420" w:firstLineChars="200"/>
      </w:pPr>
    </w:p>
    <w:p w14:paraId="1692CC39"/>
    <w:p w14:paraId="62610225"/>
    <w:p w14:paraId="4A90C143"/>
    <w:p w14:paraId="11BC6C40"/>
    <w:p w14:paraId="6CAE9A02"/>
    <w:p w14:paraId="4CB240AC">
      <w:pPr>
        <w:widowControl/>
        <w:ind w:firstLine="480"/>
        <w:jc w:val="center"/>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图3-7-1 恒温存储平台示意图</w:t>
      </w:r>
    </w:p>
    <w:p w14:paraId="00961F85">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3.7.2平台功能说明</w:t>
      </w:r>
    </w:p>
    <w:p w14:paraId="36374CEE">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恒温存储平台专为兽残检测全流程设计，核心满足两大关键需求，为检测结果精准性与样品稳定性提供双重保障。一方面，平台可实现硝基呋喃检测专属的恒温衍生功能，通过密闭式避光舱体设计，隔绝光照对衍生反应的干扰，精准控温至 37℃（控温精度 ±0.5℃），并支持衍生时间 0–999min 自由设定，确保样品在稳定环境中完成充分衍生，避免光照或温度波动导致的目标物降解。另一方面，针对前处理与检测仪器节拍不一致的痛点，平台配备低温暂存模块，可提供 2–8℃恒温存储环境（控温精度 ±1℃），适配前处理结束后样品的短期保存需求。由于兽残类目标物在常温下易分解，无法长时间放置，该平台通过低温环境有效延缓目标物降解速度，保障样品在等待检测期间的稳定性，待检测仪器空闲后即可快速取出上机，避免因节拍错位影响检测结果。平台支持 96 位样品位，兼容 2mL 进样瓶，可与自动化前处理系统、检测仪器联动，实现衍生、暂存、转运全流程自动化，大幅提升检测效率与数据可靠性。</w:t>
      </w:r>
    </w:p>
    <w:p w14:paraId="5C1F91DA">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3.7.3 关键技术指标</w:t>
      </w:r>
    </w:p>
    <w:p w14:paraId="71AB7B8E">
      <w:pPr>
        <w:pStyle w:val="24"/>
        <w:ind w:firstLine="0" w:firstLineChars="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关键设备指标表</w:t>
      </w:r>
    </w:p>
    <w:p w14:paraId="161F9A3B">
      <w:pPr>
        <w:pStyle w:val="25"/>
        <w:spacing w:line="240" w:lineRule="exact"/>
        <w:ind w:firstLine="280" w:firstLineChars="1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表3-7-1</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3275"/>
        <w:gridCol w:w="5137"/>
      </w:tblGrid>
      <w:tr w14:paraId="7A00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top w:val="single" w:color="auto" w:sz="12" w:space="0"/>
              <w:left w:val="single" w:color="auto" w:sz="12" w:space="0"/>
            </w:tcBorders>
            <w:noWrap w:val="0"/>
            <w:vAlign w:val="center"/>
          </w:tcPr>
          <w:p w14:paraId="736CAA0B">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序号</w:t>
            </w:r>
          </w:p>
        </w:tc>
        <w:tc>
          <w:tcPr>
            <w:tcW w:w="3275" w:type="dxa"/>
            <w:tcBorders>
              <w:top w:val="single" w:color="auto" w:sz="12" w:space="0"/>
            </w:tcBorders>
            <w:noWrap w:val="0"/>
            <w:vAlign w:val="center"/>
          </w:tcPr>
          <w:p w14:paraId="3E825BC0">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名称</w:t>
            </w:r>
          </w:p>
        </w:tc>
        <w:tc>
          <w:tcPr>
            <w:tcW w:w="5137" w:type="dxa"/>
            <w:tcBorders>
              <w:top w:val="single" w:color="auto" w:sz="12" w:space="0"/>
              <w:right w:val="single" w:color="auto" w:sz="12" w:space="0"/>
            </w:tcBorders>
            <w:noWrap w:val="0"/>
            <w:vAlign w:val="center"/>
          </w:tcPr>
          <w:p w14:paraId="2EA0A944">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系统指标</w:t>
            </w:r>
          </w:p>
        </w:tc>
      </w:tr>
      <w:tr w14:paraId="279BD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39" w:hRule="atLeast"/>
          <w:jc w:val="center"/>
        </w:trPr>
        <w:tc>
          <w:tcPr>
            <w:tcW w:w="807" w:type="dxa"/>
            <w:tcBorders>
              <w:left w:val="single" w:color="auto" w:sz="12" w:space="0"/>
            </w:tcBorders>
            <w:noWrap w:val="0"/>
            <w:vAlign w:val="center"/>
          </w:tcPr>
          <w:p w14:paraId="085E87B0">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w:t>
            </w:r>
          </w:p>
        </w:tc>
        <w:tc>
          <w:tcPr>
            <w:tcW w:w="3275" w:type="dxa"/>
            <w:noWrap w:val="0"/>
            <w:vAlign w:val="center"/>
          </w:tcPr>
          <w:p w14:paraId="0BD12B00">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恒温衍生模块</w:t>
            </w:r>
          </w:p>
        </w:tc>
        <w:tc>
          <w:tcPr>
            <w:tcW w:w="5137" w:type="dxa"/>
            <w:tcBorders>
              <w:right w:val="single" w:color="auto" w:sz="12" w:space="0"/>
            </w:tcBorders>
            <w:noWrap w:val="0"/>
            <w:vAlign w:val="center"/>
          </w:tcPr>
          <w:p w14:paraId="0DE8ADD9">
            <w:pPr>
              <w:numPr>
                <w:ilvl w:val="0"/>
                <w:numId w:val="20"/>
              </w:numPr>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仓位配置：48位，兼容50ml离心管；</w:t>
            </w:r>
          </w:p>
          <w:p w14:paraId="6770C397">
            <w:pPr>
              <w:numPr>
                <w:ilvl w:val="0"/>
                <w:numId w:val="20"/>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机械臂定位精度：重复定位精度≤±0.2mm，抓取速度 0.5–2m/s 可调；</w:t>
            </w:r>
          </w:p>
          <w:p w14:paraId="137F4474">
            <w:pPr>
              <w:numPr>
                <w:ilvl w:val="0"/>
                <w:numId w:val="20"/>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温度范围：室温~50℃，控温精度≤±0.5℃</w:t>
            </w:r>
          </w:p>
          <w:p w14:paraId="3932978A">
            <w:pPr>
              <w:numPr>
                <w:ilvl w:val="0"/>
                <w:numId w:val="20"/>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自动化流转效率：单批次上料时间：≤5min/18 个样品</w:t>
            </w:r>
          </w:p>
          <w:p w14:paraId="2A9B1748">
            <w:pPr>
              <w:numPr>
                <w:ilvl w:val="0"/>
                <w:numId w:val="20"/>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w w:val="80"/>
                <w:kern w:val="0"/>
                <w:sz w:val="28"/>
                <w:szCs w:val="28"/>
                <w:lang w:val="en-US" w:eastAsia="zh-CN" w:bidi="ar"/>
              </w:rPr>
              <w:t>通讯：ModbusTcp、webApi、RS485、TCP；</w:t>
            </w:r>
          </w:p>
        </w:tc>
      </w:tr>
      <w:tr w14:paraId="32C1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49" w:hRule="atLeast"/>
          <w:jc w:val="center"/>
        </w:trPr>
        <w:tc>
          <w:tcPr>
            <w:tcW w:w="807" w:type="dxa"/>
            <w:tcBorders>
              <w:left w:val="single" w:color="auto" w:sz="12" w:space="0"/>
            </w:tcBorders>
            <w:noWrap w:val="0"/>
            <w:vAlign w:val="center"/>
          </w:tcPr>
          <w:p w14:paraId="03D38658">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p>
        </w:tc>
        <w:tc>
          <w:tcPr>
            <w:tcW w:w="3275" w:type="dxa"/>
            <w:noWrap w:val="0"/>
            <w:vAlign w:val="center"/>
          </w:tcPr>
          <w:p w14:paraId="464E6AD2">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低温暂存模块</w:t>
            </w:r>
          </w:p>
        </w:tc>
        <w:tc>
          <w:tcPr>
            <w:tcW w:w="5137" w:type="dxa"/>
            <w:tcBorders>
              <w:right w:val="single" w:color="auto" w:sz="12" w:space="0"/>
            </w:tcBorders>
            <w:noWrap w:val="0"/>
            <w:vAlign w:val="center"/>
          </w:tcPr>
          <w:p w14:paraId="351A17AC">
            <w:pPr>
              <w:numPr>
                <w:ilvl w:val="0"/>
                <w:numId w:val="21"/>
              </w:numPr>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仓位配置：96位，兼容2ml西林瓶；</w:t>
            </w:r>
          </w:p>
          <w:p w14:paraId="1976D577">
            <w:pPr>
              <w:numPr>
                <w:ilvl w:val="0"/>
                <w:numId w:val="21"/>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机械臂定位精度：重复定位精度≤±0.2mm，抓取速度 0.5–2m/s 可调；</w:t>
            </w:r>
          </w:p>
          <w:p w14:paraId="7FF3BFF8">
            <w:pPr>
              <w:numPr>
                <w:ilvl w:val="0"/>
                <w:numId w:val="21"/>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温度范围：2~8℃，控温精度≤±0.5℃</w:t>
            </w:r>
          </w:p>
          <w:p w14:paraId="13050F65">
            <w:pPr>
              <w:numPr>
                <w:ilvl w:val="0"/>
                <w:numId w:val="21"/>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自动化流转效率：单批次上料时间：≤5min/18 个样品</w:t>
            </w:r>
          </w:p>
          <w:p w14:paraId="736929F4">
            <w:pPr>
              <w:numPr>
                <w:ilvl w:val="0"/>
                <w:numId w:val="21"/>
              </w:numPr>
              <w:ind w:left="0" w:leftChars="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通讯：ModbusTcp、webApi、RS485、TCP；</w:t>
            </w:r>
          </w:p>
        </w:tc>
      </w:tr>
      <w:tr w14:paraId="4DA2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39" w:hRule="atLeast"/>
          <w:jc w:val="center"/>
        </w:trPr>
        <w:tc>
          <w:tcPr>
            <w:tcW w:w="807" w:type="dxa"/>
            <w:tcBorders>
              <w:left w:val="single" w:color="auto" w:sz="12" w:space="0"/>
            </w:tcBorders>
            <w:noWrap w:val="0"/>
            <w:vAlign w:val="center"/>
          </w:tcPr>
          <w:p w14:paraId="63E62DDE">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p>
        </w:tc>
        <w:tc>
          <w:tcPr>
            <w:tcW w:w="3275" w:type="dxa"/>
            <w:shd w:val="clear" w:color="auto" w:fill="auto"/>
            <w:noWrap w:val="0"/>
            <w:vAlign w:val="center"/>
          </w:tcPr>
          <w:p w14:paraId="3F1806EF">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14:ligatures w14:val="standardContextual"/>
              </w:rPr>
            </w:pPr>
            <w:r>
              <w:rPr>
                <w:rFonts w:hint="eastAsia" w:ascii="仿宋" w:hAnsi="仿宋" w:eastAsia="仿宋" w:cs="仿宋"/>
                <w:color w:val="auto"/>
                <w:w w:val="80"/>
                <w:kern w:val="0"/>
                <w:sz w:val="28"/>
                <w:szCs w:val="28"/>
                <w:lang w:val="en-US" w:eastAsia="zh-CN" w:bidi="ar"/>
              </w:rPr>
              <w:t>搬运模块</w:t>
            </w:r>
          </w:p>
        </w:tc>
        <w:tc>
          <w:tcPr>
            <w:tcW w:w="5137" w:type="dxa"/>
            <w:tcBorders>
              <w:right w:val="single" w:color="auto" w:sz="12" w:space="0"/>
            </w:tcBorders>
            <w:shd w:val="clear" w:color="auto" w:fill="auto"/>
            <w:noWrap w:val="0"/>
            <w:vAlign w:val="center"/>
          </w:tcPr>
          <w:p w14:paraId="00BC4B28">
            <w:pPr>
              <w:pStyle w:val="12"/>
              <w:widowControl/>
              <w:spacing w:line="240" w:lineRule="auto"/>
              <w:ind w:left="0" w:leftChars="0" w:right="0" w:righ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1.自由度：≥3</w:t>
            </w:r>
          </w:p>
          <w:p w14:paraId="190497E9">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2.控制方式：专用控制器</w:t>
            </w:r>
          </w:p>
          <w:p w14:paraId="5FF00161">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3.接口类型：具备通讯接口和IO接口</w:t>
            </w:r>
          </w:p>
          <w:p w14:paraId="0726F03B">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4.有效负载：≥7</w:t>
            </w:r>
            <w:r>
              <w:rPr>
                <w:rFonts w:hint="eastAsia" w:ascii="仿宋" w:hAnsi="仿宋" w:eastAsia="仿宋" w:cs="仿宋"/>
                <w:color w:val="auto"/>
                <w:w w:val="100"/>
                <w:kern w:val="2"/>
                <w:sz w:val="28"/>
                <w:szCs w:val="28"/>
                <w:lang w:val="en-US" w:eastAsia="zh-CN" w:bidi="ar"/>
              </w:rPr>
              <w:t>kg</w:t>
            </w:r>
          </w:p>
          <w:p w14:paraId="0DA341E1">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5.工作半径：≥1000mm</w:t>
            </w:r>
          </w:p>
          <w:p w14:paraId="5AE540D5">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6.末端最大速度：≥3.2m/s</w:t>
            </w:r>
          </w:p>
          <w:p w14:paraId="44A785F4">
            <w:pPr>
              <w:pStyle w:val="12"/>
              <w:widowControl/>
              <w:spacing w:line="240" w:lineRule="atLeast"/>
              <w:ind w:left="0" w:leftChars="0"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7.重复定位精度：≤±0.03m</w:t>
            </w:r>
          </w:p>
          <w:p w14:paraId="50C2CF21">
            <w:pPr>
              <w:pStyle w:val="12"/>
              <w:widowControl/>
              <w:spacing w:line="240" w:lineRule="atLeast"/>
              <w:ind w:right="-42" w:rightChars="-2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8.工作温度：≤（0-50）℃</w:t>
            </w:r>
          </w:p>
          <w:p w14:paraId="3BC37216">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9.具有先进的可调安全功能</w:t>
            </w:r>
          </w:p>
          <w:p w14:paraId="22A5609F">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10.需获得国内、国外安全功能认证</w:t>
            </w:r>
          </w:p>
          <w:p w14:paraId="7B9D1775">
            <w:pPr>
              <w:pStyle w:val="12"/>
              <w:widowControl/>
              <w:spacing w:line="240" w:lineRule="atLeast"/>
              <w:ind w:right="-42" w:rightChars="-20" w:firstLine="0" w:firstLineChars="0"/>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11.具有内置力矩传感器</w:t>
            </w:r>
          </w:p>
          <w:p w14:paraId="60D0A9B8">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力感应，工具法兰／扭矩传感器</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作用力，x-y-z</w:t>
            </w:r>
          </w:p>
          <w:p w14:paraId="5529E7F8">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范围</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±50.0N</w:t>
            </w:r>
          </w:p>
          <w:p w14:paraId="1A6D43EB">
            <w:pPr>
              <w:pStyle w:val="12"/>
              <w:jc w:val="left"/>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精确度</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±3.5N</w:t>
            </w:r>
          </w:p>
          <w:p w14:paraId="20DCACBA">
            <w:pPr>
              <w:jc w:val="left"/>
              <w:rPr>
                <w:rFonts w:hint="eastAsia" w:ascii="仿宋" w:hAnsi="仿宋" w:eastAsia="仿宋" w:cs="仿宋"/>
                <w:color w:val="auto"/>
                <w:kern w:val="2"/>
                <w:sz w:val="28"/>
                <w:szCs w:val="28"/>
                <w:lang w:val="en-US" w:eastAsia="zh-CN" w:bidi="ar-SA"/>
                <w14:ligatures w14:val="standardContextual"/>
              </w:rPr>
            </w:pPr>
            <w:r>
              <w:rPr>
                <w:rFonts w:hint="eastAsia" w:ascii="仿宋" w:hAnsi="仿宋" w:eastAsia="仿宋" w:cs="仿宋"/>
                <w:color w:val="auto"/>
                <w:w w:val="80"/>
                <w:kern w:val="0"/>
                <w:sz w:val="28"/>
                <w:szCs w:val="28"/>
                <w:lang w:val="en-US" w:eastAsia="zh-CN" w:bidi="ar"/>
              </w:rPr>
              <w:t>准确度</w:t>
            </w:r>
            <w:r>
              <w:rPr>
                <w:rFonts w:hint="eastAsia" w:ascii="仿宋" w:hAnsi="仿宋" w:eastAsia="仿宋" w:cs="仿宋"/>
                <w:color w:val="auto"/>
                <w:w w:val="80"/>
                <w:kern w:val="0"/>
                <w:sz w:val="28"/>
                <w:szCs w:val="28"/>
                <w:lang w:val="en-US" w:eastAsia="zh-CN" w:bidi="ar"/>
              </w:rPr>
              <w:tab/>
            </w:r>
            <w:r>
              <w:rPr>
                <w:rFonts w:hint="eastAsia" w:ascii="仿宋" w:hAnsi="仿宋" w:eastAsia="仿宋" w:cs="仿宋"/>
                <w:color w:val="auto"/>
                <w:w w:val="80"/>
                <w:kern w:val="0"/>
                <w:sz w:val="28"/>
                <w:szCs w:val="28"/>
                <w:lang w:val="en-US" w:eastAsia="zh-CN" w:bidi="ar"/>
              </w:rPr>
              <w:t>±4.0N</w:t>
            </w:r>
          </w:p>
        </w:tc>
      </w:tr>
    </w:tbl>
    <w:p w14:paraId="15EE922C">
      <w:pPr>
        <w:pStyle w:val="3"/>
        <w:bidi w:val="0"/>
        <w:spacing w:line="240" w:lineRule="auto"/>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3.8 自动化LC-Q-TOF检测平台</w:t>
      </w:r>
    </w:p>
    <w:p w14:paraId="6E31BEA4">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3.8.1平台组成</w:t>
      </w:r>
    </w:p>
    <w:p w14:paraId="57146643">
      <w:pPr>
        <w:ind w:firstLine="60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仿宋"/>
          <w:sz w:val="30"/>
          <w:szCs w:val="30"/>
          <w:lang w:val="en-US" w:eastAsia="zh-CN"/>
        </w:rPr>
        <w:t>自动化LC-Q-TOF检测平台</w:t>
      </w:r>
      <w:r>
        <w:rPr>
          <w:rFonts w:hint="eastAsia" w:ascii="仿宋" w:hAnsi="仿宋" w:eastAsia="仿宋" w:cs="宋体"/>
          <w:b w:val="0"/>
          <w:bCs w:val="0"/>
          <w:color w:val="auto"/>
          <w:kern w:val="0"/>
          <w:sz w:val="28"/>
          <w:szCs w:val="28"/>
          <w:lang w:val="en-US" w:eastAsia="zh-CN" w:bidi="ar-SA"/>
          <w14:ligatures w14:val="none"/>
        </w:rPr>
        <w:t>包括进样暂存模块、检测仪器控制模块。</w:t>
      </w:r>
    </w:p>
    <w:p w14:paraId="60DB589C">
      <w:pPr>
        <w:ind w:firstLine="420" w:firstLineChars="200"/>
        <w:rPr>
          <w:rFonts w:hint="eastAsia" w:ascii="仿宋" w:hAnsi="仿宋" w:eastAsia="仿宋" w:cs="宋体"/>
          <w:b w:val="0"/>
          <w:bCs w:val="0"/>
          <w:color w:val="auto"/>
          <w:kern w:val="0"/>
          <w:sz w:val="28"/>
          <w:szCs w:val="28"/>
          <w:lang w:val="en-US" w:eastAsia="zh-CN" w:bidi="ar-SA"/>
          <w14:ligatures w14:val="none"/>
        </w:rPr>
      </w:pPr>
      <w:r>
        <w:drawing>
          <wp:anchor distT="0" distB="0" distL="114300" distR="114300" simplePos="0" relativeHeight="251667456" behindDoc="0" locked="0" layoutInCell="1" allowOverlap="1">
            <wp:simplePos x="0" y="0"/>
            <wp:positionH relativeFrom="column">
              <wp:posOffset>1504950</wp:posOffset>
            </wp:positionH>
            <wp:positionV relativeFrom="paragraph">
              <wp:posOffset>180340</wp:posOffset>
            </wp:positionV>
            <wp:extent cx="3201035" cy="1440180"/>
            <wp:effectExtent l="0" t="0" r="24765" b="7620"/>
            <wp:wrapNone/>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4"/>
                    <a:stretch>
                      <a:fillRect/>
                    </a:stretch>
                  </pic:blipFill>
                  <pic:spPr>
                    <a:xfrm>
                      <a:off x="0" y="0"/>
                      <a:ext cx="3201035" cy="1440180"/>
                    </a:xfrm>
                    <a:prstGeom prst="rect">
                      <a:avLst/>
                    </a:prstGeom>
                    <a:noFill/>
                    <a:ln>
                      <a:noFill/>
                    </a:ln>
                  </pic:spPr>
                </pic:pic>
              </a:graphicData>
            </a:graphic>
          </wp:anchor>
        </w:drawing>
      </w:r>
    </w:p>
    <w:p w14:paraId="181B4A39">
      <w:pPr>
        <w:ind w:firstLine="420" w:firstLineChars="200"/>
      </w:pPr>
    </w:p>
    <w:p w14:paraId="0CB020D8">
      <w:pPr>
        <w:ind w:firstLine="420" w:firstLineChars="200"/>
      </w:pPr>
    </w:p>
    <w:p w14:paraId="0638DA00">
      <w:pPr>
        <w:ind w:firstLine="420" w:firstLineChars="200"/>
      </w:pPr>
    </w:p>
    <w:p w14:paraId="3B3E2391">
      <w:pPr>
        <w:ind w:firstLine="420" w:firstLineChars="200"/>
      </w:pPr>
    </w:p>
    <w:p w14:paraId="2B4D9186"/>
    <w:p w14:paraId="72EBBD75"/>
    <w:p w14:paraId="0ADF7B26">
      <w:pPr>
        <w:rPr>
          <w:rFonts w:hint="eastAsia" w:eastAsiaTheme="minorEastAsia"/>
          <w:lang w:eastAsia="zh-CN"/>
        </w:rPr>
      </w:pPr>
    </w:p>
    <w:p w14:paraId="5366FF84">
      <w:pPr>
        <w:widowControl/>
        <w:ind w:firstLine="480"/>
        <w:jc w:val="center"/>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 xml:space="preserve">图3-8-1 </w:t>
      </w:r>
      <w:r>
        <w:rPr>
          <w:rFonts w:hint="eastAsia" w:ascii="仿宋" w:hAnsi="仿宋" w:eastAsia="仿宋" w:cs="仿宋"/>
          <w:sz w:val="30"/>
          <w:szCs w:val="30"/>
          <w:lang w:val="en-US" w:eastAsia="zh-CN"/>
        </w:rPr>
        <w:t>自动化LC-Q-TOF检测平台</w:t>
      </w:r>
      <w:r>
        <w:rPr>
          <w:rFonts w:hint="eastAsia" w:ascii="仿宋" w:hAnsi="仿宋" w:eastAsia="仿宋" w:cs="宋体"/>
          <w:b w:val="0"/>
          <w:bCs w:val="0"/>
          <w:color w:val="auto"/>
          <w:kern w:val="0"/>
          <w:sz w:val="28"/>
          <w:szCs w:val="28"/>
          <w:lang w:val="en-US" w:eastAsia="zh-CN" w:bidi="ar-SA"/>
          <w14:ligatures w14:val="none"/>
        </w:rPr>
        <w:t>示意图</w:t>
      </w:r>
    </w:p>
    <w:p w14:paraId="4B567B27">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3.8.2平台功能说明</w:t>
      </w:r>
    </w:p>
    <w:p w14:paraId="6259DDC9">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自动化 LC-Q-TOF 检测平台是大兽残高通量筛查的核心终端设备，专为自动化检测全流程设计，实现从样品上料到报告输出的全链条无人值守。前处理完成后的样品经自动化转运至平台后，搭载的固定六轴机器人以≤±0.1mm 的重复定位精度，精准抓取 2mL 进样盘并平稳移送至 LC-Q-TOF 进样器，同步通过系统接口实时传输样品编号、检项、检测方法号等关键信息。系统关联对应检测方法后，智能生成唯一检测批次号与标准化样品序列，无需人工录入。平台可自动触发预设检测程序，同时支持标准曲线自动进样功能，按预设频率完成系列标准品进样与标曲绘制，基于最新标曲数据实现样品结果的精准计算。全程实时监控仪器运行状态和报警信息，检测完成后自动提取质谱数据、完成目标物定性定量分析，最终按标准模板生成规范化检测报告。整个流程无人工干预，规避人为误差，大幅提升检测效率与数据一致性，完美适配大兽残筛查的高通量、标准化需求。</w:t>
      </w:r>
    </w:p>
    <w:p w14:paraId="220160D8">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3.8.3 关键技术指标</w:t>
      </w:r>
    </w:p>
    <w:p w14:paraId="605C50BA">
      <w:pPr>
        <w:pStyle w:val="24"/>
        <w:ind w:firstLine="0" w:firstLineChars="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关键设备指标表</w:t>
      </w:r>
    </w:p>
    <w:p w14:paraId="0ED9C21C">
      <w:pPr>
        <w:pStyle w:val="25"/>
        <w:spacing w:line="240" w:lineRule="exact"/>
        <w:ind w:firstLine="280" w:firstLineChars="1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表3-8-1</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3275"/>
        <w:gridCol w:w="5137"/>
      </w:tblGrid>
      <w:tr w14:paraId="7024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top w:val="single" w:color="auto" w:sz="12" w:space="0"/>
              <w:left w:val="single" w:color="auto" w:sz="12" w:space="0"/>
            </w:tcBorders>
            <w:noWrap w:val="0"/>
            <w:vAlign w:val="center"/>
          </w:tcPr>
          <w:p w14:paraId="5AF4E40A">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序号</w:t>
            </w:r>
          </w:p>
        </w:tc>
        <w:tc>
          <w:tcPr>
            <w:tcW w:w="3275" w:type="dxa"/>
            <w:tcBorders>
              <w:top w:val="single" w:color="auto" w:sz="12" w:space="0"/>
            </w:tcBorders>
            <w:noWrap w:val="0"/>
            <w:vAlign w:val="center"/>
          </w:tcPr>
          <w:p w14:paraId="02C5F961">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名称</w:t>
            </w:r>
          </w:p>
        </w:tc>
        <w:tc>
          <w:tcPr>
            <w:tcW w:w="5137" w:type="dxa"/>
            <w:tcBorders>
              <w:top w:val="single" w:color="auto" w:sz="12" w:space="0"/>
              <w:right w:val="single" w:color="auto" w:sz="12" w:space="0"/>
            </w:tcBorders>
            <w:noWrap w:val="0"/>
            <w:vAlign w:val="center"/>
          </w:tcPr>
          <w:p w14:paraId="7F28071B">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系统指标</w:t>
            </w:r>
          </w:p>
        </w:tc>
      </w:tr>
      <w:tr w14:paraId="1569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9" w:hRule="atLeast"/>
          <w:jc w:val="center"/>
        </w:trPr>
        <w:tc>
          <w:tcPr>
            <w:tcW w:w="807" w:type="dxa"/>
            <w:tcBorders>
              <w:left w:val="single" w:color="auto" w:sz="12" w:space="0"/>
            </w:tcBorders>
            <w:noWrap w:val="0"/>
            <w:vAlign w:val="center"/>
          </w:tcPr>
          <w:p w14:paraId="4F0E0498">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w:t>
            </w:r>
          </w:p>
        </w:tc>
        <w:tc>
          <w:tcPr>
            <w:tcW w:w="3275" w:type="dxa"/>
            <w:noWrap w:val="0"/>
            <w:vAlign w:val="center"/>
          </w:tcPr>
          <w:p w14:paraId="54A093B8">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进样暂存模块</w:t>
            </w:r>
          </w:p>
        </w:tc>
        <w:tc>
          <w:tcPr>
            <w:tcW w:w="5137" w:type="dxa"/>
            <w:tcBorders>
              <w:right w:val="single" w:color="auto" w:sz="12" w:space="0"/>
            </w:tcBorders>
            <w:noWrap w:val="0"/>
            <w:vAlign w:val="center"/>
          </w:tcPr>
          <w:p w14:paraId="15B221F5">
            <w:pPr>
              <w:numPr>
                <w:ilvl w:val="0"/>
                <w:numId w:val="22"/>
              </w:numPr>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暂存位配置：2位；</w:t>
            </w:r>
          </w:p>
          <w:p w14:paraId="55978D86">
            <w:pPr>
              <w:numPr>
                <w:ilvl w:val="0"/>
                <w:numId w:val="22"/>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机械臂定位精度：重复定位精度≤±0.2mm，抓取速度 0.5–2m/s 可调；</w:t>
            </w:r>
          </w:p>
          <w:p w14:paraId="707E36DC">
            <w:pPr>
              <w:numPr>
                <w:ilvl w:val="0"/>
                <w:numId w:val="22"/>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自动化流转效率：单批次上料时间：≤12min/24个样品</w:t>
            </w:r>
          </w:p>
          <w:p w14:paraId="28911AD7">
            <w:pPr>
              <w:numPr>
                <w:ilvl w:val="0"/>
                <w:numId w:val="22"/>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w w:val="80"/>
                <w:kern w:val="0"/>
                <w:sz w:val="28"/>
                <w:szCs w:val="28"/>
                <w:lang w:val="en-US" w:eastAsia="zh-CN" w:bidi="ar"/>
              </w:rPr>
              <w:t>通讯：ModbusTcp、webApi、RS485、TCP；</w:t>
            </w:r>
          </w:p>
        </w:tc>
      </w:tr>
    </w:tbl>
    <w:p w14:paraId="240D7D24">
      <w:pPr>
        <w:pStyle w:val="3"/>
        <w:bidi w:val="0"/>
        <w:spacing w:line="240" w:lineRule="auto"/>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3.9 自动化LC-MS/MS检测平台</w:t>
      </w:r>
    </w:p>
    <w:p w14:paraId="68F63006">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3.9.1平台组成</w:t>
      </w:r>
    </w:p>
    <w:p w14:paraId="388E891E">
      <w:pPr>
        <w:ind w:firstLine="60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仿宋"/>
          <w:sz w:val="30"/>
          <w:szCs w:val="30"/>
          <w:lang w:val="en-US" w:eastAsia="zh-CN"/>
        </w:rPr>
        <w:t>自动化LC-MS/MS检测平台</w:t>
      </w:r>
      <w:r>
        <w:rPr>
          <w:rFonts w:hint="eastAsia" w:ascii="仿宋" w:hAnsi="仿宋" w:eastAsia="仿宋" w:cs="宋体"/>
          <w:b w:val="0"/>
          <w:bCs w:val="0"/>
          <w:color w:val="auto"/>
          <w:kern w:val="0"/>
          <w:sz w:val="28"/>
          <w:szCs w:val="28"/>
          <w:lang w:val="en-US" w:eastAsia="zh-CN" w:bidi="ar-SA"/>
          <w14:ligatures w14:val="none"/>
        </w:rPr>
        <w:t>包括进样暂存模块、检测仪器控制模块。</w:t>
      </w:r>
    </w:p>
    <w:p w14:paraId="7655AD41">
      <w:pPr>
        <w:ind w:firstLine="420" w:firstLineChars="200"/>
        <w:rPr>
          <w:rFonts w:hint="eastAsia" w:ascii="仿宋" w:hAnsi="仿宋" w:eastAsia="仿宋" w:cs="宋体"/>
          <w:b w:val="0"/>
          <w:bCs w:val="0"/>
          <w:color w:val="auto"/>
          <w:kern w:val="0"/>
          <w:sz w:val="28"/>
          <w:szCs w:val="28"/>
          <w:lang w:val="en-US" w:eastAsia="zh-CN" w:bidi="ar-SA"/>
          <w14:ligatures w14:val="none"/>
        </w:rPr>
      </w:pPr>
      <w:r>
        <w:drawing>
          <wp:anchor distT="0" distB="0" distL="114300" distR="114300" simplePos="0" relativeHeight="251668480" behindDoc="0" locked="0" layoutInCell="1" allowOverlap="1">
            <wp:simplePos x="0" y="0"/>
            <wp:positionH relativeFrom="column">
              <wp:posOffset>1530350</wp:posOffset>
            </wp:positionH>
            <wp:positionV relativeFrom="paragraph">
              <wp:posOffset>59690</wp:posOffset>
            </wp:positionV>
            <wp:extent cx="2973705" cy="1403985"/>
            <wp:effectExtent l="0" t="0" r="23495" b="18415"/>
            <wp:wrapNone/>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5"/>
                    <a:stretch>
                      <a:fillRect/>
                    </a:stretch>
                  </pic:blipFill>
                  <pic:spPr>
                    <a:xfrm>
                      <a:off x="0" y="0"/>
                      <a:ext cx="2973705" cy="1403985"/>
                    </a:xfrm>
                    <a:prstGeom prst="rect">
                      <a:avLst/>
                    </a:prstGeom>
                    <a:noFill/>
                    <a:ln>
                      <a:noFill/>
                    </a:ln>
                  </pic:spPr>
                </pic:pic>
              </a:graphicData>
            </a:graphic>
          </wp:anchor>
        </w:drawing>
      </w:r>
    </w:p>
    <w:p w14:paraId="67D51CDE">
      <w:pPr>
        <w:ind w:firstLine="420" w:firstLineChars="200"/>
      </w:pPr>
    </w:p>
    <w:p w14:paraId="2438AA58">
      <w:pPr>
        <w:ind w:firstLine="420" w:firstLineChars="200"/>
      </w:pPr>
    </w:p>
    <w:p w14:paraId="52FF6AE1">
      <w:pPr>
        <w:ind w:firstLine="420" w:firstLineChars="200"/>
      </w:pPr>
    </w:p>
    <w:p w14:paraId="61FF28E2">
      <w:pPr>
        <w:ind w:firstLine="420" w:firstLineChars="200"/>
      </w:pPr>
    </w:p>
    <w:p w14:paraId="7B107004"/>
    <w:p w14:paraId="63A404A6">
      <w:pPr>
        <w:rPr>
          <w:rFonts w:hint="eastAsia" w:eastAsiaTheme="minorEastAsia"/>
          <w:lang w:eastAsia="zh-CN"/>
        </w:rPr>
      </w:pPr>
    </w:p>
    <w:p w14:paraId="64ADA105">
      <w:pPr>
        <w:widowControl/>
        <w:ind w:firstLine="480"/>
        <w:jc w:val="center"/>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 xml:space="preserve">图3-9-1 </w:t>
      </w:r>
      <w:r>
        <w:rPr>
          <w:rFonts w:hint="eastAsia" w:ascii="仿宋" w:hAnsi="仿宋" w:eastAsia="仿宋" w:cs="仿宋"/>
          <w:sz w:val="30"/>
          <w:szCs w:val="30"/>
          <w:lang w:val="en-US" w:eastAsia="zh-CN"/>
        </w:rPr>
        <w:t>自动化LC-MS/MS检测平台</w:t>
      </w:r>
      <w:r>
        <w:rPr>
          <w:rFonts w:hint="eastAsia" w:ascii="仿宋" w:hAnsi="仿宋" w:eastAsia="仿宋" w:cs="宋体"/>
          <w:b w:val="0"/>
          <w:bCs w:val="0"/>
          <w:color w:val="auto"/>
          <w:kern w:val="0"/>
          <w:sz w:val="28"/>
          <w:szCs w:val="28"/>
          <w:lang w:val="en-US" w:eastAsia="zh-CN" w:bidi="ar-SA"/>
          <w14:ligatures w14:val="none"/>
        </w:rPr>
        <w:t>示意图</w:t>
      </w:r>
    </w:p>
    <w:p w14:paraId="739FC601">
      <w:pPr>
        <w:pStyle w:val="4"/>
        <w:ind w:firstLine="482"/>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3.9.2平台功能说明</w:t>
      </w:r>
    </w:p>
    <w:p w14:paraId="44437FA9">
      <w:pPr>
        <w:pStyle w:val="7"/>
        <w:bidi w:val="0"/>
        <w:ind w:firstLine="600" w:firstLineChars="200"/>
        <w:rPr>
          <w:rFonts w:hint="eastAsia" w:ascii="仿宋" w:hAnsi="仿宋" w:eastAsia="仿宋" w:cs="仿宋"/>
          <w:kern w:val="2"/>
          <w:sz w:val="30"/>
          <w:szCs w:val="30"/>
          <w:lang w:val="en-US" w:eastAsia="zh-CN" w:bidi="ar-SA"/>
          <w14:ligatures w14:val="standardContextual"/>
        </w:rPr>
      </w:pPr>
      <w:r>
        <w:rPr>
          <w:rFonts w:hint="eastAsia" w:ascii="仿宋" w:hAnsi="仿宋" w:eastAsia="仿宋" w:cs="仿宋"/>
          <w:kern w:val="2"/>
          <w:sz w:val="30"/>
          <w:szCs w:val="30"/>
          <w:lang w:val="en-US" w:eastAsia="zh-CN" w:bidi="ar-SA"/>
          <w14:ligatures w14:val="standardContextual"/>
        </w:rPr>
        <w:t>自动化 LC-MS/MS 检测平台专为兽残精准检测量身打造，聚焦硝基呋喃、氯霉素、磺胺类、沙星类等重点管控检项，实现从样品上料到报告输出的全流程自动化闭环。前处理完成后的样品经自动化转运系统送达平台后，搭载的固定六轴机器人以≤±0.1mm 的重复定位精度，精准抓取 2mL 进样盘并平稳移送至 LC-MS/MS 进样器，同步通过系统接口实时传输样品编号、检项类型、检测方法号等关键信息。系统关联对应检测方法库，智能生成唯一检测批次号与标准化样品序列，全程无需人工录入。平台可自动触发预设检测程序，同时支持标准曲线自动进样功能，按预设频率完成系列标准品进样与标曲绘制，基于最新标曲数据（R²≥0.995）实现样品目标物的精准定量计算。检测过程中实时监控仪器运行状态，检测完成后自动提取质谱数据、完成定性定量分析，最终按标准模板生成规范化检测报告。全流程无人工干预，规避人为误差，保障数据一致性，完美适配兽残检测的精准化、标准化需求。</w:t>
      </w:r>
    </w:p>
    <w:p w14:paraId="7DD459FF">
      <w:pPr>
        <w:pStyle w:val="4"/>
        <w:ind w:firstLine="482"/>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3.9.3 关键技术指标</w:t>
      </w:r>
    </w:p>
    <w:p w14:paraId="6C61BAB6">
      <w:pPr>
        <w:pStyle w:val="24"/>
        <w:ind w:firstLine="0" w:firstLineChars="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关键设备指标表</w:t>
      </w:r>
    </w:p>
    <w:p w14:paraId="109DE846">
      <w:pPr>
        <w:pStyle w:val="25"/>
        <w:spacing w:line="240" w:lineRule="exact"/>
        <w:ind w:firstLine="280" w:firstLineChars="1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表3-9-1</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3275"/>
        <w:gridCol w:w="5137"/>
      </w:tblGrid>
      <w:tr w14:paraId="0E70C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jc w:val="center"/>
        </w:trPr>
        <w:tc>
          <w:tcPr>
            <w:tcW w:w="807" w:type="dxa"/>
            <w:tcBorders>
              <w:top w:val="single" w:color="auto" w:sz="12" w:space="0"/>
              <w:left w:val="single" w:color="auto" w:sz="12" w:space="0"/>
            </w:tcBorders>
            <w:noWrap w:val="0"/>
            <w:vAlign w:val="center"/>
          </w:tcPr>
          <w:p w14:paraId="402938FB">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序号</w:t>
            </w:r>
          </w:p>
        </w:tc>
        <w:tc>
          <w:tcPr>
            <w:tcW w:w="3275" w:type="dxa"/>
            <w:tcBorders>
              <w:top w:val="single" w:color="auto" w:sz="12" w:space="0"/>
            </w:tcBorders>
            <w:noWrap w:val="0"/>
            <w:vAlign w:val="center"/>
          </w:tcPr>
          <w:p w14:paraId="03735138">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名称</w:t>
            </w:r>
          </w:p>
        </w:tc>
        <w:tc>
          <w:tcPr>
            <w:tcW w:w="5137" w:type="dxa"/>
            <w:tcBorders>
              <w:top w:val="single" w:color="auto" w:sz="12" w:space="0"/>
              <w:right w:val="single" w:color="auto" w:sz="12" w:space="0"/>
            </w:tcBorders>
            <w:noWrap w:val="0"/>
            <w:vAlign w:val="center"/>
          </w:tcPr>
          <w:p w14:paraId="49627B4B">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系统指标</w:t>
            </w:r>
          </w:p>
        </w:tc>
      </w:tr>
      <w:tr w14:paraId="698D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9" w:hRule="atLeast"/>
          <w:jc w:val="center"/>
        </w:trPr>
        <w:tc>
          <w:tcPr>
            <w:tcW w:w="807" w:type="dxa"/>
            <w:tcBorders>
              <w:left w:val="single" w:color="auto" w:sz="12" w:space="0"/>
            </w:tcBorders>
            <w:noWrap w:val="0"/>
            <w:vAlign w:val="center"/>
          </w:tcPr>
          <w:p w14:paraId="7A320704">
            <w:pPr>
              <w:widowControl/>
              <w:spacing w:line="240" w:lineRule="atLeast"/>
              <w:ind w:left="-42" w:leftChars="-20" w:right="-42" w:rightChars="-20" w:firstLine="0" w:firstLineChars="0"/>
              <w:jc w:val="center"/>
              <w:rPr>
                <w:rFonts w:hint="eastAsia"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1</w:t>
            </w:r>
          </w:p>
        </w:tc>
        <w:tc>
          <w:tcPr>
            <w:tcW w:w="3275" w:type="dxa"/>
            <w:noWrap w:val="0"/>
            <w:vAlign w:val="center"/>
          </w:tcPr>
          <w:p w14:paraId="70277AC0">
            <w:pPr>
              <w:widowControl/>
              <w:spacing w:line="240" w:lineRule="atLeast"/>
              <w:ind w:left="-42" w:leftChars="-20" w:right="-42" w:rightChars="-20" w:firstLine="0" w:firstLineChars="0"/>
              <w:jc w:val="center"/>
              <w:rPr>
                <w:rFonts w:hint="default" w:ascii="仿宋" w:hAnsi="仿宋" w:eastAsia="仿宋" w:cs="仿宋"/>
                <w:color w:val="auto"/>
                <w:w w:val="80"/>
                <w:kern w:val="0"/>
                <w:sz w:val="28"/>
                <w:szCs w:val="28"/>
                <w:lang w:val="en-US" w:eastAsia="zh-CN" w:bidi="ar"/>
              </w:rPr>
            </w:pPr>
            <w:r>
              <w:rPr>
                <w:rFonts w:hint="eastAsia" w:ascii="仿宋" w:hAnsi="仿宋" w:eastAsia="仿宋" w:cs="仿宋"/>
                <w:color w:val="auto"/>
                <w:w w:val="80"/>
                <w:kern w:val="0"/>
                <w:sz w:val="28"/>
                <w:szCs w:val="28"/>
                <w:lang w:val="en-US" w:eastAsia="zh-CN" w:bidi="ar"/>
              </w:rPr>
              <w:t>进样暂存模块</w:t>
            </w:r>
          </w:p>
        </w:tc>
        <w:tc>
          <w:tcPr>
            <w:tcW w:w="5137" w:type="dxa"/>
            <w:tcBorders>
              <w:right w:val="single" w:color="auto" w:sz="12" w:space="0"/>
            </w:tcBorders>
            <w:noWrap w:val="0"/>
            <w:vAlign w:val="center"/>
          </w:tcPr>
          <w:p w14:paraId="371588D9">
            <w:pPr>
              <w:numPr>
                <w:ilvl w:val="0"/>
                <w:numId w:val="22"/>
              </w:numPr>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暂存位配置：2位；</w:t>
            </w:r>
          </w:p>
          <w:p w14:paraId="7A552022">
            <w:pPr>
              <w:numPr>
                <w:ilvl w:val="0"/>
                <w:numId w:val="22"/>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机械臂定位精度：重复定位精度≤±0.2mm，抓取速度 0.5–2m/s 可调；</w:t>
            </w:r>
          </w:p>
          <w:p w14:paraId="38EC18AF">
            <w:pPr>
              <w:numPr>
                <w:ilvl w:val="0"/>
                <w:numId w:val="22"/>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自动化流转效率：单批次上料时间：≤12min/24个样品</w:t>
            </w:r>
          </w:p>
          <w:p w14:paraId="58C35617">
            <w:pPr>
              <w:numPr>
                <w:ilvl w:val="0"/>
                <w:numId w:val="22"/>
              </w:numPr>
              <w:ind w:left="0" w:leftChars="0" w:firstLine="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w w:val="80"/>
                <w:kern w:val="0"/>
                <w:sz w:val="28"/>
                <w:szCs w:val="28"/>
                <w:lang w:val="en-US" w:eastAsia="zh-CN" w:bidi="ar"/>
              </w:rPr>
              <w:t>通讯：ModbusTcp、webApi、RS485、TCP；</w:t>
            </w:r>
          </w:p>
        </w:tc>
      </w:tr>
    </w:tbl>
    <w:p w14:paraId="78E98224">
      <w:pPr>
        <w:rPr>
          <w:rFonts w:hint="eastAsia"/>
          <w:lang w:val="en-US" w:eastAsia="zh-CN"/>
        </w:rPr>
      </w:pPr>
    </w:p>
    <w:p w14:paraId="748704DC">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3.10智慧化数字孪生系统</w:t>
      </w:r>
    </w:p>
    <w:p w14:paraId="1AF9A2E6">
      <w:pPr>
        <w:pStyle w:val="4"/>
        <w:ind w:left="0" w:leftChars="0" w:firstLine="0" w:firstLineChars="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3.10.1 系统组成</w:t>
      </w:r>
    </w:p>
    <w:p w14:paraId="0BDF1D58">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数字孪生系统围绕兽残专项检测自动化全流程智能化管控需求打造，构建3 套核心数字化展示系统，实现物理检测场景与数字空间的 1:1 映射，打造一体化、可视化、可追溯的兽残检测智慧管控体系，全面覆盖实验室整体运营、试剂耗材管理、物流设备运行全维度监控需求。</w:t>
      </w:r>
    </w:p>
    <w:p w14:paraId="66444C7C">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各子系统包含：整体自动化实验室可视化中央控制展示系统、智能试剂与耗材管理展示系统和自动化物流和设备运行监控系统。</w:t>
      </w:r>
    </w:p>
    <w:p w14:paraId="3F1F06AE">
      <w:pPr>
        <w:ind w:firstLine="420" w:firstLineChars="200"/>
        <w:rPr>
          <w:rFonts w:hint="eastAsia" w:ascii="仿宋" w:hAnsi="仿宋" w:eastAsia="仿宋" w:cs="宋体"/>
          <w:b w:val="0"/>
          <w:bCs w:val="0"/>
          <w:color w:val="auto"/>
          <w:kern w:val="0"/>
          <w:sz w:val="28"/>
          <w:szCs w:val="28"/>
          <w:lang w:val="en-US" w:eastAsia="zh-CN" w:bidi="ar-SA"/>
          <w14:ligatures w14:val="none"/>
        </w:rPr>
      </w:pPr>
      <w:r>
        <w:drawing>
          <wp:anchor distT="0" distB="0" distL="114300" distR="114300" simplePos="0" relativeHeight="251671552" behindDoc="0" locked="0" layoutInCell="1" allowOverlap="1">
            <wp:simplePos x="0" y="0"/>
            <wp:positionH relativeFrom="column">
              <wp:posOffset>488950</wp:posOffset>
            </wp:positionH>
            <wp:positionV relativeFrom="paragraph">
              <wp:posOffset>182245</wp:posOffset>
            </wp:positionV>
            <wp:extent cx="5165090" cy="2952115"/>
            <wp:effectExtent l="0" t="0" r="16510" b="19685"/>
            <wp:wrapNone/>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5165090" cy="2952115"/>
                    </a:xfrm>
                    <a:prstGeom prst="rect">
                      <a:avLst/>
                    </a:prstGeom>
                    <a:noFill/>
                    <a:ln>
                      <a:noFill/>
                    </a:ln>
                  </pic:spPr>
                </pic:pic>
              </a:graphicData>
            </a:graphic>
          </wp:anchor>
        </w:drawing>
      </w:r>
    </w:p>
    <w:p w14:paraId="05F51644">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6AAD4F6D">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46DAF8BF">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0E736B37">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7552B8B9">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6F6F25BA">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5FFAF40B">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31D127A5">
      <w:pPr>
        <w:widowControl/>
        <w:ind w:firstLine="48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图3-10-1 整体实验室中央控制系统系统示例</w:t>
      </w:r>
    </w:p>
    <w:p w14:paraId="5AD93218">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7D8548D9">
      <w:pPr>
        <w:ind w:firstLine="420" w:firstLineChars="200"/>
        <w:rPr>
          <w:rFonts w:hint="eastAsia" w:ascii="仿宋" w:hAnsi="仿宋" w:eastAsia="仿宋" w:cs="宋体"/>
          <w:b w:val="0"/>
          <w:bCs w:val="0"/>
          <w:color w:val="auto"/>
          <w:kern w:val="0"/>
          <w:sz w:val="28"/>
          <w:szCs w:val="28"/>
          <w:lang w:val="en-US" w:eastAsia="zh-CN" w:bidi="ar-SA"/>
          <w14:ligatures w14:val="none"/>
        </w:rPr>
      </w:pPr>
      <w:r>
        <w:drawing>
          <wp:anchor distT="0" distB="0" distL="114300" distR="114300" simplePos="0" relativeHeight="251670528" behindDoc="0" locked="0" layoutInCell="1" allowOverlap="1">
            <wp:simplePos x="0" y="0"/>
            <wp:positionH relativeFrom="column">
              <wp:posOffset>546100</wp:posOffset>
            </wp:positionH>
            <wp:positionV relativeFrom="paragraph">
              <wp:posOffset>6985</wp:posOffset>
            </wp:positionV>
            <wp:extent cx="5627370" cy="3168015"/>
            <wp:effectExtent l="0" t="0" r="11430"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7"/>
                    <a:stretch>
                      <a:fillRect/>
                    </a:stretch>
                  </pic:blipFill>
                  <pic:spPr>
                    <a:xfrm>
                      <a:off x="0" y="0"/>
                      <a:ext cx="5627370" cy="3168015"/>
                    </a:xfrm>
                    <a:prstGeom prst="rect">
                      <a:avLst/>
                    </a:prstGeom>
                    <a:noFill/>
                    <a:ln>
                      <a:noFill/>
                    </a:ln>
                  </pic:spPr>
                </pic:pic>
              </a:graphicData>
            </a:graphic>
          </wp:anchor>
        </w:drawing>
      </w:r>
    </w:p>
    <w:p w14:paraId="627B1789">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35EC6142">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3DB26F2F">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2C693D8C">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4E2305DD">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1DD37A4F">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5AAA6A8E">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459590A3">
      <w:pPr>
        <w:widowControl/>
        <w:ind w:firstLine="48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图3-10-2 智能试剂与耗材管理展示系统示例</w:t>
      </w:r>
    </w:p>
    <w:p w14:paraId="76CA91E5">
      <w:pPr>
        <w:ind w:firstLine="560" w:firstLineChars="200"/>
        <w:rPr>
          <w:rFonts w:hint="eastAsia" w:ascii="仿宋" w:hAnsi="仿宋" w:eastAsia="仿宋" w:cs="宋体"/>
          <w:b w:val="0"/>
          <w:bCs w:val="0"/>
          <w:color w:val="auto"/>
          <w:kern w:val="0"/>
          <w:sz w:val="28"/>
          <w:szCs w:val="28"/>
          <w:lang w:val="en-US" w:eastAsia="zh-CN" w:bidi="ar-SA"/>
          <w14:ligatures w14:val="none"/>
        </w:rPr>
      </w:pPr>
    </w:p>
    <w:p w14:paraId="612408AA">
      <w:pPr>
        <w:pStyle w:val="4"/>
        <w:ind w:left="0" w:leftChars="0" w:firstLine="0" w:firstLineChars="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3.10.2 系统功能说明</w:t>
      </w:r>
    </w:p>
    <w:p w14:paraId="35AA08E1">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本数字孪生系统深度融合兽残专项检测自动化流程，基于现场传感器、检测仪器、智能仓储、物流设备等终端采集的实时数据，实现全环节数据互通、状态可视、操作可溯，具备实时数据展示与监控、检测过程可视化、数据分析与决策支持、预警与应急响应、成果展示与参观交互多重核心功能，适配实验室日常管控、高效运营及对外展示等多元化需求。</w:t>
      </w:r>
    </w:p>
    <w:p w14:paraId="23CCAB73">
      <w:pPr>
        <w:numPr>
          <w:ilvl w:val="0"/>
          <w:numId w:val="23"/>
        </w:num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实时数据展示与监控</w:t>
      </w:r>
    </w:p>
    <w:p w14:paraId="3839FE19">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实时采集并可视化展示来自实验室各环节的核心运行数据，涵盖大兽残筛查、硝基呋喃专项检测等检测任务进度，LC-Q-TOF/LC-MS/MS 等检测仪器运行参数，智能仓库试剂耗材的库存、存取、效期状态，自动化物流搬运设备的调度、转运轨迹，以及各前处理模块的运行状态、实验室环境温湿度等基础指标。系统对全维度数据进行集中汇聚、动态更新，实现实验室整体运营、试剂耗材管理、物流设备运行状况的全天候、全方位掌控，数据变化可实时查看、精准追踪。</w:t>
      </w:r>
    </w:p>
    <w:p w14:paraId="5BC3C6E6">
      <w:pPr>
        <w:numPr>
          <w:ilvl w:val="0"/>
          <w:numId w:val="23"/>
        </w:numPr>
        <w:ind w:left="0" w:leftChars="0"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实验过程可视化</w:t>
      </w:r>
    </w:p>
    <w:p w14:paraId="4DE65728">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对接实验室各关键区域高清摄像头，可选择性将试剂耗材存取、自动化物流转运、检测设备操作、前处理模块运行等核心过程，通过实时视频流传输至三套展示系统大屏，支持画面精准调取、多视角切换、过程实时录制。管理人员可远程观察各环节操作状态，实现对实验过程的实时监控与远程指导，同时所有可视化过程可自动存档，为检测流程追溯、操作规范核查提供依据，保障实验结果的准确性和可靠性。</w:t>
      </w:r>
    </w:p>
    <w:p w14:paraId="2237EEFD">
      <w:pPr>
        <w:numPr>
          <w:ilvl w:val="0"/>
          <w:numId w:val="23"/>
        </w:numPr>
        <w:ind w:left="0" w:leftChars="0"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数据分析与决策支持</w:t>
      </w:r>
    </w:p>
    <w:p w14:paraId="4DDC00B7">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具备高效的数据处理与分析能力，可对试剂耗材消耗速率、库存预警阈值、设备运行时长、利用率、物流转运效率、检测任务完成进度等核心运营数据，以及各类兽残检测基础数据进行自动化整合、分类统计。支持按时间、批次、品类等维度生成统计报表和趋势分析图表，直观呈现实验室运营效率、设备运行状态、耗材管理情况等关键信息，为实验室的检测任务调度、设备运维规划、试剂耗材采购、物流流程优化等决策提供科学、精准的数据支撑。</w:t>
      </w:r>
    </w:p>
    <w:p w14:paraId="3AF5C749">
      <w:pPr>
        <w:numPr>
          <w:ilvl w:val="0"/>
          <w:numId w:val="23"/>
        </w:numPr>
        <w:ind w:left="0" w:leftChars="0"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预警与应急响应</w:t>
      </w:r>
    </w:p>
    <w:p w14:paraId="0EBAB3B7">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预设全环节数据阈值与设备运行正常判定标准，当试剂耗材库存低于安全阈值、效期临近，自动化物流设备出现走位偏差、联动故障，检测仪器及前处理模块运行参数异常，实验室环境指标超标等情况发生时，系统将立即发出预警信号，通过大屏弹窗、声光提醒等方式精准定位异常点位与问题类型。同时系统预留应急响应操作入口，支持管理人员快速调取异常处理预案，及时下达操作指令，实现异常情况的快速发现、及时预警、高效处置，保障兽残检测自动化系统的稳定运行。</w:t>
      </w:r>
    </w:p>
    <w:p w14:paraId="251F7711">
      <w:pPr>
        <w:numPr>
          <w:ilvl w:val="0"/>
          <w:numId w:val="23"/>
        </w:numPr>
        <w:ind w:left="0" w:leftChars="0"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成果展示与参观交互</w:t>
      </w:r>
    </w:p>
    <w:p w14:paraId="184A97AC">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配备专属展示模式，可对实验室整体自动化检测流程、数字孪生管控体系亮点、核心检测能力、设备运行效率、试剂耗材智能化管理成果等内容进行可视化集中呈现，界面设计简洁直观、重点突出，支持大屏动态展示、多终端投屏等形式。可充分满足实验室对外参观交流、行业成果展示、技术交流等场景需求，全方位展现兽残专项检测自动化的智能化运营水平。</w:t>
      </w:r>
    </w:p>
    <w:p w14:paraId="69937BC7">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3.11 中央控制系统</w:t>
      </w:r>
    </w:p>
    <w:p w14:paraId="4826D135">
      <w:pPr>
        <w:ind w:firstLine="560" w:firstLineChars="200"/>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中央控制系统是一个基于现代云原生技术栈构建的分布式实验室管理平台，采用四层架构设计，实现了从硬件设备到用户界面的全链路数字化管理。采用B/S架构，无需安装客户端，直接通过浏览器进行访问。系统平台后端开发语言为C#，依托</w:t>
      </w:r>
      <w:r>
        <w:rPr>
          <w:rFonts w:hint="eastAsia" w:ascii="仿宋" w:hAnsi="仿宋" w:eastAsia="仿宋" w:cs="宋体"/>
          <w:b w:val="0"/>
          <w:bCs w:val="0"/>
          <w:color w:val="auto"/>
          <w:kern w:val="0"/>
          <w:sz w:val="28"/>
          <w:szCs w:val="28"/>
          <w:lang w:val="en-US" w:eastAsia="zh-CN" w:bidi="ar-SA"/>
          <w14:ligatures w14:val="none"/>
        </w:rPr>
        <w:fldChar w:fldCharType="begin"/>
      </w:r>
      <w:r>
        <w:rPr>
          <w:rFonts w:hint="eastAsia" w:ascii="仿宋" w:hAnsi="仿宋" w:eastAsia="仿宋" w:cs="宋体"/>
          <w:b w:val="0"/>
          <w:bCs w:val="0"/>
          <w:color w:val="auto"/>
          <w:kern w:val="0"/>
          <w:sz w:val="28"/>
          <w:szCs w:val="28"/>
          <w:lang w:val="en-US" w:eastAsia="zh-CN" w:bidi="ar-SA"/>
          <w14:ligatures w14:val="none"/>
        </w:rPr>
        <w:instrText xml:space="preserve"> HYPERLINK "https://ASP.NET" \t "_blank" </w:instrText>
      </w:r>
      <w:r>
        <w:rPr>
          <w:rFonts w:hint="eastAsia" w:ascii="仿宋" w:hAnsi="仿宋" w:eastAsia="仿宋" w:cs="宋体"/>
          <w:b w:val="0"/>
          <w:bCs w:val="0"/>
          <w:color w:val="auto"/>
          <w:kern w:val="0"/>
          <w:sz w:val="28"/>
          <w:szCs w:val="28"/>
          <w:lang w:val="en-US" w:eastAsia="zh-CN" w:bidi="ar-SA"/>
          <w14:ligatures w14:val="none"/>
        </w:rPr>
        <w:fldChar w:fldCharType="separate"/>
      </w:r>
      <w:r>
        <w:rPr>
          <w:rFonts w:hint="eastAsia" w:ascii="仿宋" w:hAnsi="仿宋" w:eastAsia="仿宋" w:cs="宋体"/>
          <w:b w:val="0"/>
          <w:bCs w:val="0"/>
          <w:color w:val="auto"/>
          <w:kern w:val="0"/>
          <w:sz w:val="28"/>
          <w:szCs w:val="28"/>
          <w:lang w:val="en-US" w:eastAsia="zh-CN" w:bidi="ar-SA"/>
          <w14:ligatures w14:val="none"/>
        </w:rPr>
        <w:t>ASP.NET</w:t>
      </w:r>
      <w:r>
        <w:rPr>
          <w:rFonts w:hint="eastAsia" w:ascii="仿宋" w:hAnsi="仿宋" w:eastAsia="仿宋" w:cs="宋体"/>
          <w:b w:val="0"/>
          <w:bCs w:val="0"/>
          <w:color w:val="auto"/>
          <w:kern w:val="0"/>
          <w:sz w:val="28"/>
          <w:szCs w:val="28"/>
          <w:lang w:val="en-US" w:eastAsia="zh-CN" w:bidi="ar-SA"/>
          <w14:ligatures w14:val="none"/>
        </w:rPr>
        <w:fldChar w:fldCharType="end"/>
      </w:r>
      <w:r>
        <w:rPr>
          <w:rFonts w:hint="eastAsia" w:ascii="仿宋" w:hAnsi="仿宋" w:eastAsia="仿宋" w:cs="宋体"/>
          <w:b w:val="0"/>
          <w:bCs w:val="0"/>
          <w:color w:val="auto"/>
          <w:kern w:val="0"/>
          <w:sz w:val="28"/>
          <w:szCs w:val="28"/>
          <w:lang w:val="en-US" w:eastAsia="zh-CN" w:bidi="ar-SA"/>
          <w14:ligatures w14:val="none"/>
        </w:rPr>
        <w:t xml:space="preserve"> Core 完美契合 B/S 架构，具备工业级的数据处理、硬件集成能力，强类型、GC、完善的异常处理，满足软件 7×24 小时稳定运行的核心需求，具备开发效率高、部署维护简单、生态完善等特点，降低软件从开发到落地的全周期成本。前端web应用采用VUE 3.x框架，快速适配复杂业务场景逻辑的开发与维护，与 C# 后端无缝协作，具备轻量化、精准响应、大数据处理能力等特点，适配工业级现场的网络和数据场景。</w:t>
      </w:r>
    </w:p>
    <w:p w14:paraId="6899048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r>
        <w:drawing>
          <wp:anchor distT="0" distB="0" distL="114300" distR="114300" simplePos="0" relativeHeight="251672576" behindDoc="0" locked="0" layoutInCell="1" allowOverlap="1">
            <wp:simplePos x="0" y="0"/>
            <wp:positionH relativeFrom="column">
              <wp:posOffset>863600</wp:posOffset>
            </wp:positionH>
            <wp:positionV relativeFrom="paragraph">
              <wp:posOffset>127000</wp:posOffset>
            </wp:positionV>
            <wp:extent cx="5287010" cy="2630170"/>
            <wp:effectExtent l="0" t="0" r="21590" b="11430"/>
            <wp:wrapNone/>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18"/>
                    <a:stretch>
                      <a:fillRect/>
                    </a:stretch>
                  </pic:blipFill>
                  <pic:spPr>
                    <a:xfrm>
                      <a:off x="0" y="0"/>
                      <a:ext cx="5287010" cy="2630170"/>
                    </a:xfrm>
                    <a:prstGeom prst="rect">
                      <a:avLst/>
                    </a:prstGeom>
                    <a:noFill/>
                    <a:ln>
                      <a:noFill/>
                    </a:ln>
                  </pic:spPr>
                </pic:pic>
              </a:graphicData>
            </a:graphic>
          </wp:anchor>
        </w:drawing>
      </w:r>
    </w:p>
    <w:p w14:paraId="782A447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p>
    <w:p w14:paraId="381CB67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p>
    <w:p w14:paraId="7A9DABC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p>
    <w:p w14:paraId="79888C9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p>
    <w:p w14:paraId="15DE617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p>
    <w:p w14:paraId="21F5517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p>
    <w:p w14:paraId="5E38C8B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p>
    <w:p w14:paraId="5AE7C99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p>
    <w:p w14:paraId="776C435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p>
    <w:p w14:paraId="27692DF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p>
    <w:p w14:paraId="6F1AAF7F">
      <w:pPr>
        <w:ind w:firstLine="560" w:firstLineChars="20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图3-11-1 系统架构图</w:t>
      </w:r>
    </w:p>
    <w:p w14:paraId="28434740">
      <w:pPr>
        <w:pStyle w:val="4"/>
        <w:ind w:left="0" w:leftChars="0" w:firstLine="0" w:firstLineChars="0"/>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3.11.1 系统功能说明</w:t>
      </w:r>
    </w:p>
    <w:p w14:paraId="4C4114A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sz w:val="24"/>
          <w:szCs w:val="24"/>
          <w:lang w:val="en-US" w:eastAsia="zh-CN"/>
        </w:rPr>
      </w:pPr>
      <w:r>
        <w:rPr>
          <w:rFonts w:hint="eastAsia" w:ascii="仿宋" w:hAnsi="仿宋" w:eastAsia="仿宋" w:cs="宋体"/>
          <w:b w:val="0"/>
          <w:bCs w:val="0"/>
          <w:color w:val="auto"/>
          <w:kern w:val="0"/>
          <w:sz w:val="28"/>
          <w:szCs w:val="28"/>
          <w:lang w:val="en-US" w:eastAsia="zh-CN" w:bidi="ar-SA"/>
          <w14:ligatures w14:val="none"/>
        </w:rPr>
        <w:t>中央控制系统包含基础数据模块、销售管理模块、样品管理模块、仓库管理模块、实验流程管理模块、实验调度模块、设备管理及自动化执行模块和数字化大屏模块。</w:t>
      </w:r>
    </w:p>
    <w:p w14:paraId="67440475">
      <w:pPr>
        <w:bidi w:val="0"/>
        <w:jc w:val="center"/>
        <w:rPr>
          <w:rFonts w:hint="eastAsia"/>
          <w:b/>
          <w:bCs/>
        </w:rPr>
      </w:pPr>
      <w:r>
        <w:drawing>
          <wp:inline distT="0" distB="0" distL="114300" distR="114300">
            <wp:extent cx="5244465" cy="2520315"/>
            <wp:effectExtent l="0" t="0" r="13335" b="1968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9"/>
                    <a:stretch>
                      <a:fillRect/>
                    </a:stretch>
                  </pic:blipFill>
                  <pic:spPr>
                    <a:xfrm>
                      <a:off x="0" y="0"/>
                      <a:ext cx="5244465" cy="2520315"/>
                    </a:xfrm>
                    <a:prstGeom prst="rect">
                      <a:avLst/>
                    </a:prstGeom>
                    <a:noFill/>
                    <a:ln>
                      <a:noFill/>
                    </a:ln>
                  </pic:spPr>
                </pic:pic>
              </a:graphicData>
            </a:graphic>
          </wp:inline>
        </w:drawing>
      </w:r>
    </w:p>
    <w:p w14:paraId="349636EC">
      <w:pPr>
        <w:widowControl/>
        <w:ind w:firstLine="480"/>
        <w:jc w:val="center"/>
        <w:rPr>
          <w:rFonts w:hint="eastAsia"/>
          <w:b/>
          <w:bCs/>
        </w:rPr>
      </w:pPr>
    </w:p>
    <w:p w14:paraId="67351215">
      <w:pPr>
        <w:ind w:firstLine="560" w:firstLineChars="20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图3-11-2 系统功能架构图</w:t>
      </w:r>
    </w:p>
    <w:p w14:paraId="544A0B0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硬件与软件双端均具备良好的拓展性与可延展性。硬件层面，可支持通过增加检测仪器部署数量、对存量检测设备进行功能升级等途径，适配多样化检测指标的应用需求；软件层面，依托模块化架构设计，仅需完成简易参数配置即可实现功能适配，全程无需开展定制化开发工作，大幅降低后期运维成本与周期。</w:t>
      </w:r>
    </w:p>
    <w:p w14:paraId="1E2FBD1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（一）自动化功能</w:t>
      </w:r>
    </w:p>
    <w:p w14:paraId="043F5A7E">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1. 实验室调度控制功能</w:t>
      </w:r>
    </w:p>
    <w:p w14:paraId="6D2B5C69">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通过建立实验室调度算法，对系统所有硬件及设备自动化控制，建立高效算法，实现各类资源智能调度，完成样品流转、分析检测、信息反馈与展示。</w:t>
      </w:r>
    </w:p>
    <w:p w14:paraId="34BCA02E">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2.单机设备执行功能</w:t>
      </w:r>
    </w:p>
    <w:p w14:paraId="2D59DF2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实现单机设备创建执行任务，并协调设备各模块之间互联互通与流程衔接，按标准要求控制各检测仪器按标准要求完成前处理和检测任务，并完成全过程执行参数监控和报警，实验数据的采集和处理。</w:t>
      </w:r>
    </w:p>
    <w:p w14:paraId="0257F524">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3.</w:t>
      </w:r>
      <w:r>
        <w:rPr>
          <w:rFonts w:hint="eastAsia" w:ascii="仿宋" w:hAnsi="仿宋" w:eastAsia="仿宋" w:cs="宋体"/>
          <w:b w:val="0"/>
          <w:bCs w:val="0"/>
          <w:color w:val="auto"/>
          <w:kern w:val="0"/>
          <w:sz w:val="28"/>
          <w:szCs w:val="28"/>
          <w:lang w:val="en-US" w:eastAsia="zh-CN" w:bidi="ar-SA"/>
          <w14:ligatures w14:val="none"/>
        </w:rPr>
        <w:t>仓库管理及物料调度功能</w:t>
      </w:r>
    </w:p>
    <w:p w14:paraId="591E15F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实现样品瓶的自动暂存和检测出库，以及检测过程所有物料的自动出库调度。检测过程中耗材和试剂的实验实时监控和缺料报警，以及自动补料调度。</w:t>
      </w:r>
    </w:p>
    <w:p w14:paraId="4F830B46">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76215" cy="2828290"/>
            <wp:effectExtent l="0" t="0" r="6985" b="16510"/>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20"/>
                    <a:stretch>
                      <a:fillRect/>
                    </a:stretch>
                  </pic:blipFill>
                  <pic:spPr>
                    <a:xfrm>
                      <a:off x="0" y="0"/>
                      <a:ext cx="5276215" cy="2828290"/>
                    </a:xfrm>
                    <a:prstGeom prst="rect">
                      <a:avLst/>
                    </a:prstGeom>
                    <a:noFill/>
                    <a:ln>
                      <a:noFill/>
                    </a:ln>
                  </pic:spPr>
                </pic:pic>
              </a:graphicData>
            </a:graphic>
          </wp:inline>
        </w:drawing>
      </w:r>
    </w:p>
    <w:p w14:paraId="4E330D9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图3-11-3 仓库管理</w:t>
      </w:r>
    </w:p>
    <w:p w14:paraId="2C4A370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实现样品瓶空瓶清洗后的分拣分区入库和采气任务执行的自动出库。</w:t>
      </w:r>
    </w:p>
    <w:p w14:paraId="64DD63B6">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91455" cy="2843530"/>
            <wp:effectExtent l="0" t="0" r="17145" b="1270"/>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21"/>
                    <a:stretch>
                      <a:fillRect/>
                    </a:stretch>
                  </pic:blipFill>
                  <pic:spPr>
                    <a:xfrm>
                      <a:off x="0" y="0"/>
                      <a:ext cx="5291455" cy="2843530"/>
                    </a:xfrm>
                    <a:prstGeom prst="rect">
                      <a:avLst/>
                    </a:prstGeom>
                    <a:noFill/>
                    <a:ln>
                      <a:noFill/>
                    </a:ln>
                  </pic:spPr>
                </pic:pic>
              </a:graphicData>
            </a:graphic>
          </wp:inline>
        </w:drawing>
      </w:r>
    </w:p>
    <w:p w14:paraId="412EF24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图3-11-4 入库操作</w:t>
      </w:r>
    </w:p>
    <w:p w14:paraId="5F2FE0DC">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4.检测标准库和自动化实验流程库功能</w:t>
      </w:r>
    </w:p>
    <w:p w14:paraId="38FDE08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实现各检项检测和判定标准的电子库和数字化管理，包括标准基础资料、对应检项、检测限和最大最小限值，并在检测报告自动完成各检项的结果判定和预警。</w:t>
      </w:r>
    </w:p>
    <w:p w14:paraId="6868B194">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91455" cy="2830195"/>
            <wp:effectExtent l="0" t="0" r="17145" b="1460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22"/>
                    <a:stretch>
                      <a:fillRect/>
                    </a:stretch>
                  </pic:blipFill>
                  <pic:spPr>
                    <a:xfrm>
                      <a:off x="0" y="0"/>
                      <a:ext cx="5291455" cy="2830195"/>
                    </a:xfrm>
                    <a:prstGeom prst="rect">
                      <a:avLst/>
                    </a:prstGeom>
                    <a:noFill/>
                    <a:ln>
                      <a:noFill/>
                    </a:ln>
                  </pic:spPr>
                </pic:pic>
              </a:graphicData>
            </a:graphic>
          </wp:inline>
        </w:drawing>
      </w:r>
    </w:p>
    <w:p w14:paraId="039F627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图3-11-5 标准库</w:t>
      </w:r>
    </w:p>
    <w:p w14:paraId="68B5EDB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实现各检测标准的前处理和检测流程电子化和标准化，并将检测流程和自动化设备执行流程进行自动化执行逻辑封装，确保所有检测项目的前处理和检测均能追溯至检测标准和执行设备。</w:t>
      </w:r>
    </w:p>
    <w:p w14:paraId="3B93544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4795520" cy="2163445"/>
            <wp:effectExtent l="12700" t="12700" r="17780" b="3365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23"/>
                    <a:stretch>
                      <a:fillRect/>
                    </a:stretch>
                  </pic:blipFill>
                  <pic:spPr>
                    <a:xfrm>
                      <a:off x="0" y="0"/>
                      <a:ext cx="4795520" cy="2163445"/>
                    </a:xfrm>
                    <a:prstGeom prst="rect">
                      <a:avLst/>
                    </a:prstGeom>
                    <a:ln>
                      <a:solidFill>
                        <a:schemeClr val="tx1"/>
                      </a:solidFill>
                    </a:ln>
                  </pic:spPr>
                </pic:pic>
              </a:graphicData>
            </a:graphic>
          </wp:inline>
        </w:drawing>
      </w:r>
    </w:p>
    <w:p w14:paraId="5B602D56">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图3-11-6 实验流程</w:t>
      </w:r>
    </w:p>
    <w:p w14:paraId="5974B0B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5.样品管理</w:t>
      </w:r>
    </w:p>
    <w:p w14:paraId="4EC59387">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样品管理是智慧实验室管理系统的核心模块之一，旨在规范实验室样品从采样准备到最终处理的全生命周期管理，实现样品信息的可追溯、流程的标准化、操作的数字化，降低人工管理误差，提升实验室样品管理效率和合规性。</w:t>
      </w:r>
    </w:p>
    <w:p w14:paraId="4C22AC63">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样品管理模块覆盖采样前（标准/计划）- 采样中（登记）- 采样后（领用 /归还/退样/处理） 的全生命周期，实现样品信息全过程可追溯、流程标准化，每个核心功能均包含 “申请 - 审批 - 确认 - 记录” 的闭环流程，兼顾合规性和操作便捷性，另外样品台账、记录查询、报表等辅助功能在提升模块实用性的同时亦能满足实验室日常管理和数据统计需求。</w:t>
      </w:r>
    </w:p>
    <w:p w14:paraId="42BDA789">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75580" cy="2809875"/>
            <wp:effectExtent l="0" t="0" r="7620" b="9525"/>
            <wp:docPr id="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4"/>
                    <pic:cNvPicPr>
                      <a:picLocks noChangeAspect="1"/>
                    </pic:cNvPicPr>
                  </pic:nvPicPr>
                  <pic:blipFill>
                    <a:blip r:embed="rId24"/>
                    <a:stretch>
                      <a:fillRect/>
                    </a:stretch>
                  </pic:blipFill>
                  <pic:spPr>
                    <a:xfrm>
                      <a:off x="0" y="0"/>
                      <a:ext cx="5275580" cy="2809875"/>
                    </a:xfrm>
                    <a:prstGeom prst="rect">
                      <a:avLst/>
                    </a:prstGeom>
                    <a:noFill/>
                    <a:ln>
                      <a:noFill/>
                    </a:ln>
                  </pic:spPr>
                </pic:pic>
              </a:graphicData>
            </a:graphic>
          </wp:inline>
        </w:drawing>
      </w:r>
    </w:p>
    <w:p w14:paraId="1214BF77">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图3-11-7 采样管理</w:t>
      </w:r>
    </w:p>
    <w:p w14:paraId="3299D66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76215" cy="1999615"/>
            <wp:effectExtent l="0" t="0" r="6985" b="6985"/>
            <wp:docPr id="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5"/>
                    <pic:cNvPicPr>
                      <a:picLocks noChangeAspect="1"/>
                    </pic:cNvPicPr>
                  </pic:nvPicPr>
                  <pic:blipFill>
                    <a:blip r:embed="rId25"/>
                    <a:stretch>
                      <a:fillRect/>
                    </a:stretch>
                  </pic:blipFill>
                  <pic:spPr>
                    <a:xfrm>
                      <a:off x="0" y="0"/>
                      <a:ext cx="5276215" cy="1999615"/>
                    </a:xfrm>
                    <a:prstGeom prst="rect">
                      <a:avLst/>
                    </a:prstGeom>
                    <a:noFill/>
                    <a:ln>
                      <a:noFill/>
                    </a:ln>
                  </pic:spPr>
                </pic:pic>
              </a:graphicData>
            </a:graphic>
          </wp:inline>
        </w:drawing>
      </w:r>
    </w:p>
    <w:p w14:paraId="37CC74EE">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图3-11-8 来样登记</w:t>
      </w:r>
    </w:p>
    <w:p w14:paraId="408828D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6.实验室设备管理</w:t>
      </w:r>
    </w:p>
    <w:p w14:paraId="620408F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自动化实验室所有物流运输设备、仓储设备、分拣设备、分样设备、前处理设备和检测设备的电子台账管理。同时，每一份检测报告的设备使用记录均能进行正反向追溯。在运维管理方面，建立设备的维护和保养机制、故障记录和故障处理机制，自动提醒设备工程师对设备进行维护和保养，故障发生报警和自动恢复运行，确保检测工作的稳定运行。</w:t>
      </w:r>
    </w:p>
    <w:p w14:paraId="57B34AE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16525" cy="1407160"/>
            <wp:effectExtent l="0" t="0" r="15875" b="15240"/>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26"/>
                    <a:stretch>
                      <a:fillRect/>
                    </a:stretch>
                  </pic:blipFill>
                  <pic:spPr>
                    <a:xfrm>
                      <a:off x="0" y="0"/>
                      <a:ext cx="5216525" cy="1407160"/>
                    </a:xfrm>
                    <a:prstGeom prst="rect">
                      <a:avLst/>
                    </a:prstGeom>
                    <a:noFill/>
                    <a:ln>
                      <a:noFill/>
                    </a:ln>
                  </pic:spPr>
                </pic:pic>
              </a:graphicData>
            </a:graphic>
          </wp:inline>
        </w:drawing>
      </w:r>
    </w:p>
    <w:p w14:paraId="1E8F124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图3-11-4 设备台账</w:t>
      </w:r>
    </w:p>
    <w:p w14:paraId="45D54604">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32400" cy="1374775"/>
            <wp:effectExtent l="0" t="0" r="0" b="22225"/>
            <wp:docPr id="4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1"/>
                    <pic:cNvPicPr>
                      <a:picLocks noChangeAspect="1"/>
                    </pic:cNvPicPr>
                  </pic:nvPicPr>
                  <pic:blipFill>
                    <a:blip r:embed="rId27"/>
                    <a:stretch>
                      <a:fillRect/>
                    </a:stretch>
                  </pic:blipFill>
                  <pic:spPr>
                    <a:xfrm>
                      <a:off x="0" y="0"/>
                      <a:ext cx="5232400" cy="1374775"/>
                    </a:xfrm>
                    <a:prstGeom prst="rect">
                      <a:avLst/>
                    </a:prstGeom>
                    <a:noFill/>
                    <a:ln>
                      <a:noFill/>
                    </a:ln>
                  </pic:spPr>
                </pic:pic>
              </a:graphicData>
            </a:graphic>
          </wp:inline>
        </w:drawing>
      </w:r>
    </w:p>
    <w:p w14:paraId="30D0BD0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图3-11-5 设备保养</w:t>
      </w:r>
    </w:p>
    <w:p w14:paraId="2DFF1784">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13350" cy="2936240"/>
            <wp:effectExtent l="0" t="0" r="19050" b="10160"/>
            <wp:docPr id="4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5"/>
                    <pic:cNvPicPr>
                      <a:picLocks noChangeAspect="1"/>
                    </pic:cNvPicPr>
                  </pic:nvPicPr>
                  <pic:blipFill>
                    <a:blip r:embed="rId28"/>
                    <a:stretch>
                      <a:fillRect/>
                    </a:stretch>
                  </pic:blipFill>
                  <pic:spPr>
                    <a:xfrm>
                      <a:off x="0" y="0"/>
                      <a:ext cx="5213350" cy="2936240"/>
                    </a:xfrm>
                    <a:prstGeom prst="rect">
                      <a:avLst/>
                    </a:prstGeom>
                    <a:noFill/>
                    <a:ln>
                      <a:noFill/>
                    </a:ln>
                  </pic:spPr>
                </pic:pic>
              </a:graphicData>
            </a:graphic>
          </wp:inline>
        </w:drawing>
      </w:r>
    </w:p>
    <w:p w14:paraId="4361A38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图3-11-5 维修管理</w:t>
      </w:r>
    </w:p>
    <w:p w14:paraId="687A797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（二）数据管理功能</w:t>
      </w:r>
    </w:p>
    <w:p w14:paraId="403E032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智慧实验室管理系统实现高效、精准、安全的数据实时采集、计算、存储、分析、报告生成和反馈，推动数据流动与信息共享。</w:t>
      </w:r>
    </w:p>
    <w:p w14:paraId="2C99FEF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实验数据抓取与传输。系统可与 LIMS 对接，自动获取 LIMS 系统中的样品信息列表和任务信息列表，也可自行创建样品信息、生成实验任务，将检测任务下达分配至各自动化分析模块及机器人系统。分析完成后，自动读取样品分析分析结果和报告，经确认报出的数据可自动回传至LIMS。</w:t>
      </w:r>
    </w:p>
    <w:p w14:paraId="4AC956A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与实验室通风控制系统、有毒有害监测设备对接，自动控制通风系统启停，将通风开关、有害物质含量、检测任务关联，实现智能控制和自动报警。</w:t>
      </w:r>
    </w:p>
    <w:p w14:paraId="33F982F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各类检测设备配备数据处理软件，实现检测参数记录、结果计算、报告生成等功能，实现数据高精度计算和结果输出，人工模式下该功能可正常使用。</w:t>
      </w:r>
    </w:p>
    <w:p w14:paraId="03F880EE">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系统实时自动从检测设备（流动注射仪、光谱仪、滴定、分光光度等单元）采集数据。多通道并行采集数据，确保高通量检测的实时性；数据传输过程中自动校验，保障数据质量。</w:t>
      </w:r>
    </w:p>
    <w:p w14:paraId="6E6C95B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具备数据清洗功能，对采集的数据进行规范处理，包括数据完整性校验、冗余数据清理等。按照分析标准制定专业算法，验证数据准确性和规范性。具备数据审查流程，按照质控样结果自动校验数据，具备数据人工核验流程，必要时选配。</w:t>
      </w:r>
    </w:p>
    <w:p w14:paraId="44812407">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具备实时数据存储和查询：将采集到的数据分类存储于数据库中。提供统一查询方式，可以对实验室的设备/仪器的运行数据、状态、检查结果、环境数据等根据时间条件进行查询，具体包括：支持数据存储自定义功能，用户可以配置采集数据是否记录历史；支持查询功能，用户可以对保存的历史数进行查询；支持分析结果按检测项目、样品编号、时间、设备编号等多维度展示，支持大批量数据的高效管理与快速检索。支持统计和趋势查询；支持智慧实验室管控系统对数据的查询；支持多条件模糊查询。</w:t>
      </w:r>
    </w:p>
    <w:p w14:paraId="7BBDF44B">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 xml:space="preserve">（三）数据智能监测分析功能 </w:t>
      </w:r>
    </w:p>
    <w:p w14:paraId="5F0013B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具备样品智能分析预警功能，基于历史数据，建立水质上下游、指标关联性知识库。</w:t>
      </w:r>
    </w:p>
    <w:p w14:paraId="1C2AFDF3">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能够针对各项水质检测结果，设定水质指标阈值，开展动态趋势分析，能够自动抓取上、下游关联样品监测数据，判断水质异常情况，推断可能出现的设备故障、管线内漏、药剂不足等工况异常。</w:t>
      </w:r>
    </w:p>
    <w:p w14:paraId="07BC647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自动生成水质异常、工况异常告警信息，推送至中央控制系统，由质检人员及时反馈生产单位工艺操作人员，帮助及时优化调整工艺参数、预防设备故障并提高产品质量。</w:t>
      </w:r>
    </w:p>
    <w:p w14:paraId="6BC8105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（四）报表和统计功能</w:t>
      </w:r>
    </w:p>
    <w:p w14:paraId="205D547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实现各类报表和报告格式的定制化，实现对检测任务、设备参数、设备运行事件以及资源使用情况等重要系统数据的统计汇总：</w:t>
      </w:r>
    </w:p>
    <w:p w14:paraId="552469F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支持对仪器、自动化设备等使用情况统计与分析；</w:t>
      </w:r>
    </w:p>
    <w:p w14:paraId="4CC1E3E7">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支持统计仪器的检测次数按时间（年、月、日）统计与分析；</w:t>
      </w:r>
    </w:p>
    <w:p w14:paraId="25BC1287">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支持对实验室检测数据结果进行统计与分析；</w:t>
      </w:r>
    </w:p>
    <w:p w14:paraId="3CA0EDCC">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支持对实验室试剂的添加、使用、回收量进行统计与分析；</w:t>
      </w:r>
    </w:p>
    <w:p w14:paraId="6177A26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支持按照设定的判异准则判断异常数据，进行统计与分析；</w:t>
      </w:r>
    </w:p>
    <w:p w14:paraId="29AB89B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支持以规范模板查看和导出原始记录、结果报告、标定报告等。</w:t>
      </w:r>
    </w:p>
    <w:p w14:paraId="7622AFA9">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 xml:space="preserve">（五）报告定制功能 </w:t>
      </w:r>
    </w:p>
    <w:p w14:paraId="0F0885D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支持报告模板定制，满足不同场景（如质量监督、生产过程监控及环保监管等）需求，自动获取报告各项数据，一键生成生成检测报告。</w:t>
      </w:r>
    </w:p>
    <w:p w14:paraId="49DC8FAB">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 xml:space="preserve">（六）数据导出功能 </w:t>
      </w:r>
    </w:p>
    <w:p w14:paraId="6952CE8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系统能够自动调用公司WPS、金山PDF等专用软件。支持数据、报告及报表一键导出Word、Excel、Pdf等格式。</w:t>
      </w:r>
    </w:p>
    <w:p w14:paraId="5B79D90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（七）角色和权限管理功能</w:t>
      </w:r>
    </w:p>
    <w:p w14:paraId="17CEEAF6">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具有权限分级控制功能，自定义角色和权限分配。可制定管理员、技术员和化验人员等不同人员角色，根据权限和密钥登入平台，控制人员对各模块使用权；</w:t>
      </w:r>
    </w:p>
    <w:p w14:paraId="089413C6">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系统涉及到的数据，必须严格按照权限级别进行控制，防止数据在传输、储存过程中泄露，保证数据安全。</w:t>
      </w:r>
    </w:p>
    <w:p w14:paraId="2A9F0AE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（八）报警管理功能</w:t>
      </w:r>
    </w:p>
    <w:p w14:paraId="32D6D78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 xml:space="preserve">系统具有报警管理功能，可以展示实时报警和历史报警，功能包括: </w:t>
      </w:r>
    </w:p>
    <w:p w14:paraId="3D66E00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支持增加、删除报警；</w:t>
      </w:r>
    </w:p>
    <w:p w14:paraId="6EDA4E1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支持对报警的类型、报警的规则进行配置；</w:t>
      </w:r>
    </w:p>
    <w:p w14:paraId="53BE2D7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可对报警进行实时显示，当报警发生时，可以在系统界面上实时显示当前报警；</w:t>
      </w:r>
    </w:p>
    <w:p w14:paraId="4B962A59">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支持对历史报警进行查询；</w:t>
      </w:r>
    </w:p>
    <w:p w14:paraId="113833AC">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支持按报警时间、报警类型、报警等级、优先级等信息；</w:t>
      </w:r>
    </w:p>
    <w:p w14:paraId="19542C3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支持报警通知，支持通过多种通知方法将报警信息通知到指定用户，通知方法系统可配；</w:t>
      </w:r>
    </w:p>
    <w:p w14:paraId="5DE8993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支持中央控制台对报警的查询和管理。</w:t>
      </w:r>
    </w:p>
    <w:p w14:paraId="1F59D57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（九）数据安全功能</w:t>
      </w:r>
    </w:p>
    <w:p w14:paraId="5C530E04">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1.</w:t>
      </w:r>
      <w:r>
        <w:rPr>
          <w:rFonts w:hint="eastAsia" w:ascii="仿宋" w:hAnsi="仿宋" w:eastAsia="仿宋" w:cs="宋体"/>
          <w:b w:val="0"/>
          <w:bCs w:val="0"/>
          <w:color w:val="auto"/>
          <w:kern w:val="0"/>
          <w:sz w:val="28"/>
          <w:szCs w:val="28"/>
          <w:lang w:val="en-US" w:eastAsia="zh-CN" w:bidi="ar-SA"/>
          <w14:ligatures w14:val="none"/>
        </w:rPr>
        <w:t>系统可保证网络、使用操作方面均达到可靠及稳定的相关技术要求，关键数据采用冗余技术和故障处理技术，保障数据传输的高可靠性和系统运行安全；</w:t>
      </w:r>
    </w:p>
    <w:p w14:paraId="1B47F24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2.</w:t>
      </w:r>
      <w:r>
        <w:rPr>
          <w:rFonts w:hint="eastAsia" w:ascii="仿宋" w:hAnsi="仿宋" w:eastAsia="仿宋" w:cs="宋体"/>
          <w:b w:val="0"/>
          <w:bCs w:val="0"/>
          <w:color w:val="auto"/>
          <w:kern w:val="0"/>
          <w:sz w:val="28"/>
          <w:szCs w:val="28"/>
          <w:lang w:val="en-US" w:eastAsia="zh-CN" w:bidi="ar-SA"/>
          <w14:ligatures w14:val="none"/>
        </w:rPr>
        <w:t>系统涉及到的数据，严格按照权限级别进行控制，防止数据在传输、储存过程中泄露，保证数据安全。</w:t>
      </w:r>
    </w:p>
    <w:p w14:paraId="448C41BC">
      <w:pPr>
        <w:pStyle w:val="4"/>
        <w:ind w:left="0" w:leftChars="0" w:firstLine="0" w:firstLineChars="0"/>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3.11.2 系统技术指标</w:t>
      </w:r>
    </w:p>
    <w:p w14:paraId="38BC91B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（一）系统开放和集成指标</w:t>
      </w:r>
    </w:p>
    <w:p w14:paraId="7002CA6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支持RESTFUL API、HTTPS和通用通讯协议，可跟实验室、LIMS或工厂信息化系统进行集成开发和数据对接互通，实现检测任务下达和分析数据上传。</w:t>
      </w:r>
    </w:p>
    <w:p w14:paraId="7410276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（二）安全性指标</w:t>
      </w:r>
    </w:p>
    <w:p w14:paraId="493DFA6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系统为模块化结构，兼顾容错性（各类逻辑错误能正常返回并释放资源，给出提示，不应引起系统崩溃），具有良好的可扩充性和可维护性，便于编辑、修改和维护；</w:t>
      </w:r>
    </w:p>
    <w:p w14:paraId="73B9293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系统具有日志记录功能，对操作日志、运行日志等分类记录，具备统计分析功能，通过日志分析对系统性能降低、设备异常等提前警告；</w:t>
      </w:r>
    </w:p>
    <w:p w14:paraId="45527FE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系统架构易分析，易升级，易测试，稳定性，业务流程可重组；</w:t>
      </w:r>
    </w:p>
    <w:p w14:paraId="29CC0E2C">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关键功能采用冗余设置和故障自动切换技术，保障系统的高可靠性和运行安全；</w:t>
      </w:r>
    </w:p>
    <w:p w14:paraId="63B6CCE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（三）可靠性指标</w:t>
      </w:r>
    </w:p>
    <w:p w14:paraId="472F568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1.</w:t>
      </w:r>
      <w:r>
        <w:rPr>
          <w:rFonts w:hint="eastAsia" w:ascii="仿宋" w:hAnsi="仿宋" w:eastAsia="仿宋" w:cs="宋体"/>
          <w:b w:val="0"/>
          <w:bCs w:val="0"/>
          <w:color w:val="auto"/>
          <w:kern w:val="0"/>
          <w:sz w:val="28"/>
          <w:szCs w:val="28"/>
          <w:lang w:val="en-US" w:eastAsia="zh-CN" w:bidi="ar-SA"/>
          <w14:ligatures w14:val="none"/>
        </w:rPr>
        <w:t>系统是成熟稳定的系统，在行业有实施成功过的案例，灵活适配实验室实际的业务需求，全年整体性故障累计时间不超过72小时；</w:t>
      </w:r>
    </w:p>
    <w:p w14:paraId="50C7224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2.</w:t>
      </w:r>
      <w:r>
        <w:rPr>
          <w:rFonts w:hint="eastAsia" w:ascii="仿宋" w:hAnsi="仿宋" w:eastAsia="仿宋" w:cs="宋体"/>
          <w:b w:val="0"/>
          <w:bCs w:val="0"/>
          <w:color w:val="auto"/>
          <w:kern w:val="0"/>
          <w:sz w:val="28"/>
          <w:szCs w:val="28"/>
          <w:lang w:val="en-US" w:eastAsia="zh-CN" w:bidi="ar-SA"/>
          <w14:ligatures w14:val="none"/>
        </w:rPr>
        <w:t>系统有效配套实验室的物理布局，满足实际业务需求，具备集中-分散控制模式，可视化便捷操作、运行流畅等条件。</w:t>
      </w:r>
    </w:p>
    <w:p w14:paraId="6833814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（四）可扩展性指标</w:t>
      </w:r>
    </w:p>
    <w:p w14:paraId="59D81F3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1.</w:t>
      </w:r>
      <w:r>
        <w:rPr>
          <w:rFonts w:hint="eastAsia" w:ascii="仿宋" w:hAnsi="仿宋" w:eastAsia="仿宋" w:cs="宋体"/>
          <w:b w:val="0"/>
          <w:bCs w:val="0"/>
          <w:color w:val="auto"/>
          <w:kern w:val="0"/>
          <w:sz w:val="28"/>
          <w:szCs w:val="28"/>
          <w:lang w:val="en-US" w:eastAsia="zh-CN" w:bidi="ar-SA"/>
          <w14:ligatures w14:val="none"/>
        </w:rPr>
        <w:t>系统在安全稳定基础上兼顾定制化特点，根据实验室实际业务流程和实验室人员操作需求完成定制化开发；</w:t>
      </w:r>
    </w:p>
    <w:p w14:paraId="1067A46B">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2.</w:t>
      </w:r>
      <w:r>
        <w:rPr>
          <w:rFonts w:hint="eastAsia" w:ascii="仿宋" w:hAnsi="仿宋" w:eastAsia="仿宋" w:cs="宋体"/>
          <w:b w:val="0"/>
          <w:bCs w:val="0"/>
          <w:color w:val="auto"/>
          <w:kern w:val="0"/>
          <w:sz w:val="28"/>
          <w:szCs w:val="28"/>
          <w:lang w:val="en-US" w:eastAsia="zh-CN" w:bidi="ar-SA"/>
          <w14:ligatures w14:val="none"/>
        </w:rPr>
        <w:t>系统设计满足当前业务模式的需要，同时又要在可预见的情况下，兼顾未来项目扩展的要求，系统升级操作应简便。</w:t>
      </w:r>
    </w:p>
    <w:p w14:paraId="136EF75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（五）日志记录指标</w:t>
      </w:r>
    </w:p>
    <w:p w14:paraId="59A4971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有完整的操作日志记录，对功能、参数调整等重要操作记录操作时间、动作、操作人等信息，对系统、功能、操作等故障易于分析，易于测试。用户可设置日志保存时间，超过时间能够自动清理日志记录数据。</w:t>
      </w:r>
    </w:p>
    <w:p w14:paraId="733071D0">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3.12 网络电信系统</w:t>
      </w:r>
    </w:p>
    <w:p w14:paraId="2F77484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仿宋" w:hAnsi="仿宋" w:eastAsia="仿宋" w:cs="宋体"/>
          <w:b w:val="0"/>
          <w:bCs w:val="0"/>
          <w:color w:val="auto"/>
          <w:kern w:val="0"/>
          <w:sz w:val="28"/>
          <w:szCs w:val="28"/>
          <w:lang w:val="en-US" w:eastAsia="zh-CN" w:bidi="ar-SA"/>
          <w14:ligatures w14:val="none"/>
        </w:rPr>
      </w:pPr>
    </w:p>
    <w:p w14:paraId="68B538C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仿宋" w:hAnsi="仿宋" w:eastAsia="仿宋" w:cs="宋体"/>
          <w:b w:val="0"/>
          <w:bCs w:val="0"/>
          <w:color w:val="auto"/>
          <w:kern w:val="0"/>
          <w:sz w:val="28"/>
          <w:szCs w:val="28"/>
          <w:lang w:val="en-US" w:eastAsia="zh-CN" w:bidi="ar-SA"/>
          <w14:ligatures w14:val="none"/>
        </w:rPr>
      </w:pPr>
    </w:p>
    <w:p w14:paraId="5FDF4BC3">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3.13 中央控制系统</w:t>
      </w:r>
    </w:p>
    <w:p w14:paraId="3A7BE59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仿宋" w:hAnsi="仿宋" w:eastAsia="仿宋" w:cs="宋体"/>
          <w:b w:val="0"/>
          <w:bCs w:val="0"/>
          <w:color w:val="auto"/>
          <w:kern w:val="0"/>
          <w:sz w:val="28"/>
          <w:szCs w:val="28"/>
          <w:lang w:val="en-US" w:eastAsia="zh-CN" w:bidi="ar-SA"/>
          <w14:ligatures w14:val="none"/>
        </w:rPr>
      </w:pPr>
    </w:p>
    <w:p w14:paraId="70A83CE0">
      <w:pPr>
        <w:pStyle w:val="2"/>
        <w:numPr>
          <w:ilvl w:val="0"/>
          <w:numId w:val="3"/>
        </w:numPr>
        <w:bidi w:val="0"/>
        <w:spacing w:line="240" w:lineRule="auto"/>
        <w:rPr>
          <w:rFonts w:hint="eastAsia" w:ascii="仿宋" w:hAnsi="仿宋" w:eastAsia="仿宋" w:cs="仿宋"/>
          <w:b/>
          <w:sz w:val="36"/>
          <w:szCs w:val="36"/>
          <w:lang w:val="en-US" w:eastAsia="zh-CN"/>
        </w:rPr>
      </w:pPr>
      <w:r>
        <w:rPr>
          <w:rFonts w:hint="eastAsia" w:ascii="仿宋" w:hAnsi="仿宋" w:eastAsia="仿宋" w:cs="仿宋"/>
          <w:b/>
          <w:sz w:val="36"/>
          <w:szCs w:val="36"/>
          <w:lang w:val="en-US" w:eastAsia="zh-CN"/>
        </w:rPr>
        <w:t>自动化产能效率</w:t>
      </w:r>
    </w:p>
    <w:p w14:paraId="7DCECF72">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4.1自动化检测效率</w:t>
      </w:r>
    </w:p>
    <w:p w14:paraId="16BA950B">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本系统围绕大兽残 127 种高通量筛查与硝基呋喃专项检测两大核心检测场景设计，针对两类检测流程的高复杂性、多环节性、精细化操作要求，通过多模块并行调度、全流程无缝联动、各环节节拍精准匹配，打造标准化、自动化的检测闭环，大幅提升核心场景的样品处理通量、流程流转效率，同时适配实验室批量抽检、风险监测的常态化需求，核心效率指标与场景适配性如下：</w:t>
      </w:r>
    </w:p>
    <w:p w14:paraId="24E4D459">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4.2 大兽残 127 种高通量筛查效率</w:t>
      </w:r>
    </w:p>
    <w:p w14:paraId="14F19D7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大兽残筛查需覆盖畜禽肉、牛奶、水产等多类食品基质，检测流程涵盖均质、水解、提取、离心、SPE 净化、浓缩复溶、过膜、上机检测等全链条环节，各环节均需精准把控试剂添加量、反应时间、转速、流速等关键参数，流程跨度大、操作节点多，对检测流程的连贯性与标准化要求极高。</w:t>
      </w:r>
    </w:p>
    <w:p w14:paraId="6D86B0E0">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本自动化系统针对大兽残筛查的流程特点，实现各环节的自动化衔接与多样品并行处理，无需额外拆分批次、调配流程，32 个肉蛋基质样品从前期前处理到上机检测全流程仅需 15.2h；96 个肉蛋基质样品通过多模块同步调度、样品分批次并行处理，全流程耗时仅 26h。针对牛奶这类基质相对简单的样品，流程效率进一步提升，32 个样品全流程耗时 12.8h，96 个样品并行处理仅 18h，可高效承接大批量、多基质的大兽残高通量筛查需求，保障实验室日常监督检验、风险监测的检测通量。</w:t>
      </w:r>
    </w:p>
    <w:p w14:paraId="00045BB2">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4.2 硝基呋喃专项检测效率</w:t>
      </w:r>
    </w:p>
    <w:p w14:paraId="44654412">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硝基呋喃检测为痕量残留检测，流程复杂度远高于常规兽残检测，仅前处理环节就包含清洗、水解加标、恒温衍生、调 pH、萃取、浓缩、过膜等关键步骤，其中恒温衍生环节需严格维持 37℃密闭避光环境，且衍生时长要求严苛；调 pH 环节需多梯度精密调节，保障目标物提取效率；浓缩环节需精准控温控速，避免目标物挥发，各环节操作精细化要求高、流程衔接性强，任一环节的节奏脱节都会影响整体检测进度。</w:t>
      </w:r>
    </w:p>
    <w:p w14:paraId="47BCCDF5">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本自动化系统为硝基呋喃检测定制化设计流程与模块，恒温存储平台实现衍生环境的精准控温与全程密闭，各环节参数由系统智能设定、自动执行，流程衔接无等待，48 个肉类基质硝基呋喃样品从水解加标到上机检测全流程仅需 33.97h；蛋奶类基质样品流程稍作简化，48 个样品全流程耗时 31.57h。系统支持 7×24 小时不间断运行，可连续承接硝基呋喃批量检测任务，无需中断流程调配资源，完全匹配实验室专项抽检、靶向监测的检测需求。</w:t>
      </w:r>
    </w:p>
    <w:p w14:paraId="042EC0BC">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4.3 多检项复合检测效率</w:t>
      </w:r>
    </w:p>
    <w:p w14:paraId="0D81A268">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实验室日常检测常面临大兽残高通量筛查 + 硝基呋喃靶向检测的复合检测需求，两类检测流程存在部分共用模块与仪器，需合理分配资源、精准调度流程，避免模块与仪器的使用冲突，保障整体检测效率。</w:t>
      </w:r>
    </w:p>
    <w:p w14:paraId="1457CAE8">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本自动化系统通过智能控制和管理系统实现资源的动态分配与流程的精准调度，可同时启动不同检测项目的样品处理，实现模块分时复用、样品并行处理，48 个硝基呋喃样品 + 96 个大兽残样品可同步开展全流程检测，整体耗时仅 33.97h，实现样品一次收样、多检项同步处理，大幅提升实验室设备、模块与场地的利用率，避免资源闲置与流程脱节，高效适配实验室多检项、复合化的日常检测工作模式。</w:t>
      </w:r>
    </w:p>
    <w:p w14:paraId="49E47148">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4.4 核心检测通量与周期保障</w:t>
      </w:r>
    </w:p>
    <w:p w14:paraId="5A94831A">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针对实验室监督检验、风险监测的批量性、时效性需求，系统实现核心检测项目的通量与周期双重保障，从样品收样、流程调度到报告出具，全流程由系统自动推进，保障检测任务的高效、有序完成。其中硝基呋喃专项检测可实现20 天完成 200 个样品的全流程检测与权威报告出具，完全匹配批量抽检的结果出具时效；氯霉素单品类年上机检测量可达约 10000 针，磺胺类与沙星类组合年上机总量约 10000 针，可充分满足实验室年度风险监测、常态化抽检的检测通量需求，为食品质量安全监管提供高效、及时的技术支撑。</w:t>
      </w:r>
    </w:p>
    <w:p w14:paraId="7276A13B">
      <w:pPr>
        <w:rPr>
          <w:rFonts w:hint="eastAsia"/>
          <w:lang w:val="en-US" w:eastAsia="zh-CN"/>
        </w:rPr>
      </w:pPr>
    </w:p>
    <w:p w14:paraId="3F97FFAA">
      <w:pPr>
        <w:pStyle w:val="2"/>
        <w:numPr>
          <w:ilvl w:val="0"/>
          <w:numId w:val="3"/>
        </w:numPr>
        <w:bidi w:val="0"/>
        <w:rPr>
          <w:rFonts w:hint="default" w:ascii="仿宋" w:hAnsi="仿宋" w:eastAsia="仿宋" w:cs="仿宋"/>
          <w:b/>
          <w:sz w:val="36"/>
          <w:szCs w:val="36"/>
          <w:lang w:val="en-US" w:eastAsia="zh-CN"/>
        </w:rPr>
      </w:pPr>
      <w:r>
        <w:rPr>
          <w:rFonts w:hint="eastAsia" w:ascii="仿宋" w:hAnsi="仿宋" w:eastAsia="仿宋" w:cs="仿宋"/>
          <w:b/>
          <w:sz w:val="36"/>
          <w:szCs w:val="36"/>
          <w:lang w:val="en-US" w:eastAsia="zh-CN"/>
        </w:rPr>
        <w:t>项目实施和管理方案</w:t>
      </w:r>
    </w:p>
    <w:p w14:paraId="0D7010C6">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兽残专项自动化检测项目落地，以标准化实施、精细化管理、全流程把控为核心，按180 日历天规划建设周期，明确项目全周期组织架构、阶段任务、管控要点及保障措施，确保系统适配实验室场地与检测流程，实现无缝衔接、平稳落地及高效运行。</w:t>
      </w:r>
    </w:p>
    <w:p w14:paraId="68F7768A">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5.1、项目组织架构与职责</w:t>
      </w:r>
    </w:p>
    <w:p w14:paraId="78097E0F">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实行项目经理负责制，组建乙方核心执行团队 + 甲方对接团队双轨协作体系，明确权责、高效联动，保障项目推进无壁垒：</w:t>
      </w:r>
    </w:p>
    <w:p w14:paraId="78FA0E2E">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乙方项目经理：统筹全流程，负责进度把控、资源调配、问题协调，对接甲方需求，出具周 / 月报，确保按工期推进；</w:t>
      </w:r>
    </w:p>
    <w:p w14:paraId="45ED15CC">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乙方技术团队：含机械、电气、软件、检测工程师，负责模块生产、现场安装、系统调试、人员培训，解决技术难题；</w:t>
      </w:r>
    </w:p>
    <w:p w14:paraId="27950B8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乙方质控团队：全环节核验技术参数、验收成果，出具质控报告，确保符合国标及方案要求；</w:t>
      </w:r>
    </w:p>
    <w:p w14:paraId="1F8A370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甲方对接小组：由实验室负责人、检测骨干组成，负责需求确认、现场配合、阶段验收，协调场地、水电等基础资源，推进内部备案。</w:t>
      </w:r>
    </w:p>
    <w:p w14:paraId="047DA9F3">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5.2 项目实施核心阶段（180 日历天）</w:t>
      </w:r>
    </w:p>
    <w:p w14:paraId="3CC30123">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分 6 个阶段推进，各阶段明确任务节点、交付物、验收标准，实行 “节点验收通过后方可进入下一阶段”，严控工期与质量，各阶段工期合理分配缓冲期，适配实验室日常检测节奏，减少运营干扰。</w:t>
      </w:r>
    </w:p>
    <w:p w14:paraId="74FCB856">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调研细化与方案确认（25 日历天）</w:t>
      </w:r>
    </w:p>
    <w:p w14:paraId="350041C2">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核心任务：乙方现场勘察场地尺寸、水电 / 通风 / 接地条件；与甲方深度对接检测流程、样品通量、操作习惯等个性化需求，优化系统布局与模块配置，组织方案评审。</w:t>
      </w:r>
    </w:p>
    <w:p w14:paraId="7760007A">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交付物：细化版设计方案、场地布局 CAD 图、技术参数确认单、基础资源需求清单；</w:t>
      </w:r>
    </w:p>
    <w:p w14:paraId="0384AC80">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管控：甲乙双方签字确认所有细节，锁定需求，避免后期变更。</w:t>
      </w:r>
    </w:p>
    <w:p w14:paraId="5C003D82">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模块生产与工厂预装调试（70 日历天）</w:t>
      </w:r>
    </w:p>
    <w:p w14:paraId="640DE644">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核心任务：按确认方案开展 14 大功能模块标准化生产、核心部件集成；完成单模块调试、多模块联动预装测试，核验机械、电气、软件系统运行稳定性，确保出厂达标。</w:t>
      </w:r>
    </w:p>
    <w:p w14:paraId="41C7B6F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交付物：各功能模块成品、工厂调试报告、设备检测合格证、核心部件质量证明；</w:t>
      </w:r>
    </w:p>
    <w:p w14:paraId="3ADEDD9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管控：质控团队全程跟进，不合格项立即返工，所有模块出厂前完成 3 次模拟测试。</w:t>
      </w:r>
    </w:p>
    <w:p w14:paraId="724BC343">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现场基础施工与复核（20 日历天）</w:t>
      </w:r>
    </w:p>
    <w:p w14:paraId="6F596D2B">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核心任务：甲方按需求清单完成场地清理、水电改造、防护设施搭建等基础施工；乙方技术团队现场逐项复核，确认施工成果匹配设备安装要求。</w:t>
      </w:r>
    </w:p>
    <w:p w14:paraId="45595CD1">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交付物：现场施工完成报告、水电 / 场地适配核验单；</w:t>
      </w:r>
    </w:p>
    <w:p w14:paraId="45D1E2A1">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管控：乙方全程提供技术指导，避免二次改造，确保与后续安装环节无缝衔接。</w:t>
      </w:r>
    </w:p>
    <w:p w14:paraId="7C1BEF2C">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现场安装与模块拼接（30 日历天）</w:t>
      </w:r>
    </w:p>
    <w:p w14:paraId="06F4BA9B">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核心任务：完成模块卸货、精准定位、线路连接、物理拼接，实现自动化物流平台与各模块的联动适配，完成现场安全防护设置与线路规整。</w:t>
      </w:r>
    </w:p>
    <w:p w14:paraId="2E4F36FF">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交付物：设备安装完成报告、模块拼接验收单、现场安全检查报告；</w:t>
      </w:r>
    </w:p>
    <w:p w14:paraId="4EC5DFBA">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管控：遵循实验室安全规范，避开检测高峰期施工，每日清理施工场地，减少对实验室日常运营的影响。</w:t>
      </w:r>
    </w:p>
    <w:p w14:paraId="32FBE721">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 系统调试与人员培训（25 日历天）</w:t>
      </w:r>
    </w:p>
    <w:p w14:paraId="05E5E318">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核心任务：分三步调试 —— 单模块参数校准→全系统联动调试→核心检测场景（大兽残筛查、硝基呋喃检测）模拟调试；同步开展分层实操培训，覆盖操作、维护、故障排查全内容，培训后组织考核。</w:t>
      </w:r>
    </w:p>
    <w:p w14:paraId="0F2BF8C5">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交付物：系统调试合格报告、操作 / 维护手册、人员培训合格证、模拟检测数据报告；</w:t>
      </w:r>
    </w:p>
    <w:p w14:paraId="3403347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管控：调试完成后连续开展 5 次模拟检测，确保流程顺畅、数据精准，甲方人员考核通过率 100% 方可进入下一阶段。</w:t>
      </w:r>
    </w:p>
    <w:p w14:paraId="7CA72B83">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 项目验收与交付归档（10 日历天）</w:t>
      </w:r>
    </w:p>
    <w:p w14:paraId="67381DD1">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核心任务：甲乙双方按验收标准开展全流程验收（设备外观、技术参数、联动运行、检测效率等）；完成设备移交、全套资料归档，签订售后服务协议，处理遗留问题。</w:t>
      </w:r>
    </w:p>
    <w:p w14:paraId="1D6E8A6E">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交付物：项目验收报告、设备移交清单、全流程技术资料（纸质 + 电子版）、售后服务协议；</w:t>
      </w:r>
    </w:p>
    <w:p w14:paraId="55C8B1F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管控：验收不合格项限期整改，整改完成后重新验收，确保项目无遗留问题交付。</w:t>
      </w:r>
    </w:p>
    <w:p w14:paraId="029208D9">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5.3 项目核心管理措施</w:t>
      </w:r>
    </w:p>
    <w:p w14:paraId="0A14087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进度管理</w:t>
      </w:r>
    </w:p>
    <w:p w14:paraId="534379A7">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建立三级进度管控体系，制定总工期甘特图，分解至各阶段日 / 周计划；项目经理每日召开内部碰头会，每周组织甲乙双方协调会，提交进度报告，明确完成情况、下周计划及待协调问题；若遇不可抗力滞后，立即制定赶工方案，调剂资源确保总工期不变。</w:t>
      </w:r>
    </w:p>
    <w:p w14:paraId="1DE95A2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质量管理</w:t>
      </w:r>
    </w:p>
    <w:p w14:paraId="6543A8F1">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实行全流程质控追溯，从核心部件采购、模块生产到现场安装、调试，每环节设置质控节点，所有检测数据、验收报告留存归档；严格遵循国家相关标准及方案技术指标，确保系统运行稳定性、检测精准性达标。</w:t>
      </w:r>
    </w:p>
    <w:p w14:paraId="6D192428">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沟通管理</w:t>
      </w:r>
    </w:p>
    <w:p w14:paraId="37F34C0A">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建立固定沟通机制，专属沟通群实现技术问题、需求对接实时响应；乙方现场团队每日与甲方对接小组复盘工作，每周召开正式协调会，同步进展、解决协作问题，确保信息对称。</w:t>
      </w:r>
    </w:p>
    <w:p w14:paraId="417A0205">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安全管理</w:t>
      </w:r>
    </w:p>
    <w:p w14:paraId="7B9EF04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严格遵守实验室安全管理规定，施工 / 安装 / 调试全程设置安全警示，规范用电、动火操作；设备做好接地、防漏电、应急停机等防护，软件系统设置分级操作权限，确保实验室人员、设备及检测样品安全。</w:t>
      </w:r>
    </w:p>
    <w:p w14:paraId="750F824C">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 变更管理</w:t>
      </w:r>
    </w:p>
    <w:p w14:paraId="2EC533A8">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项目实施中，甲方若需变更需求，需以书面形式提交申请，乙方评估变更对工期、成本、技术的影响，出具变更方案及费用明细，双方签字确认后执行，未确认前不得擅自变更，避免工期延误。</w:t>
      </w:r>
    </w:p>
    <w:p w14:paraId="4576AEFF">
      <w:pPr>
        <w:pStyle w:val="3"/>
        <w:bidi w:val="0"/>
        <w:spacing w:line="240" w:lineRule="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5.4 项目保障措施</w:t>
      </w:r>
    </w:p>
    <w:p w14:paraId="2FCE792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资源保障：乙方调配资深工程师、专用施工设备及原厂核心部件，确保生产、安装、调试资源充足；甲方协调场地、水电、专人对接，配合各阶段工作推进。</w:t>
      </w:r>
    </w:p>
    <w:p w14:paraId="6BC9EC9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技术保障：成立技术攻坚小组，针对实施中的技术难题快速响应；提供 7×24 小时远程技术支持，现场问题 4 小时内给出解决方案。</w:t>
      </w:r>
    </w:p>
    <w:p w14:paraId="27F8432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售后前置：售后服务工程师全程参与调试阶段，熟悉系统配置与现场情况，为后期质保、维护奠定基础，实现交付后售后响应无缝衔接。</w:t>
      </w:r>
    </w:p>
    <w:p w14:paraId="79B0DCE4">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文档保障：全流程规范归档项目资料，包括设计方案、检测报告、验收文件、操作手册等，实现资料完整、可追溯，为甲方后期设备维护、备案提供支撑。</w:t>
      </w:r>
    </w:p>
    <w:p w14:paraId="4C848ECC">
      <w:pPr>
        <w:bidi w:val="0"/>
        <w:ind w:firstLine="560" w:firstLineChars="200"/>
        <w:rPr>
          <w:rFonts w:hint="eastAsia" w:ascii="仿宋" w:hAnsi="仿宋" w:eastAsia="仿宋" w:cs="仿宋"/>
          <w:sz w:val="28"/>
          <w:szCs w:val="28"/>
          <w:lang w:val="en-US" w:eastAsia="zh-CN"/>
        </w:rPr>
      </w:pPr>
    </w:p>
    <w:p w14:paraId="6B8177EF">
      <w:pPr>
        <w:bidi w:val="0"/>
        <w:ind w:firstLine="560" w:firstLineChars="200"/>
        <w:rPr>
          <w:rFonts w:hint="eastAsia" w:ascii="仿宋" w:hAnsi="仿宋" w:eastAsia="仿宋" w:cs="仿宋"/>
          <w:sz w:val="28"/>
          <w:szCs w:val="28"/>
          <w:lang w:val="en-US" w:eastAsia="zh-CN"/>
        </w:rPr>
      </w:pPr>
    </w:p>
    <w:sectPr>
      <w:headerReference r:id="rId3"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00"/>
    <w:family w:val="modern"/>
    <w:pitch w:val="default"/>
    <w:sig w:usb0="00000000" w:usb1="00000000" w:usb2="00000016"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177F2">
    <w:pPr>
      <w:pStyle w:val="13"/>
      <w:jc w:val="left"/>
    </w:pPr>
    <w:r>
      <w:drawing>
        <wp:inline distT="0" distB="0" distL="0" distR="0">
          <wp:extent cx="1246505" cy="36449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1246505" cy="364490"/>
                  </a:xfrm>
                  <a:prstGeom prst="rect">
                    <a:avLst/>
                  </a:prstGeom>
                  <a:noFill/>
                  <a:ln w="9525">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7C3F6"/>
    <w:multiLevelType w:val="singleLevel"/>
    <w:tmpl w:val="8737C3F6"/>
    <w:lvl w:ilvl="0" w:tentative="0">
      <w:start w:val="1"/>
      <w:numFmt w:val="decimal"/>
      <w:suff w:val="space"/>
      <w:lvlText w:val="%1."/>
      <w:lvlJc w:val="left"/>
    </w:lvl>
  </w:abstractNum>
  <w:abstractNum w:abstractNumId="1">
    <w:nsid w:val="9FDAF06A"/>
    <w:multiLevelType w:val="singleLevel"/>
    <w:tmpl w:val="9FDAF06A"/>
    <w:lvl w:ilvl="0" w:tentative="0">
      <w:start w:val="1"/>
      <w:numFmt w:val="decimal"/>
      <w:suff w:val="space"/>
      <w:lvlText w:val="%1."/>
      <w:lvlJc w:val="left"/>
    </w:lvl>
  </w:abstractNum>
  <w:abstractNum w:abstractNumId="2">
    <w:nsid w:val="A3FE66DD"/>
    <w:multiLevelType w:val="singleLevel"/>
    <w:tmpl w:val="A3FE66DD"/>
    <w:lvl w:ilvl="0" w:tentative="0">
      <w:start w:val="1"/>
      <w:numFmt w:val="decimal"/>
      <w:suff w:val="space"/>
      <w:lvlText w:val="%1."/>
      <w:lvlJc w:val="left"/>
    </w:lvl>
  </w:abstractNum>
  <w:abstractNum w:abstractNumId="3">
    <w:nsid w:val="AFF1C2A2"/>
    <w:multiLevelType w:val="singleLevel"/>
    <w:tmpl w:val="AFF1C2A2"/>
    <w:lvl w:ilvl="0" w:tentative="0">
      <w:start w:val="1"/>
      <w:numFmt w:val="decimal"/>
      <w:suff w:val="space"/>
      <w:lvlText w:val="%1."/>
      <w:lvlJc w:val="left"/>
    </w:lvl>
  </w:abstractNum>
  <w:abstractNum w:abstractNumId="4">
    <w:nsid w:val="B5FE6E38"/>
    <w:multiLevelType w:val="singleLevel"/>
    <w:tmpl w:val="B5FE6E38"/>
    <w:lvl w:ilvl="0" w:tentative="0">
      <w:start w:val="1"/>
      <w:numFmt w:val="decimal"/>
      <w:suff w:val="space"/>
      <w:lvlText w:val="%1."/>
      <w:lvlJc w:val="left"/>
    </w:lvl>
  </w:abstractNum>
  <w:abstractNum w:abstractNumId="5">
    <w:nsid w:val="B9FDE1EC"/>
    <w:multiLevelType w:val="singleLevel"/>
    <w:tmpl w:val="B9FDE1EC"/>
    <w:lvl w:ilvl="0" w:tentative="0">
      <w:start w:val="1"/>
      <w:numFmt w:val="decimal"/>
      <w:suff w:val="space"/>
      <w:lvlText w:val="%1."/>
      <w:lvlJc w:val="left"/>
    </w:lvl>
  </w:abstractNum>
  <w:abstractNum w:abstractNumId="6">
    <w:nsid w:val="BAF6B184"/>
    <w:multiLevelType w:val="singleLevel"/>
    <w:tmpl w:val="BAF6B184"/>
    <w:lvl w:ilvl="0" w:tentative="0">
      <w:start w:val="1"/>
      <w:numFmt w:val="decimal"/>
      <w:suff w:val="space"/>
      <w:lvlText w:val="%1."/>
      <w:lvlJc w:val="left"/>
    </w:lvl>
  </w:abstractNum>
  <w:abstractNum w:abstractNumId="7">
    <w:nsid w:val="BF6B319C"/>
    <w:multiLevelType w:val="singleLevel"/>
    <w:tmpl w:val="BF6B319C"/>
    <w:lvl w:ilvl="0" w:tentative="0">
      <w:start w:val="1"/>
      <w:numFmt w:val="decimal"/>
      <w:pStyle w:val="6"/>
      <w:lvlText w:val="%1."/>
      <w:lvlJc w:val="left"/>
      <w:pPr>
        <w:tabs>
          <w:tab w:val="left" w:pos="360"/>
        </w:tabs>
        <w:ind w:left="360" w:hanging="360"/>
      </w:pPr>
    </w:lvl>
  </w:abstractNum>
  <w:abstractNum w:abstractNumId="8">
    <w:nsid w:val="D9D7B1B7"/>
    <w:multiLevelType w:val="singleLevel"/>
    <w:tmpl w:val="D9D7B1B7"/>
    <w:lvl w:ilvl="0" w:tentative="0">
      <w:start w:val="1"/>
      <w:numFmt w:val="decimal"/>
      <w:suff w:val="space"/>
      <w:lvlText w:val="%1."/>
      <w:lvlJc w:val="left"/>
    </w:lvl>
  </w:abstractNum>
  <w:abstractNum w:abstractNumId="9">
    <w:nsid w:val="DF4F1C2A"/>
    <w:multiLevelType w:val="singleLevel"/>
    <w:tmpl w:val="DF4F1C2A"/>
    <w:lvl w:ilvl="0" w:tentative="0">
      <w:start w:val="1"/>
      <w:numFmt w:val="decimal"/>
      <w:suff w:val="space"/>
      <w:lvlText w:val="%1."/>
      <w:lvlJc w:val="left"/>
    </w:lvl>
  </w:abstractNum>
  <w:abstractNum w:abstractNumId="10">
    <w:nsid w:val="EBFBEF04"/>
    <w:multiLevelType w:val="singleLevel"/>
    <w:tmpl w:val="EBFBEF04"/>
    <w:lvl w:ilvl="0" w:tentative="0">
      <w:start w:val="1"/>
      <w:numFmt w:val="decimal"/>
      <w:suff w:val="space"/>
      <w:lvlText w:val="%1."/>
      <w:lvlJc w:val="left"/>
    </w:lvl>
  </w:abstractNum>
  <w:abstractNum w:abstractNumId="11">
    <w:nsid w:val="EBFE148B"/>
    <w:multiLevelType w:val="singleLevel"/>
    <w:tmpl w:val="EBFE148B"/>
    <w:lvl w:ilvl="0" w:tentative="0">
      <w:start w:val="1"/>
      <w:numFmt w:val="decimal"/>
      <w:pStyle w:val="11"/>
      <w:lvlText w:val="%1."/>
      <w:lvlJc w:val="left"/>
      <w:pPr>
        <w:tabs>
          <w:tab w:val="left" w:pos="2040"/>
        </w:tabs>
        <w:ind w:left="2040" w:hanging="360"/>
      </w:pPr>
    </w:lvl>
  </w:abstractNum>
  <w:abstractNum w:abstractNumId="12">
    <w:nsid w:val="ED6BEA26"/>
    <w:multiLevelType w:val="singleLevel"/>
    <w:tmpl w:val="ED6BEA26"/>
    <w:lvl w:ilvl="0" w:tentative="0">
      <w:start w:val="1"/>
      <w:numFmt w:val="decimal"/>
      <w:suff w:val="space"/>
      <w:lvlText w:val="%1."/>
      <w:lvlJc w:val="left"/>
    </w:lvl>
  </w:abstractNum>
  <w:abstractNum w:abstractNumId="13">
    <w:nsid w:val="EDFBC6D3"/>
    <w:multiLevelType w:val="singleLevel"/>
    <w:tmpl w:val="EDFBC6D3"/>
    <w:lvl w:ilvl="0" w:tentative="0">
      <w:start w:val="1"/>
      <w:numFmt w:val="bullet"/>
      <w:lvlText w:val=""/>
      <w:lvlJc w:val="left"/>
      <w:pPr>
        <w:tabs>
          <w:tab w:val="left" w:pos="1260"/>
        </w:tabs>
        <w:ind w:left="1680" w:hanging="420"/>
      </w:pPr>
      <w:rPr>
        <w:rFonts w:hint="default" w:ascii="Wingdings" w:hAnsi="Wingdings"/>
        <w:sz w:val="15"/>
        <w:szCs w:val="15"/>
      </w:rPr>
    </w:lvl>
  </w:abstractNum>
  <w:abstractNum w:abstractNumId="14">
    <w:nsid w:val="EFEF56E9"/>
    <w:multiLevelType w:val="singleLevel"/>
    <w:tmpl w:val="EFEF56E9"/>
    <w:lvl w:ilvl="0" w:tentative="0">
      <w:start w:val="1"/>
      <w:numFmt w:val="decimal"/>
      <w:suff w:val="space"/>
      <w:lvlText w:val="%1."/>
      <w:lvlJc w:val="left"/>
    </w:lvl>
  </w:abstractNum>
  <w:abstractNum w:abstractNumId="15">
    <w:nsid w:val="F5FF73E8"/>
    <w:multiLevelType w:val="singleLevel"/>
    <w:tmpl w:val="F5FF73E8"/>
    <w:lvl w:ilvl="0" w:tentative="0">
      <w:start w:val="1"/>
      <w:numFmt w:val="decimal"/>
      <w:suff w:val="space"/>
      <w:lvlText w:val="%1."/>
      <w:lvlJc w:val="left"/>
    </w:lvl>
  </w:abstractNum>
  <w:abstractNum w:abstractNumId="16">
    <w:nsid w:val="F6FEFD9A"/>
    <w:multiLevelType w:val="singleLevel"/>
    <w:tmpl w:val="F6FEFD9A"/>
    <w:lvl w:ilvl="0" w:tentative="0">
      <w:start w:val="1"/>
      <w:numFmt w:val="decimal"/>
      <w:lvlText w:val="%1."/>
      <w:lvlJc w:val="left"/>
      <w:pPr>
        <w:tabs>
          <w:tab w:val="left" w:pos="840"/>
        </w:tabs>
        <w:ind w:left="1265" w:hanging="425"/>
      </w:pPr>
      <w:rPr>
        <w:rFonts w:hint="default"/>
      </w:rPr>
    </w:lvl>
  </w:abstractNum>
  <w:abstractNum w:abstractNumId="17">
    <w:nsid w:val="FA9F21C1"/>
    <w:multiLevelType w:val="singleLevel"/>
    <w:tmpl w:val="FA9F21C1"/>
    <w:lvl w:ilvl="0" w:tentative="0">
      <w:start w:val="1"/>
      <w:numFmt w:val="decimal"/>
      <w:suff w:val="space"/>
      <w:lvlText w:val="%1."/>
      <w:lvlJc w:val="left"/>
    </w:lvl>
  </w:abstractNum>
  <w:abstractNum w:abstractNumId="18">
    <w:nsid w:val="FBFE37FF"/>
    <w:multiLevelType w:val="singleLevel"/>
    <w:tmpl w:val="FBFE37FF"/>
    <w:lvl w:ilvl="0" w:tentative="0">
      <w:start w:val="1"/>
      <w:numFmt w:val="decimal"/>
      <w:suff w:val="space"/>
      <w:lvlText w:val="%1."/>
      <w:lvlJc w:val="left"/>
    </w:lvl>
  </w:abstractNum>
  <w:abstractNum w:abstractNumId="19">
    <w:nsid w:val="35FEBEBF"/>
    <w:multiLevelType w:val="singleLevel"/>
    <w:tmpl w:val="35FEBEBF"/>
    <w:lvl w:ilvl="0" w:tentative="0">
      <w:start w:val="1"/>
      <w:numFmt w:val="decimal"/>
      <w:suff w:val="space"/>
      <w:lvlText w:val="%1."/>
      <w:lvlJc w:val="left"/>
    </w:lvl>
  </w:abstractNum>
  <w:abstractNum w:abstractNumId="20">
    <w:nsid w:val="365650EE"/>
    <w:multiLevelType w:val="multilevel"/>
    <w:tmpl w:val="365650EE"/>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377BED1F"/>
    <w:multiLevelType w:val="singleLevel"/>
    <w:tmpl w:val="377BED1F"/>
    <w:lvl w:ilvl="0" w:tentative="0">
      <w:start w:val="1"/>
      <w:numFmt w:val="decimal"/>
      <w:suff w:val="space"/>
      <w:lvlText w:val="%1."/>
      <w:lvlJc w:val="left"/>
    </w:lvl>
  </w:abstractNum>
  <w:abstractNum w:abstractNumId="22">
    <w:nsid w:val="7FF927D2"/>
    <w:multiLevelType w:val="singleLevel"/>
    <w:tmpl w:val="7FF927D2"/>
    <w:lvl w:ilvl="0" w:tentative="0">
      <w:start w:val="1"/>
      <w:numFmt w:val="decimal"/>
      <w:suff w:val="space"/>
      <w:lvlText w:val="%1."/>
      <w:lvlJc w:val="left"/>
    </w:lvl>
  </w:abstractNum>
  <w:num w:numId="1">
    <w:abstractNumId w:val="7"/>
  </w:num>
  <w:num w:numId="2">
    <w:abstractNumId w:val="11"/>
  </w:num>
  <w:num w:numId="3">
    <w:abstractNumId w:val="20"/>
  </w:num>
  <w:num w:numId="4">
    <w:abstractNumId w:val="13"/>
  </w:num>
  <w:num w:numId="5">
    <w:abstractNumId w:val="16"/>
  </w:num>
  <w:num w:numId="6">
    <w:abstractNumId w:val="0"/>
  </w:num>
  <w:num w:numId="7">
    <w:abstractNumId w:val="4"/>
  </w:num>
  <w:num w:numId="8">
    <w:abstractNumId w:val="22"/>
  </w:num>
  <w:num w:numId="9">
    <w:abstractNumId w:val="21"/>
  </w:num>
  <w:num w:numId="10">
    <w:abstractNumId w:val="18"/>
  </w:num>
  <w:num w:numId="11">
    <w:abstractNumId w:val="10"/>
  </w:num>
  <w:num w:numId="12">
    <w:abstractNumId w:val="14"/>
  </w:num>
  <w:num w:numId="13">
    <w:abstractNumId w:val="17"/>
  </w:num>
  <w:num w:numId="14">
    <w:abstractNumId w:val="5"/>
  </w:num>
  <w:num w:numId="15">
    <w:abstractNumId w:val="1"/>
  </w:num>
  <w:num w:numId="16">
    <w:abstractNumId w:val="2"/>
  </w:num>
  <w:num w:numId="17">
    <w:abstractNumId w:val="19"/>
  </w:num>
  <w:num w:numId="18">
    <w:abstractNumId w:val="6"/>
  </w:num>
  <w:num w:numId="19">
    <w:abstractNumId w:val="15"/>
  </w:num>
  <w:num w:numId="20">
    <w:abstractNumId w:val="3"/>
  </w:num>
  <w:num w:numId="21">
    <w:abstractNumId w:val="8"/>
  </w:num>
  <w:num w:numId="22">
    <w:abstractNumId w:val="9"/>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U2MGU5NTc2ZDAzZDRhZWNjYTM0NDg4NzI4YmJkY2IifQ=="/>
    <w:docVar w:name="KSO_WPS_MARK_KEY" w:val="79dba704-0638-44e0-94b9-7fcd327d2e46"/>
  </w:docVars>
  <w:rsids>
    <w:rsidRoot w:val="009D46B5"/>
    <w:rsid w:val="0007789C"/>
    <w:rsid w:val="00077CD7"/>
    <w:rsid w:val="0008293A"/>
    <w:rsid w:val="00091CBF"/>
    <w:rsid w:val="00094DE7"/>
    <w:rsid w:val="000A0554"/>
    <w:rsid w:val="000B1DB2"/>
    <w:rsid w:val="000D6798"/>
    <w:rsid w:val="000E145F"/>
    <w:rsid w:val="000E1A25"/>
    <w:rsid w:val="000E33B1"/>
    <w:rsid w:val="000F31AC"/>
    <w:rsid w:val="000F37A9"/>
    <w:rsid w:val="001000C8"/>
    <w:rsid w:val="00100B04"/>
    <w:rsid w:val="00110029"/>
    <w:rsid w:val="00115BCE"/>
    <w:rsid w:val="0012113C"/>
    <w:rsid w:val="00121F8A"/>
    <w:rsid w:val="0012668F"/>
    <w:rsid w:val="00126D2D"/>
    <w:rsid w:val="0016376E"/>
    <w:rsid w:val="0017240D"/>
    <w:rsid w:val="001771DE"/>
    <w:rsid w:val="001933FC"/>
    <w:rsid w:val="00196036"/>
    <w:rsid w:val="001A55F6"/>
    <w:rsid w:val="001B5935"/>
    <w:rsid w:val="001B7AD2"/>
    <w:rsid w:val="001C16D2"/>
    <w:rsid w:val="001D7894"/>
    <w:rsid w:val="001F22B2"/>
    <w:rsid w:val="00210239"/>
    <w:rsid w:val="00230F7C"/>
    <w:rsid w:val="00243B77"/>
    <w:rsid w:val="00253A7F"/>
    <w:rsid w:val="00260A88"/>
    <w:rsid w:val="00262612"/>
    <w:rsid w:val="00263CBF"/>
    <w:rsid w:val="00266F3F"/>
    <w:rsid w:val="002876AE"/>
    <w:rsid w:val="002963B3"/>
    <w:rsid w:val="002A43C8"/>
    <w:rsid w:val="002B49E6"/>
    <w:rsid w:val="002B76CB"/>
    <w:rsid w:val="002D7DAA"/>
    <w:rsid w:val="002E24E7"/>
    <w:rsid w:val="002E2F5D"/>
    <w:rsid w:val="002E66D2"/>
    <w:rsid w:val="0030095F"/>
    <w:rsid w:val="00300A2F"/>
    <w:rsid w:val="00307027"/>
    <w:rsid w:val="003108A8"/>
    <w:rsid w:val="00312C97"/>
    <w:rsid w:val="00314B3B"/>
    <w:rsid w:val="00320A7B"/>
    <w:rsid w:val="003255C2"/>
    <w:rsid w:val="00332C60"/>
    <w:rsid w:val="00342A1F"/>
    <w:rsid w:val="00347206"/>
    <w:rsid w:val="00350C6B"/>
    <w:rsid w:val="00351B52"/>
    <w:rsid w:val="00361C3E"/>
    <w:rsid w:val="00374A32"/>
    <w:rsid w:val="00375CF5"/>
    <w:rsid w:val="0038702A"/>
    <w:rsid w:val="00387FC2"/>
    <w:rsid w:val="00396826"/>
    <w:rsid w:val="003A5F6F"/>
    <w:rsid w:val="003B01FC"/>
    <w:rsid w:val="003B5C15"/>
    <w:rsid w:val="003B768E"/>
    <w:rsid w:val="003C268F"/>
    <w:rsid w:val="003C31BC"/>
    <w:rsid w:val="003D50B4"/>
    <w:rsid w:val="003E4EB4"/>
    <w:rsid w:val="003F13DE"/>
    <w:rsid w:val="003F2AAF"/>
    <w:rsid w:val="00415E49"/>
    <w:rsid w:val="00433AAA"/>
    <w:rsid w:val="0043620E"/>
    <w:rsid w:val="00450D2F"/>
    <w:rsid w:val="0045473E"/>
    <w:rsid w:val="00455845"/>
    <w:rsid w:val="00463FBA"/>
    <w:rsid w:val="00465340"/>
    <w:rsid w:val="00470DF3"/>
    <w:rsid w:val="00473F34"/>
    <w:rsid w:val="004748A1"/>
    <w:rsid w:val="0049537C"/>
    <w:rsid w:val="00495E6C"/>
    <w:rsid w:val="004A30BD"/>
    <w:rsid w:val="004A4CC1"/>
    <w:rsid w:val="004B0E24"/>
    <w:rsid w:val="004C696B"/>
    <w:rsid w:val="004C6F66"/>
    <w:rsid w:val="004F29BB"/>
    <w:rsid w:val="0050333F"/>
    <w:rsid w:val="005176CF"/>
    <w:rsid w:val="00521A64"/>
    <w:rsid w:val="005251AA"/>
    <w:rsid w:val="005316DD"/>
    <w:rsid w:val="00545D1D"/>
    <w:rsid w:val="00546DB6"/>
    <w:rsid w:val="00551B2F"/>
    <w:rsid w:val="00553759"/>
    <w:rsid w:val="00554CB3"/>
    <w:rsid w:val="005825B1"/>
    <w:rsid w:val="0058424B"/>
    <w:rsid w:val="00591CE3"/>
    <w:rsid w:val="005D30B5"/>
    <w:rsid w:val="005F2A21"/>
    <w:rsid w:val="0061130E"/>
    <w:rsid w:val="006113A1"/>
    <w:rsid w:val="0063005E"/>
    <w:rsid w:val="006342C8"/>
    <w:rsid w:val="00635A42"/>
    <w:rsid w:val="006512FE"/>
    <w:rsid w:val="0065766A"/>
    <w:rsid w:val="00661421"/>
    <w:rsid w:val="00672929"/>
    <w:rsid w:val="00694014"/>
    <w:rsid w:val="0069631E"/>
    <w:rsid w:val="006B31A1"/>
    <w:rsid w:val="006C0C1D"/>
    <w:rsid w:val="006C3951"/>
    <w:rsid w:val="006C5CB8"/>
    <w:rsid w:val="006E771D"/>
    <w:rsid w:val="006F2701"/>
    <w:rsid w:val="006F356F"/>
    <w:rsid w:val="006F40C7"/>
    <w:rsid w:val="00716845"/>
    <w:rsid w:val="007208DF"/>
    <w:rsid w:val="00723346"/>
    <w:rsid w:val="00726F4D"/>
    <w:rsid w:val="00732983"/>
    <w:rsid w:val="00733711"/>
    <w:rsid w:val="00733E89"/>
    <w:rsid w:val="00737D30"/>
    <w:rsid w:val="007437B3"/>
    <w:rsid w:val="00794172"/>
    <w:rsid w:val="007A37E9"/>
    <w:rsid w:val="007A4900"/>
    <w:rsid w:val="007A7696"/>
    <w:rsid w:val="007B744A"/>
    <w:rsid w:val="007C53E5"/>
    <w:rsid w:val="007E2727"/>
    <w:rsid w:val="007E31A8"/>
    <w:rsid w:val="007E5603"/>
    <w:rsid w:val="007F5743"/>
    <w:rsid w:val="00810C4C"/>
    <w:rsid w:val="00834A64"/>
    <w:rsid w:val="00834C0F"/>
    <w:rsid w:val="00843979"/>
    <w:rsid w:val="008461AA"/>
    <w:rsid w:val="00850A51"/>
    <w:rsid w:val="008516C9"/>
    <w:rsid w:val="00863D4F"/>
    <w:rsid w:val="00873709"/>
    <w:rsid w:val="008918AA"/>
    <w:rsid w:val="008B0FCB"/>
    <w:rsid w:val="008E4F29"/>
    <w:rsid w:val="008E599A"/>
    <w:rsid w:val="008F3523"/>
    <w:rsid w:val="00900557"/>
    <w:rsid w:val="00917292"/>
    <w:rsid w:val="009308CA"/>
    <w:rsid w:val="0093760F"/>
    <w:rsid w:val="00952BA0"/>
    <w:rsid w:val="00954D4B"/>
    <w:rsid w:val="00967932"/>
    <w:rsid w:val="00981AF5"/>
    <w:rsid w:val="009902B6"/>
    <w:rsid w:val="009A13FE"/>
    <w:rsid w:val="009A2F70"/>
    <w:rsid w:val="009A7475"/>
    <w:rsid w:val="009A75E7"/>
    <w:rsid w:val="009B0804"/>
    <w:rsid w:val="009B1631"/>
    <w:rsid w:val="009C0B8F"/>
    <w:rsid w:val="009C5BD6"/>
    <w:rsid w:val="009C5F1A"/>
    <w:rsid w:val="009C69D3"/>
    <w:rsid w:val="009D46B5"/>
    <w:rsid w:val="009E51F7"/>
    <w:rsid w:val="009E6419"/>
    <w:rsid w:val="009F0F0F"/>
    <w:rsid w:val="00A36DC8"/>
    <w:rsid w:val="00A516D4"/>
    <w:rsid w:val="00A53D38"/>
    <w:rsid w:val="00A570F2"/>
    <w:rsid w:val="00A92AA3"/>
    <w:rsid w:val="00A94649"/>
    <w:rsid w:val="00AB263E"/>
    <w:rsid w:val="00AB5E1E"/>
    <w:rsid w:val="00AC1966"/>
    <w:rsid w:val="00AD242D"/>
    <w:rsid w:val="00AD3AFA"/>
    <w:rsid w:val="00AE2EAE"/>
    <w:rsid w:val="00AF1789"/>
    <w:rsid w:val="00AF510B"/>
    <w:rsid w:val="00B05097"/>
    <w:rsid w:val="00B21437"/>
    <w:rsid w:val="00B244E9"/>
    <w:rsid w:val="00B25455"/>
    <w:rsid w:val="00B475EB"/>
    <w:rsid w:val="00B507DD"/>
    <w:rsid w:val="00B53178"/>
    <w:rsid w:val="00B56A4B"/>
    <w:rsid w:val="00B729C5"/>
    <w:rsid w:val="00B80818"/>
    <w:rsid w:val="00B81BC1"/>
    <w:rsid w:val="00B8704B"/>
    <w:rsid w:val="00B96B7C"/>
    <w:rsid w:val="00B96F21"/>
    <w:rsid w:val="00BA1E0E"/>
    <w:rsid w:val="00BE4693"/>
    <w:rsid w:val="00BF02B0"/>
    <w:rsid w:val="00C07F7C"/>
    <w:rsid w:val="00C13F8A"/>
    <w:rsid w:val="00C23A4D"/>
    <w:rsid w:val="00C2402E"/>
    <w:rsid w:val="00C30261"/>
    <w:rsid w:val="00C478F5"/>
    <w:rsid w:val="00C50F06"/>
    <w:rsid w:val="00C7789B"/>
    <w:rsid w:val="00C8092B"/>
    <w:rsid w:val="00C95211"/>
    <w:rsid w:val="00C95E5A"/>
    <w:rsid w:val="00C96D93"/>
    <w:rsid w:val="00C97188"/>
    <w:rsid w:val="00CA7131"/>
    <w:rsid w:val="00CB595F"/>
    <w:rsid w:val="00CC78F1"/>
    <w:rsid w:val="00CF0AC7"/>
    <w:rsid w:val="00CF686F"/>
    <w:rsid w:val="00D14991"/>
    <w:rsid w:val="00D16A41"/>
    <w:rsid w:val="00D17893"/>
    <w:rsid w:val="00D20095"/>
    <w:rsid w:val="00D327F2"/>
    <w:rsid w:val="00D442B8"/>
    <w:rsid w:val="00D4430B"/>
    <w:rsid w:val="00D56788"/>
    <w:rsid w:val="00D74466"/>
    <w:rsid w:val="00D9563E"/>
    <w:rsid w:val="00DA063F"/>
    <w:rsid w:val="00DA1760"/>
    <w:rsid w:val="00DA7FA5"/>
    <w:rsid w:val="00DB33A9"/>
    <w:rsid w:val="00DB7518"/>
    <w:rsid w:val="00DC5E4D"/>
    <w:rsid w:val="00DD1E55"/>
    <w:rsid w:val="00DD4E17"/>
    <w:rsid w:val="00DD53D2"/>
    <w:rsid w:val="00DE6A55"/>
    <w:rsid w:val="00E036F1"/>
    <w:rsid w:val="00E101E0"/>
    <w:rsid w:val="00E15261"/>
    <w:rsid w:val="00E22DFF"/>
    <w:rsid w:val="00E3034A"/>
    <w:rsid w:val="00E459B6"/>
    <w:rsid w:val="00E46D70"/>
    <w:rsid w:val="00E60E02"/>
    <w:rsid w:val="00E74B1B"/>
    <w:rsid w:val="00E769B0"/>
    <w:rsid w:val="00E82894"/>
    <w:rsid w:val="00E94FDB"/>
    <w:rsid w:val="00EA2BB2"/>
    <w:rsid w:val="00EA5E39"/>
    <w:rsid w:val="00EB58F5"/>
    <w:rsid w:val="00EB6B6B"/>
    <w:rsid w:val="00EC1896"/>
    <w:rsid w:val="00EC3F00"/>
    <w:rsid w:val="00ED3C5B"/>
    <w:rsid w:val="00ED5FB2"/>
    <w:rsid w:val="00EE7199"/>
    <w:rsid w:val="00EF00AC"/>
    <w:rsid w:val="00F25EC1"/>
    <w:rsid w:val="00F507E6"/>
    <w:rsid w:val="00F54717"/>
    <w:rsid w:val="00F562F7"/>
    <w:rsid w:val="00F573E4"/>
    <w:rsid w:val="00F61A42"/>
    <w:rsid w:val="00F64EDB"/>
    <w:rsid w:val="00F82D42"/>
    <w:rsid w:val="00F86ED5"/>
    <w:rsid w:val="00F92E27"/>
    <w:rsid w:val="00FA19CB"/>
    <w:rsid w:val="00FA39C7"/>
    <w:rsid w:val="00FC2EE1"/>
    <w:rsid w:val="00FC66C9"/>
    <w:rsid w:val="00FD6597"/>
    <w:rsid w:val="026A3FC2"/>
    <w:rsid w:val="04096F7B"/>
    <w:rsid w:val="251876C1"/>
    <w:rsid w:val="2907142C"/>
    <w:rsid w:val="2A4603E2"/>
    <w:rsid w:val="37FF7BD2"/>
    <w:rsid w:val="3891541D"/>
    <w:rsid w:val="48C7608A"/>
    <w:rsid w:val="4AE610E1"/>
    <w:rsid w:val="56D5765A"/>
    <w:rsid w:val="67E90C4A"/>
    <w:rsid w:val="737664E5"/>
    <w:rsid w:val="7560757C"/>
    <w:rsid w:val="777FADF4"/>
    <w:rsid w:val="78583260"/>
    <w:rsid w:val="7DB627E1"/>
    <w:rsid w:val="7DFFBFA2"/>
    <w:rsid w:val="7EDDA77D"/>
    <w:rsid w:val="7FBEB549"/>
    <w:rsid w:val="7FFDEA8B"/>
    <w:rsid w:val="A7D67964"/>
    <w:rsid w:val="AFFEC8AC"/>
    <w:rsid w:val="B6DE702D"/>
    <w:rsid w:val="D7AF695B"/>
    <w:rsid w:val="DF6AD58F"/>
    <w:rsid w:val="E37EC727"/>
    <w:rsid w:val="E44F3510"/>
    <w:rsid w:val="F9EF0452"/>
    <w:rsid w:val="FEDA2942"/>
    <w:rsid w:val="FFF17289"/>
    <w:rsid w:val="FFFFC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qFormat="1"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3"/>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2"/>
    <w:qFormat/>
    <w:uiPriority w:val="9"/>
    <w:pPr>
      <w:widowControl/>
      <w:spacing w:before="100" w:beforeAutospacing="1" w:after="100" w:afterAutospacing="1"/>
      <w:jc w:val="left"/>
      <w:outlineLvl w:val="1"/>
    </w:pPr>
    <w:rPr>
      <w:rFonts w:ascii="宋体" w:hAnsi="宋体" w:eastAsia="宋体" w:cs="宋体"/>
      <w:b/>
      <w:bCs/>
      <w:kern w:val="0"/>
      <w:sz w:val="36"/>
      <w:szCs w:val="36"/>
      <w14:ligatures w14:val="none"/>
    </w:rPr>
  </w:style>
  <w:style w:type="paragraph" w:styleId="4">
    <w:name w:val="heading 3"/>
    <w:basedOn w:val="1"/>
    <w:next w:val="1"/>
    <w:qFormat/>
    <w:uiPriority w:val="0"/>
    <w:pPr>
      <w:keepNext/>
      <w:keepLines/>
      <w:spacing w:line="500" w:lineRule="exact"/>
      <w:ind w:firstLine="1041" w:firstLineChars="200"/>
      <w:jc w:val="left"/>
      <w:outlineLvl w:val="2"/>
    </w:pPr>
    <w:rPr>
      <w:rFonts w:ascii="Times New Roman" w:hAnsi="Times New Roman" w:eastAsia="宋体"/>
      <w:b/>
      <w:bCs/>
    </w:rPr>
  </w:style>
  <w:style w:type="paragraph" w:styleId="5">
    <w:name w:val="heading 4"/>
    <w:basedOn w:val="1"/>
    <w:next w:val="1"/>
    <w:qFormat/>
    <w:uiPriority w:val="0"/>
    <w:pPr>
      <w:keepNext/>
      <w:keepLines/>
      <w:spacing w:beforeLines="0" w:beforeAutospacing="0" w:afterLines="0" w:afterAutospacing="0" w:line="500" w:lineRule="exact"/>
      <w:outlineLvl w:val="3"/>
    </w:pPr>
    <w:rPr>
      <w:rFonts w:ascii="Arial" w:hAnsi="Aria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List Number"/>
    <w:basedOn w:val="1"/>
    <w:semiHidden/>
    <w:unhideWhenUsed/>
    <w:qFormat/>
    <w:uiPriority w:val="99"/>
    <w:pPr>
      <w:numPr>
        <w:ilvl w:val="0"/>
        <w:numId w:val="1"/>
      </w:numPr>
    </w:pPr>
  </w:style>
  <w:style w:type="paragraph" w:styleId="7">
    <w:name w:val="Body Text"/>
    <w:basedOn w:val="1"/>
    <w:link w:val="18"/>
    <w:qFormat/>
    <w:uiPriority w:val="0"/>
    <w:rPr>
      <w:rFonts w:eastAsia="Arial"/>
      <w14:ligatures w14:val="none"/>
    </w:rPr>
  </w:style>
  <w:style w:type="paragraph" w:styleId="8">
    <w:name w:val="Body Text Indent"/>
    <w:basedOn w:val="1"/>
    <w:next w:val="9"/>
    <w:qFormat/>
    <w:uiPriority w:val="0"/>
    <w:pPr>
      <w:ind w:firstLine="519" w:firstLineChars="200"/>
    </w:pPr>
  </w:style>
  <w:style w:type="paragraph" w:styleId="9">
    <w:name w:val="Body Text First Indent 2"/>
    <w:basedOn w:val="8"/>
    <w:next w:val="10"/>
    <w:unhideWhenUsed/>
    <w:qFormat/>
    <w:uiPriority w:val="99"/>
    <w:pPr>
      <w:ind w:firstLine="420" w:firstLineChars="200"/>
    </w:pPr>
  </w:style>
  <w:style w:type="paragraph" w:styleId="10">
    <w:name w:val="Plain Text"/>
    <w:basedOn w:val="1"/>
    <w:next w:val="11"/>
    <w:qFormat/>
    <w:uiPriority w:val="0"/>
    <w:rPr>
      <w:rFonts w:ascii="宋体" w:hAnsi="Courier New" w:cs="Courier New"/>
      <w:sz w:val="21"/>
      <w:szCs w:val="21"/>
    </w:rPr>
  </w:style>
  <w:style w:type="paragraph" w:styleId="11">
    <w:name w:val="List Number 5"/>
    <w:basedOn w:val="1"/>
    <w:next w:val="6"/>
    <w:semiHidden/>
    <w:unhideWhenUsed/>
    <w:qFormat/>
    <w:uiPriority w:val="99"/>
    <w:pPr>
      <w:numPr>
        <w:ilvl w:val="0"/>
        <w:numId w:val="2"/>
      </w:numPr>
    </w:pPr>
  </w:style>
  <w:style w:type="paragraph" w:styleId="12">
    <w:name w:val="footer"/>
    <w:basedOn w:val="1"/>
    <w:next w:val="1"/>
    <w:link w:val="21"/>
    <w:unhideWhenUsed/>
    <w:qFormat/>
    <w:uiPriority w:val="99"/>
    <w:pPr>
      <w:tabs>
        <w:tab w:val="center" w:pos="4153"/>
        <w:tab w:val="right" w:pos="8306"/>
      </w:tabs>
      <w:snapToGrid w:val="0"/>
      <w:jc w:val="left"/>
    </w:pPr>
    <w:rPr>
      <w:sz w:val="18"/>
      <w:szCs w:val="18"/>
    </w:rPr>
  </w:style>
  <w:style w:type="paragraph" w:styleId="13">
    <w:name w:val="header"/>
    <w:basedOn w:val="1"/>
    <w:next w:val="12"/>
    <w:link w:val="20"/>
    <w:unhideWhenUsed/>
    <w:qFormat/>
    <w:uiPriority w:val="99"/>
    <w:pPr>
      <w:tabs>
        <w:tab w:val="center" w:pos="4153"/>
        <w:tab w:val="right" w:pos="8306"/>
      </w:tabs>
      <w:snapToGrid w:val="0"/>
      <w:jc w:val="center"/>
    </w:pPr>
    <w:rPr>
      <w:sz w:val="18"/>
      <w:szCs w:val="18"/>
    </w:rPr>
  </w:style>
  <w:style w:type="character" w:styleId="16">
    <w:name w:val="Strong"/>
    <w:basedOn w:val="15"/>
    <w:qFormat/>
    <w:uiPriority w:val="22"/>
    <w:rPr>
      <w:b/>
    </w:rPr>
  </w:style>
  <w:style w:type="character" w:styleId="17">
    <w:name w:val="Hyperlink"/>
    <w:basedOn w:val="15"/>
    <w:semiHidden/>
    <w:unhideWhenUsed/>
    <w:qFormat/>
    <w:uiPriority w:val="99"/>
    <w:rPr>
      <w:color w:val="0000FF"/>
      <w:u w:val="single"/>
    </w:rPr>
  </w:style>
  <w:style w:type="character" w:customStyle="1" w:styleId="18">
    <w:name w:val="正文文本 字符"/>
    <w:basedOn w:val="15"/>
    <w:link w:val="7"/>
    <w:qFormat/>
    <w:uiPriority w:val="0"/>
    <w:rPr>
      <w:rFonts w:eastAsia="Arial"/>
      <w14:ligatures w14:val="none"/>
    </w:rPr>
  </w:style>
  <w:style w:type="paragraph" w:styleId="19">
    <w:name w:val="List Paragraph"/>
    <w:basedOn w:val="1"/>
    <w:qFormat/>
    <w:uiPriority w:val="34"/>
    <w:pPr>
      <w:ind w:firstLine="420" w:firstLineChars="200"/>
    </w:pPr>
  </w:style>
  <w:style w:type="character" w:customStyle="1" w:styleId="20">
    <w:name w:val="页眉 字符"/>
    <w:basedOn w:val="15"/>
    <w:link w:val="13"/>
    <w:qFormat/>
    <w:uiPriority w:val="99"/>
    <w:rPr>
      <w:sz w:val="18"/>
      <w:szCs w:val="18"/>
    </w:rPr>
  </w:style>
  <w:style w:type="character" w:customStyle="1" w:styleId="21">
    <w:name w:val="页脚 字符"/>
    <w:basedOn w:val="15"/>
    <w:link w:val="12"/>
    <w:qFormat/>
    <w:uiPriority w:val="99"/>
    <w:rPr>
      <w:sz w:val="18"/>
      <w:szCs w:val="18"/>
    </w:rPr>
  </w:style>
  <w:style w:type="character" w:customStyle="1" w:styleId="22">
    <w:name w:val="标题 2 字符"/>
    <w:basedOn w:val="15"/>
    <w:link w:val="3"/>
    <w:uiPriority w:val="9"/>
    <w:rPr>
      <w:rFonts w:ascii="宋体" w:hAnsi="宋体" w:cs="宋体"/>
      <w:b/>
      <w:bCs/>
      <w:sz w:val="36"/>
      <w:szCs w:val="36"/>
    </w:rPr>
  </w:style>
  <w:style w:type="character" w:customStyle="1" w:styleId="23">
    <w:name w:val="标题 1 Char"/>
    <w:link w:val="2"/>
    <w:qFormat/>
    <w:uiPriority w:val="0"/>
    <w:rPr>
      <w:b/>
      <w:kern w:val="44"/>
      <w:sz w:val="44"/>
    </w:rPr>
  </w:style>
  <w:style w:type="paragraph" w:customStyle="1" w:styleId="24">
    <w:name w:val="MZQ正文"/>
    <w:basedOn w:val="1"/>
    <w:qFormat/>
    <w:uiPriority w:val="0"/>
    <w:pPr>
      <w:widowControl w:val="0"/>
      <w:spacing w:line="480" w:lineRule="exact"/>
      <w:ind w:firstLine="200" w:firstLineChars="200"/>
      <w:jc w:val="both"/>
    </w:pPr>
    <w:rPr>
      <w:sz w:val="24"/>
    </w:rPr>
  </w:style>
  <w:style w:type="paragraph" w:customStyle="1" w:styleId="25">
    <w:name w:val="Default"/>
    <w:qFormat/>
    <w:uiPriority w:val="0"/>
    <w:pPr>
      <w:autoSpaceDE w:val="0"/>
      <w:autoSpaceDN w:val="0"/>
      <w:adjustRightInd w:val="0"/>
    </w:pPr>
    <w:rPr>
      <w:rFonts w:ascii="楷体" w:hAnsi="Calibri" w:eastAsia="楷体" w:cs="楷体"/>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46</Pages>
  <Words>587</Words>
  <Characters>3351</Characters>
  <Lines>27</Lines>
  <Paragraphs>7</Paragraphs>
  <TotalTime>1</TotalTime>
  <ScaleCrop>false</ScaleCrop>
  <LinksUpToDate>false</LinksUpToDate>
  <CharactersWithSpaces>3931</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2025-03-27T01:46:00Z</dcterms:created>
  <dc:creator>liu han</dc:creator>
  <cp:lastModifiedBy>妹丽</cp:lastModifiedBy>
  <dcterms:modified xsi:type="dcterms:W3CDTF">2026-02-26T18:48:23Z</dcterms:modified>
  <cp:revision>304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5731DD32465FF81FF4E49F69F9DAF4AD_43</vt:lpwstr>
  </property>
</Properties>
</file>