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17761">
      <w:pPr>
        <w:pStyle w:val="8"/>
        <w:spacing w:line="360" w:lineRule="auto"/>
        <w:jc w:val="center"/>
        <w:rPr>
          <w:rFonts w:ascii="Times New Roman" w:hAnsi="Times New Roman" w:eastAsia="宋体" w:cs="Times New Roman"/>
          <w:b/>
          <w:sz w:val="48"/>
          <w:szCs w:val="48"/>
        </w:rPr>
      </w:pPr>
    </w:p>
    <w:p w14:paraId="6B817762">
      <w:pPr>
        <w:pStyle w:val="8"/>
        <w:spacing w:line="360" w:lineRule="auto"/>
        <w:jc w:val="center"/>
        <w:rPr>
          <w:rFonts w:ascii="Times New Roman" w:hAnsi="Times New Roman" w:eastAsia="宋体" w:cs="Times New Roman"/>
          <w:b/>
          <w:sz w:val="48"/>
          <w:szCs w:val="48"/>
        </w:rPr>
      </w:pPr>
    </w:p>
    <w:p w14:paraId="6B817763">
      <w:pPr>
        <w:pStyle w:val="8"/>
        <w:spacing w:line="360" w:lineRule="auto"/>
        <w:jc w:val="center"/>
        <w:rPr>
          <w:rFonts w:ascii="Times New Roman" w:hAnsi="Times New Roman" w:eastAsia="宋体" w:cs="Times New Roman"/>
          <w:b/>
          <w:sz w:val="48"/>
          <w:szCs w:val="48"/>
        </w:rPr>
      </w:pPr>
    </w:p>
    <w:p w14:paraId="0DFC8B46">
      <w:pPr>
        <w:pStyle w:val="8"/>
        <w:spacing w:line="360" w:lineRule="auto"/>
        <w:jc w:val="both"/>
        <w:rPr>
          <w:rFonts w:hint="eastAsia" w:ascii="Times New Roman" w:hAnsi="Times New Roman" w:eastAsia="宋体" w:cs="Times New Roman"/>
          <w:b/>
          <w:sz w:val="48"/>
          <w:szCs w:val="48"/>
          <w:lang w:val="en-US" w:eastAsia="zh-CN"/>
        </w:rPr>
      </w:pPr>
      <w:bookmarkStart w:id="0" w:name="_Toc799466465"/>
      <w:bookmarkStart w:id="1" w:name="_Toc7574613"/>
    </w:p>
    <w:bookmarkEnd w:id="0"/>
    <w:bookmarkEnd w:id="1"/>
    <w:p w14:paraId="08F37A39">
      <w:pPr>
        <w:pStyle w:val="8"/>
        <w:spacing w:line="360" w:lineRule="auto"/>
        <w:jc w:val="center"/>
        <w:rPr>
          <w:rFonts w:hint="eastAsia" w:ascii="微软雅黑" w:hAnsi="微软雅黑" w:eastAsia="微软雅黑" w:cs="微软雅黑"/>
          <w:b/>
          <w:sz w:val="48"/>
          <w:szCs w:val="48"/>
          <w:lang w:val="en-US" w:eastAsia="zh-CN"/>
        </w:rPr>
      </w:pPr>
      <w:bookmarkStart w:id="40" w:name="_GoBack"/>
      <w:r>
        <w:rPr>
          <w:rFonts w:hint="eastAsia" w:ascii="微软雅黑" w:hAnsi="微软雅黑" w:eastAsia="微软雅黑" w:cs="微软雅黑"/>
          <w:b/>
          <w:sz w:val="48"/>
          <w:szCs w:val="48"/>
          <w:lang w:val="en-US" w:eastAsia="zh-CN"/>
        </w:rPr>
        <w:t>烟碱和水分检测</w:t>
      </w:r>
    </w:p>
    <w:p w14:paraId="08A6305C">
      <w:pPr>
        <w:pStyle w:val="8"/>
        <w:spacing w:line="360" w:lineRule="auto"/>
        <w:jc w:val="center"/>
        <w:rPr>
          <w:rFonts w:hint="eastAsia" w:ascii="微软雅黑" w:hAnsi="微软雅黑" w:eastAsia="微软雅黑" w:cs="微软雅黑"/>
          <w:b/>
          <w:sz w:val="48"/>
          <w:szCs w:val="48"/>
          <w:lang w:val="en-US" w:eastAsia="zh-CN"/>
        </w:rPr>
      </w:pPr>
      <w:r>
        <w:rPr>
          <w:rFonts w:hint="eastAsia" w:ascii="微软雅黑" w:hAnsi="微软雅黑" w:eastAsia="微软雅黑" w:cs="微软雅黑"/>
          <w:b/>
          <w:sz w:val="48"/>
          <w:szCs w:val="48"/>
          <w:lang w:val="en-US" w:eastAsia="zh-CN"/>
        </w:rPr>
        <w:t>自动化检测技术方案</w:t>
      </w:r>
    </w:p>
    <w:bookmarkEnd w:id="40"/>
    <w:p w14:paraId="6B817768">
      <w:pPr>
        <w:jc w:val="left"/>
        <w:rPr>
          <w:rFonts w:ascii="Times New Roman" w:hAnsi="Times New Roman" w:eastAsia="宋体" w:cs="Times New Roman"/>
        </w:rPr>
      </w:pPr>
    </w:p>
    <w:p w14:paraId="6B817769">
      <w:pPr>
        <w:jc w:val="left"/>
        <w:rPr>
          <w:rFonts w:ascii="Times New Roman" w:hAnsi="Times New Roman" w:eastAsia="宋体" w:cs="Times New Roman"/>
        </w:rPr>
      </w:pPr>
    </w:p>
    <w:p w14:paraId="6B81776A">
      <w:pPr>
        <w:jc w:val="left"/>
        <w:rPr>
          <w:rFonts w:ascii="Times New Roman" w:hAnsi="Times New Roman" w:eastAsia="宋体" w:cs="Times New Roman"/>
        </w:rPr>
      </w:pPr>
    </w:p>
    <w:p w14:paraId="6B81776B">
      <w:pPr>
        <w:jc w:val="left"/>
        <w:rPr>
          <w:rFonts w:ascii="Times New Roman" w:hAnsi="Times New Roman" w:eastAsia="宋体" w:cs="Times New Roman"/>
        </w:rPr>
      </w:pPr>
    </w:p>
    <w:p w14:paraId="6B81776C">
      <w:pPr>
        <w:jc w:val="left"/>
        <w:rPr>
          <w:rFonts w:ascii="Times New Roman" w:hAnsi="Times New Roman" w:eastAsia="宋体" w:cs="Times New Roman"/>
        </w:rPr>
      </w:pPr>
    </w:p>
    <w:p w14:paraId="6B81776D">
      <w:pPr>
        <w:jc w:val="left"/>
        <w:rPr>
          <w:rFonts w:ascii="Times New Roman" w:hAnsi="Times New Roman" w:eastAsia="宋体" w:cs="Times New Roman"/>
        </w:rPr>
      </w:pPr>
    </w:p>
    <w:p w14:paraId="6B81776E">
      <w:pPr>
        <w:rPr>
          <w:rFonts w:ascii="Times New Roman" w:hAnsi="Times New Roman" w:eastAsia="宋体" w:cs="Times New Roman"/>
        </w:rPr>
      </w:pPr>
    </w:p>
    <w:p w14:paraId="6B81776F">
      <w:pPr>
        <w:rPr>
          <w:rFonts w:ascii="Times New Roman" w:hAnsi="Times New Roman" w:eastAsia="宋体" w:cs="Times New Roman"/>
        </w:rPr>
      </w:pPr>
    </w:p>
    <w:p w14:paraId="6B817770">
      <w:pPr>
        <w:rPr>
          <w:rFonts w:ascii="Times New Roman" w:hAnsi="Times New Roman" w:eastAsia="宋体" w:cs="Times New Roman"/>
        </w:rPr>
      </w:pPr>
    </w:p>
    <w:p w14:paraId="6B817771">
      <w:pPr>
        <w:rPr>
          <w:rFonts w:ascii="Times New Roman" w:hAnsi="Times New Roman" w:eastAsia="宋体" w:cs="Times New Roman"/>
        </w:rPr>
      </w:pPr>
    </w:p>
    <w:p w14:paraId="6B817772">
      <w:pPr>
        <w:rPr>
          <w:rFonts w:ascii="Times New Roman" w:hAnsi="Times New Roman" w:eastAsia="宋体" w:cs="Times New Roman"/>
        </w:rPr>
      </w:pPr>
    </w:p>
    <w:p w14:paraId="6B817773">
      <w:pPr>
        <w:rPr>
          <w:rFonts w:ascii="Times New Roman" w:hAnsi="Times New Roman" w:eastAsia="宋体" w:cs="Times New Roman"/>
        </w:rPr>
      </w:pPr>
    </w:p>
    <w:p w14:paraId="6B817774">
      <w:pPr>
        <w:rPr>
          <w:rFonts w:ascii="Times New Roman" w:hAnsi="Times New Roman" w:eastAsia="宋体" w:cs="Times New Roman"/>
        </w:rPr>
      </w:pPr>
    </w:p>
    <w:p w14:paraId="6B817775">
      <w:pPr>
        <w:rPr>
          <w:rFonts w:ascii="Times New Roman" w:hAnsi="Times New Roman" w:eastAsia="宋体" w:cs="Times New Roman"/>
        </w:rPr>
      </w:pPr>
    </w:p>
    <w:p w14:paraId="33D9A459">
      <w:pPr>
        <w:rPr>
          <w:rFonts w:ascii="Times New Roman" w:hAnsi="Times New Roman" w:eastAsia="宋体" w:cs="Times New Roman"/>
        </w:rPr>
      </w:pPr>
    </w:p>
    <w:p w14:paraId="35207851">
      <w:pPr>
        <w:rPr>
          <w:rFonts w:ascii="Times New Roman" w:hAnsi="Times New Roman" w:eastAsia="宋体" w:cs="Times New Roman"/>
        </w:rPr>
      </w:pPr>
    </w:p>
    <w:p w14:paraId="6B817776">
      <w:pPr>
        <w:rPr>
          <w:rFonts w:ascii="Times New Roman" w:hAnsi="Times New Roman" w:eastAsia="宋体" w:cs="Times New Roman"/>
        </w:rPr>
      </w:pPr>
    </w:p>
    <w:p w14:paraId="6B817777">
      <w:pPr>
        <w:rPr>
          <w:rFonts w:ascii="Times New Roman" w:hAnsi="Times New Roman" w:eastAsia="宋体" w:cs="Times New Roman"/>
        </w:rPr>
      </w:pPr>
    </w:p>
    <w:p w14:paraId="6B817778">
      <w:pPr>
        <w:spacing w:line="360" w:lineRule="auto"/>
        <w:jc w:val="cente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百泉聚兴（北京）科技有限公司</w:t>
      </w:r>
    </w:p>
    <w:p w14:paraId="6B817779">
      <w:pPr>
        <w:spacing w:line="360" w:lineRule="auto"/>
        <w:jc w:val="center"/>
        <w:rPr>
          <w:rFonts w:hint="eastAsia" w:ascii="微软雅黑" w:hAnsi="微软雅黑" w:eastAsia="微软雅黑" w:cs="微软雅黑"/>
          <w:b/>
          <w:bCs/>
          <w:sz w:val="28"/>
          <w:szCs w:val="28"/>
        </w:rPr>
      </w:pPr>
      <w:r>
        <w:rPr>
          <w:rFonts w:hint="eastAsia" w:ascii="微软雅黑" w:hAnsi="微软雅黑" w:eastAsia="微软雅黑" w:cs="微软雅黑"/>
          <w:b/>
          <w:bCs/>
          <w:sz w:val="28"/>
          <w:szCs w:val="28"/>
        </w:rPr>
        <w:t>202</w:t>
      </w:r>
      <w:r>
        <w:rPr>
          <w:rFonts w:hint="eastAsia" w:ascii="微软雅黑" w:hAnsi="微软雅黑" w:eastAsia="微软雅黑" w:cs="微软雅黑"/>
          <w:b/>
          <w:bCs/>
          <w:sz w:val="28"/>
          <w:szCs w:val="28"/>
          <w:lang w:val="en-US" w:eastAsia="zh-CN"/>
        </w:rPr>
        <w:t>6</w:t>
      </w:r>
      <w:r>
        <w:rPr>
          <w:rFonts w:hint="eastAsia" w:ascii="微软雅黑" w:hAnsi="微软雅黑" w:eastAsia="微软雅黑" w:cs="微软雅黑"/>
          <w:b/>
          <w:bCs/>
          <w:sz w:val="28"/>
          <w:szCs w:val="28"/>
        </w:rPr>
        <w:t>年</w:t>
      </w:r>
      <w:r>
        <w:rPr>
          <w:rFonts w:hint="eastAsia" w:ascii="微软雅黑" w:hAnsi="微软雅黑" w:eastAsia="微软雅黑" w:cs="微软雅黑"/>
          <w:b/>
          <w:bCs/>
          <w:sz w:val="28"/>
          <w:szCs w:val="28"/>
          <w:lang w:val="en-US" w:eastAsia="zh-CN"/>
        </w:rPr>
        <w:t>3</w:t>
      </w:r>
      <w:r>
        <w:rPr>
          <w:rFonts w:hint="eastAsia" w:ascii="微软雅黑" w:hAnsi="微软雅黑" w:eastAsia="微软雅黑" w:cs="微软雅黑"/>
          <w:b/>
          <w:bCs/>
          <w:sz w:val="28"/>
          <w:szCs w:val="28"/>
        </w:rPr>
        <w:t>月</w:t>
      </w:r>
    </w:p>
    <w:p w14:paraId="6B81777A">
      <w:pPr>
        <w:rPr>
          <w:rFonts w:ascii="Times New Roman" w:hAnsi="Times New Roman" w:eastAsia="宋体" w:cs="Times New Roman"/>
        </w:rPr>
      </w:pPr>
    </w:p>
    <w:p w14:paraId="6B81777B">
      <w:pPr>
        <w:rPr>
          <w:rFonts w:ascii="Times New Roman" w:hAnsi="Times New Roman" w:eastAsia="宋体" w:cs="Times New Roman"/>
        </w:rPr>
      </w:pPr>
    </w:p>
    <w:p w14:paraId="6B81777C">
      <w:pPr>
        <w:rPr>
          <w:rFonts w:ascii="Times New Roman" w:hAnsi="Times New Roman" w:eastAsia="宋体" w:cs="Times New Roman"/>
        </w:rPr>
      </w:pPr>
    </w:p>
    <w:p w14:paraId="6B81777D">
      <w:pPr>
        <w:rPr>
          <w:rFonts w:ascii="Times New Roman" w:hAnsi="Times New Roman" w:eastAsia="宋体" w:cs="Times New Roman"/>
        </w:rPr>
      </w:pPr>
    </w:p>
    <w:p w14:paraId="6B81777E">
      <w:pPr>
        <w:rPr>
          <w:rFonts w:ascii="Times New Roman" w:hAnsi="Times New Roman" w:eastAsia="宋体" w:cs="Times New Roman"/>
        </w:rPr>
      </w:pPr>
    </w:p>
    <w:p w14:paraId="61BE7B3D">
      <w:pPr>
        <w:pStyle w:val="2"/>
        <w:rPr>
          <w:rFonts w:ascii="Times New Roman" w:hAnsi="Times New Roman" w:eastAsia="宋体" w:cs="Times New Roman"/>
        </w:rPr>
      </w:pPr>
    </w:p>
    <w:p w14:paraId="566684D9">
      <w:pPr>
        <w:rPr>
          <w:rFonts w:ascii="Times New Roman" w:hAnsi="Times New Roman" w:eastAsia="宋体" w:cs="Times New Roman"/>
        </w:rPr>
      </w:pPr>
    </w:p>
    <w:p w14:paraId="6D3F142B">
      <w:pPr>
        <w:pStyle w:val="2"/>
        <w:rPr>
          <w:rFonts w:ascii="Times New Roman" w:hAnsi="Times New Roman" w:eastAsia="宋体" w:cs="Times New Roman"/>
        </w:rPr>
      </w:pPr>
    </w:p>
    <w:p w14:paraId="72D06BAE">
      <w:pPr>
        <w:rPr>
          <w:rFonts w:ascii="Times New Roman" w:hAnsi="Times New Roman" w:eastAsia="宋体" w:cs="Times New Roman"/>
        </w:rPr>
      </w:pPr>
    </w:p>
    <w:p w14:paraId="44A5C1CF">
      <w:pPr>
        <w:pStyle w:val="2"/>
        <w:rPr>
          <w:rFonts w:ascii="Times New Roman" w:hAnsi="Times New Roman" w:eastAsia="宋体" w:cs="Times New Roman"/>
        </w:rPr>
      </w:pPr>
    </w:p>
    <w:p w14:paraId="7D0A9355"/>
    <w:sdt>
      <w:sdtPr>
        <w:rPr>
          <w:rFonts w:ascii="宋体" w:hAnsi="宋体" w:eastAsia="宋体" w:cstheme="minorBidi"/>
          <w:kern w:val="2"/>
          <w:sz w:val="21"/>
          <w:szCs w:val="22"/>
          <w:lang w:val="en-US" w:eastAsia="zh-CN" w:bidi="ar-SA"/>
          <w14:ligatures w14:val="standardContextual"/>
        </w:rPr>
        <w:id w:val="374836974"/>
        <w15:color w:val="DBDBDB"/>
        <w:docPartObj>
          <w:docPartGallery w:val="Table of Contents"/>
          <w:docPartUnique/>
        </w:docPartObj>
      </w:sdtPr>
      <w:sdtEndPr>
        <w:rPr>
          <w:rFonts w:ascii="Times New Roman" w:hAnsi="Times New Roman" w:eastAsia="宋体" w:cs="Times New Roman"/>
          <w:kern w:val="2"/>
          <w:sz w:val="21"/>
          <w:szCs w:val="22"/>
          <w:lang w:val="en-US" w:eastAsia="zh-CN" w:bidi="ar-SA"/>
          <w14:ligatures w14:val="standardContextual"/>
        </w:rPr>
      </w:sdtEndPr>
      <w:sdtContent>
        <w:p w14:paraId="3E0E3E6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80BE164">
          <w:pPr>
            <w:pStyle w:val="26"/>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TOC \o "1-3" \h \u </w:instrText>
          </w:r>
          <w:r>
            <w:rPr>
              <w:rFonts w:ascii="Times New Roman" w:hAnsi="Times New Roman" w:eastAsia="宋体" w:cs="Times New Roman"/>
            </w:rPr>
            <w:fldChar w:fldCharType="separate"/>
          </w:r>
          <w:r>
            <w:rPr>
              <w:rFonts w:ascii="Times New Roman" w:hAnsi="Times New Roman" w:eastAsia="宋体" w:cs="Times New Roman"/>
            </w:rPr>
            <w:fldChar w:fldCharType="begin"/>
          </w:r>
          <w:r>
            <w:rPr>
              <w:rFonts w:ascii="Times New Roman" w:hAnsi="Times New Roman" w:eastAsia="宋体" w:cs="Times New Roman"/>
            </w:rPr>
            <w:instrText xml:space="preserve"> HYPERLINK \l _Toc27713064 </w:instrText>
          </w:r>
          <w:r>
            <w:rPr>
              <w:rFonts w:ascii="Times New Roman" w:hAnsi="Times New Roman" w:eastAsia="宋体" w:cs="Times New Roman"/>
            </w:rPr>
            <w:fldChar w:fldCharType="separate"/>
          </w:r>
          <w:r>
            <w:rPr>
              <w:rFonts w:hint="default" w:ascii="仿宋" w:hAnsi="仿宋" w:eastAsia="仿宋" w:cs="仿宋"/>
              <w:szCs w:val="36"/>
            </w:rPr>
            <w:t xml:space="preserve">一、 </w:t>
          </w:r>
          <w:r>
            <w:rPr>
              <w:rFonts w:hint="eastAsia" w:ascii="仿宋" w:hAnsi="仿宋" w:eastAsia="仿宋" w:cs="仿宋"/>
              <w:szCs w:val="36"/>
              <w:lang w:val="en-US" w:eastAsia="zh-CN"/>
            </w:rPr>
            <w:t>项目概述</w:t>
          </w:r>
          <w:r>
            <w:tab/>
          </w:r>
          <w:r>
            <w:fldChar w:fldCharType="begin"/>
          </w:r>
          <w:r>
            <w:instrText xml:space="preserve"> PAGEREF _Toc27713064 \h </w:instrText>
          </w:r>
          <w:r>
            <w:fldChar w:fldCharType="separate"/>
          </w:r>
          <w:r>
            <w:t>3</w:t>
          </w:r>
          <w:r>
            <w:fldChar w:fldCharType="end"/>
          </w:r>
          <w:r>
            <w:rPr>
              <w:rFonts w:ascii="Times New Roman" w:hAnsi="Times New Roman" w:eastAsia="宋体" w:cs="Times New Roman"/>
            </w:rPr>
            <w:fldChar w:fldCharType="end"/>
          </w:r>
        </w:p>
        <w:p w14:paraId="34AD67EC">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_Toc1916998896 </w:instrText>
          </w:r>
          <w:r>
            <w:rPr>
              <w:rFonts w:ascii="Times New Roman" w:hAnsi="Times New Roman" w:eastAsia="宋体" w:cs="Times New Roman"/>
            </w:rPr>
            <w:fldChar w:fldCharType="separate"/>
          </w:r>
          <w:r>
            <w:rPr>
              <w:rFonts w:hint="eastAsia" w:ascii="仿宋" w:hAnsi="仿宋" w:eastAsia="仿宋" w:cs="宋体"/>
              <w:kern w:val="0"/>
              <w:szCs w:val="28"/>
              <w:lang w:val="en-US" w:eastAsia="zh-CN"/>
              <w14:ligatures w14:val="none"/>
            </w:rPr>
            <w:t>1.1 项目目标</w:t>
          </w:r>
          <w:r>
            <w:tab/>
          </w:r>
          <w:r>
            <w:fldChar w:fldCharType="begin"/>
          </w:r>
          <w:r>
            <w:instrText xml:space="preserve"> PAGEREF _Toc1916998896 \h </w:instrText>
          </w:r>
          <w:r>
            <w:fldChar w:fldCharType="separate"/>
          </w:r>
          <w:r>
            <w:t>3</w:t>
          </w:r>
          <w:r>
            <w:fldChar w:fldCharType="end"/>
          </w:r>
          <w:r>
            <w:rPr>
              <w:rFonts w:ascii="Times New Roman" w:hAnsi="Times New Roman" w:eastAsia="宋体" w:cs="Times New Roman"/>
            </w:rPr>
            <w:fldChar w:fldCharType="end"/>
          </w:r>
        </w:p>
        <w:p w14:paraId="38D04F55">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_Toc303289131 </w:instrText>
          </w:r>
          <w:r>
            <w:rPr>
              <w:rFonts w:ascii="Times New Roman" w:hAnsi="Times New Roman" w:eastAsia="宋体" w:cs="Times New Roman"/>
            </w:rPr>
            <w:fldChar w:fldCharType="separate"/>
          </w:r>
          <w:r>
            <w:rPr>
              <w:rFonts w:hint="eastAsia" w:ascii="仿宋" w:hAnsi="仿宋" w:eastAsia="仿宋" w:cs="宋体"/>
              <w:kern w:val="0"/>
              <w:szCs w:val="28"/>
              <w:lang w:val="en-US" w:eastAsia="zh-CN"/>
              <w14:ligatures w14:val="none"/>
            </w:rPr>
            <w:t>1.2 项目范围</w:t>
          </w:r>
          <w:r>
            <w:tab/>
          </w:r>
          <w:r>
            <w:fldChar w:fldCharType="begin"/>
          </w:r>
          <w:r>
            <w:instrText xml:space="preserve"> PAGEREF _Toc303289131 \h </w:instrText>
          </w:r>
          <w:r>
            <w:fldChar w:fldCharType="separate"/>
          </w:r>
          <w:r>
            <w:t>3</w:t>
          </w:r>
          <w:r>
            <w:fldChar w:fldCharType="end"/>
          </w:r>
          <w:r>
            <w:rPr>
              <w:rFonts w:ascii="Times New Roman" w:hAnsi="Times New Roman" w:eastAsia="宋体" w:cs="Times New Roman"/>
            </w:rPr>
            <w:fldChar w:fldCharType="end"/>
          </w:r>
        </w:p>
        <w:p w14:paraId="760B1325">
          <w:pPr>
            <w:pStyle w:val="26"/>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_Toc1401730386 </w:instrText>
          </w:r>
          <w:r>
            <w:rPr>
              <w:rFonts w:ascii="Times New Roman" w:hAnsi="Times New Roman" w:eastAsia="宋体" w:cs="Times New Roman"/>
            </w:rPr>
            <w:fldChar w:fldCharType="separate"/>
          </w:r>
          <w:r>
            <w:rPr>
              <w:rFonts w:hint="default" w:ascii="仿宋" w:hAnsi="仿宋" w:eastAsia="仿宋" w:cs="仿宋"/>
              <w:szCs w:val="36"/>
              <w:lang w:val="en-US" w:eastAsia="zh-CN"/>
            </w:rPr>
            <w:t xml:space="preserve">二、 </w:t>
          </w:r>
          <w:r>
            <w:rPr>
              <w:rFonts w:hint="eastAsia" w:ascii="仿宋" w:hAnsi="仿宋" w:eastAsia="仿宋" w:cs="仿宋"/>
              <w:szCs w:val="36"/>
              <w:lang w:val="en-US" w:eastAsia="zh-CN"/>
            </w:rPr>
            <w:t>自动化需求概述</w:t>
          </w:r>
          <w:r>
            <w:tab/>
          </w:r>
          <w:r>
            <w:fldChar w:fldCharType="begin"/>
          </w:r>
          <w:r>
            <w:instrText xml:space="preserve"> PAGEREF _Toc1401730386 \h </w:instrText>
          </w:r>
          <w:r>
            <w:fldChar w:fldCharType="separate"/>
          </w:r>
          <w:r>
            <w:t>4</w:t>
          </w:r>
          <w:r>
            <w:fldChar w:fldCharType="end"/>
          </w:r>
          <w:r>
            <w:rPr>
              <w:rFonts w:ascii="Times New Roman" w:hAnsi="Times New Roman" w:eastAsia="宋体" w:cs="Times New Roman"/>
            </w:rPr>
            <w:fldChar w:fldCharType="end"/>
          </w:r>
        </w:p>
        <w:p w14:paraId="1729966F">
          <w:pPr>
            <w:pStyle w:val="26"/>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_Toc986989912 </w:instrText>
          </w:r>
          <w:r>
            <w:rPr>
              <w:rFonts w:ascii="Times New Roman" w:hAnsi="Times New Roman" w:eastAsia="宋体" w:cs="Times New Roman"/>
            </w:rPr>
            <w:fldChar w:fldCharType="separate"/>
          </w:r>
          <w:r>
            <w:rPr>
              <w:rFonts w:hint="default" w:ascii="仿宋" w:hAnsi="仿宋" w:eastAsia="仿宋" w:cs="仿宋"/>
              <w:szCs w:val="36"/>
              <w:lang w:val="en-US" w:eastAsia="zh-CN"/>
            </w:rPr>
            <w:t xml:space="preserve">三、 </w:t>
          </w:r>
          <w:r>
            <w:rPr>
              <w:rFonts w:hint="eastAsia" w:ascii="仿宋" w:hAnsi="仿宋" w:eastAsia="仿宋" w:cs="仿宋"/>
              <w:szCs w:val="36"/>
              <w:lang w:val="en-US" w:eastAsia="zh-CN"/>
            </w:rPr>
            <w:t>自动化详细设计方案</w:t>
          </w:r>
          <w:r>
            <w:tab/>
          </w:r>
          <w:r>
            <w:fldChar w:fldCharType="begin"/>
          </w:r>
          <w:r>
            <w:instrText xml:space="preserve"> PAGEREF _Toc986989912 \h </w:instrText>
          </w:r>
          <w:r>
            <w:fldChar w:fldCharType="separate"/>
          </w:r>
          <w:r>
            <w:t>5</w:t>
          </w:r>
          <w:r>
            <w:fldChar w:fldCharType="end"/>
          </w:r>
          <w:r>
            <w:rPr>
              <w:rFonts w:ascii="Times New Roman" w:hAnsi="Times New Roman" w:eastAsia="宋体" w:cs="Times New Roman"/>
            </w:rPr>
            <w:fldChar w:fldCharType="end"/>
          </w:r>
        </w:p>
        <w:p w14:paraId="767C1A4D">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_Toc1175761556 </w:instrText>
          </w:r>
          <w:r>
            <w:rPr>
              <w:rFonts w:ascii="Times New Roman" w:hAnsi="Times New Roman" w:eastAsia="宋体" w:cs="Times New Roman"/>
            </w:rPr>
            <w:fldChar w:fldCharType="separate"/>
          </w:r>
          <w:r>
            <w:rPr>
              <w:rFonts w:hint="eastAsia" w:ascii="仿宋" w:hAnsi="仿宋" w:eastAsia="仿宋" w:cs="仿宋"/>
              <w:szCs w:val="30"/>
              <w:lang w:val="en-US" w:eastAsia="zh-CN"/>
            </w:rPr>
            <w:t>3.1 整体布局设计</w:t>
          </w:r>
          <w:r>
            <w:tab/>
          </w:r>
          <w:r>
            <w:fldChar w:fldCharType="begin"/>
          </w:r>
          <w:r>
            <w:instrText xml:space="preserve"> PAGEREF _Toc1175761556 \h </w:instrText>
          </w:r>
          <w:r>
            <w:fldChar w:fldCharType="separate"/>
          </w:r>
          <w:r>
            <w:t>5</w:t>
          </w:r>
          <w:r>
            <w:fldChar w:fldCharType="end"/>
          </w:r>
          <w:r>
            <w:rPr>
              <w:rFonts w:ascii="Times New Roman" w:hAnsi="Times New Roman" w:eastAsia="宋体" w:cs="Times New Roman"/>
            </w:rPr>
            <w:fldChar w:fldCharType="end"/>
          </w:r>
        </w:p>
        <w:p w14:paraId="757B5D99">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_Toc2027435645 </w:instrText>
          </w:r>
          <w:r>
            <w:rPr>
              <w:rFonts w:ascii="Times New Roman" w:hAnsi="Times New Roman" w:eastAsia="宋体" w:cs="Times New Roman"/>
            </w:rPr>
            <w:fldChar w:fldCharType="separate"/>
          </w:r>
          <w:r>
            <w:rPr>
              <w:rFonts w:hint="eastAsia" w:ascii="仿宋" w:hAnsi="仿宋" w:eastAsia="仿宋" w:cs="仿宋"/>
              <w:szCs w:val="30"/>
              <w:lang w:val="en-US" w:eastAsia="zh-CN"/>
            </w:rPr>
            <w:t>3.2 全自动萃取工站</w:t>
          </w:r>
          <w:r>
            <w:tab/>
          </w:r>
          <w:r>
            <w:fldChar w:fldCharType="begin"/>
          </w:r>
          <w:r>
            <w:instrText xml:space="preserve"> PAGEREF _Toc2027435645 \h </w:instrText>
          </w:r>
          <w:r>
            <w:fldChar w:fldCharType="separate"/>
          </w:r>
          <w:r>
            <w:t>6</w:t>
          </w:r>
          <w:r>
            <w:fldChar w:fldCharType="end"/>
          </w:r>
          <w:r>
            <w:rPr>
              <w:rFonts w:ascii="Times New Roman" w:hAnsi="Times New Roman" w:eastAsia="宋体" w:cs="Times New Roman"/>
            </w:rPr>
            <w:fldChar w:fldCharType="end"/>
          </w:r>
        </w:p>
        <w:p w14:paraId="3D4B9246">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_Toc987858566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3.2.1 工站组成</w:t>
          </w:r>
          <w:r>
            <w:tab/>
          </w:r>
          <w:r>
            <w:fldChar w:fldCharType="begin"/>
          </w:r>
          <w:r>
            <w:instrText xml:space="preserve"> PAGEREF _Toc987858566 \h </w:instrText>
          </w:r>
          <w:r>
            <w:fldChar w:fldCharType="separate"/>
          </w:r>
          <w:r>
            <w:t>6</w:t>
          </w:r>
          <w:r>
            <w:fldChar w:fldCharType="end"/>
          </w:r>
          <w:r>
            <w:rPr>
              <w:rFonts w:ascii="Times New Roman" w:hAnsi="Times New Roman" w:eastAsia="宋体" w:cs="Times New Roman"/>
            </w:rPr>
            <w:fldChar w:fldCharType="end"/>
          </w:r>
        </w:p>
        <w:p w14:paraId="2D42BDA4">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_Toc742843805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3.2.2 自动化流程</w:t>
          </w:r>
          <w:r>
            <w:tab/>
          </w:r>
          <w:r>
            <w:fldChar w:fldCharType="begin"/>
          </w:r>
          <w:r>
            <w:instrText xml:space="preserve"> PAGEREF _Toc742843805 \h </w:instrText>
          </w:r>
          <w:r>
            <w:fldChar w:fldCharType="separate"/>
          </w:r>
          <w:r>
            <w:t>7</w:t>
          </w:r>
          <w:r>
            <w:fldChar w:fldCharType="end"/>
          </w:r>
          <w:r>
            <w:rPr>
              <w:rFonts w:ascii="Times New Roman" w:hAnsi="Times New Roman" w:eastAsia="宋体" w:cs="Times New Roman"/>
            </w:rPr>
            <w:fldChar w:fldCharType="end"/>
          </w:r>
        </w:p>
        <w:p w14:paraId="6A37B995">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_Toc1653390624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3.2.3 关键技术指标</w:t>
          </w:r>
          <w:r>
            <w:tab/>
          </w:r>
          <w:r>
            <w:fldChar w:fldCharType="begin"/>
          </w:r>
          <w:r>
            <w:instrText xml:space="preserve"> PAGEREF _Toc1653390624 \h </w:instrText>
          </w:r>
          <w:r>
            <w:fldChar w:fldCharType="separate"/>
          </w:r>
          <w:r>
            <w:t>7</w:t>
          </w:r>
          <w:r>
            <w:fldChar w:fldCharType="end"/>
          </w:r>
          <w:r>
            <w:rPr>
              <w:rFonts w:ascii="Times New Roman" w:hAnsi="Times New Roman" w:eastAsia="宋体" w:cs="Times New Roman"/>
            </w:rPr>
            <w:fldChar w:fldCharType="end"/>
          </w:r>
        </w:p>
        <w:p w14:paraId="1680876E">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_Toc97825388 </w:instrText>
          </w:r>
          <w:r>
            <w:rPr>
              <w:rFonts w:ascii="Times New Roman" w:hAnsi="Times New Roman" w:eastAsia="宋体" w:cs="Times New Roman"/>
            </w:rPr>
            <w:fldChar w:fldCharType="separate"/>
          </w:r>
          <w:r>
            <w:rPr>
              <w:rFonts w:hint="eastAsia" w:ascii="仿宋" w:hAnsi="仿宋" w:eastAsia="仿宋" w:cs="仿宋"/>
              <w:szCs w:val="30"/>
              <w:lang w:val="en-US" w:eastAsia="zh-CN"/>
            </w:rPr>
            <w:t>3.3 全自动 GC 检测工站</w:t>
          </w:r>
          <w:r>
            <w:tab/>
          </w:r>
          <w:r>
            <w:fldChar w:fldCharType="begin"/>
          </w:r>
          <w:r>
            <w:instrText xml:space="preserve"> PAGEREF _Toc97825388 \h </w:instrText>
          </w:r>
          <w:r>
            <w:fldChar w:fldCharType="separate"/>
          </w:r>
          <w:r>
            <w:t>8</w:t>
          </w:r>
          <w:r>
            <w:fldChar w:fldCharType="end"/>
          </w:r>
          <w:r>
            <w:rPr>
              <w:rFonts w:ascii="Times New Roman" w:hAnsi="Times New Roman" w:eastAsia="宋体" w:cs="Times New Roman"/>
            </w:rPr>
            <w:fldChar w:fldCharType="end"/>
          </w:r>
        </w:p>
        <w:p w14:paraId="7CD05016">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_Toc1326306161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3.3.1 工站组成</w:t>
          </w:r>
          <w:r>
            <w:tab/>
          </w:r>
          <w:r>
            <w:fldChar w:fldCharType="begin"/>
          </w:r>
          <w:r>
            <w:instrText xml:space="preserve"> PAGEREF _Toc1326306161 \h </w:instrText>
          </w:r>
          <w:r>
            <w:fldChar w:fldCharType="separate"/>
          </w:r>
          <w:r>
            <w:t>8</w:t>
          </w:r>
          <w:r>
            <w:fldChar w:fldCharType="end"/>
          </w:r>
          <w:r>
            <w:rPr>
              <w:rFonts w:ascii="Times New Roman" w:hAnsi="Times New Roman" w:eastAsia="宋体" w:cs="Times New Roman"/>
            </w:rPr>
            <w:fldChar w:fldCharType="end"/>
          </w:r>
        </w:p>
        <w:p w14:paraId="3F58C1EB">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_Toc347392067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3.3.2 自动化流程</w:t>
          </w:r>
          <w:r>
            <w:tab/>
          </w:r>
          <w:r>
            <w:fldChar w:fldCharType="begin"/>
          </w:r>
          <w:r>
            <w:instrText xml:space="preserve"> PAGEREF _Toc347392067 \h </w:instrText>
          </w:r>
          <w:r>
            <w:fldChar w:fldCharType="separate"/>
          </w:r>
          <w:r>
            <w:t>8</w:t>
          </w:r>
          <w:r>
            <w:fldChar w:fldCharType="end"/>
          </w:r>
          <w:r>
            <w:rPr>
              <w:rFonts w:ascii="Times New Roman" w:hAnsi="Times New Roman" w:eastAsia="宋体" w:cs="Times New Roman"/>
            </w:rPr>
            <w:fldChar w:fldCharType="end"/>
          </w:r>
        </w:p>
        <w:p w14:paraId="0DE63380">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_Toc1757917523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3.3.3 关键技术指标</w:t>
          </w:r>
          <w:r>
            <w:tab/>
          </w:r>
          <w:r>
            <w:fldChar w:fldCharType="begin"/>
          </w:r>
          <w:r>
            <w:instrText xml:space="preserve"> PAGEREF _Toc1757917523 \h </w:instrText>
          </w:r>
          <w:r>
            <w:fldChar w:fldCharType="separate"/>
          </w:r>
          <w:r>
            <w:t>9</w:t>
          </w:r>
          <w:r>
            <w:fldChar w:fldCharType="end"/>
          </w:r>
          <w:r>
            <w:rPr>
              <w:rFonts w:ascii="Times New Roman" w:hAnsi="Times New Roman" w:eastAsia="宋体" w:cs="Times New Roman"/>
            </w:rPr>
            <w:fldChar w:fldCharType="end"/>
          </w:r>
        </w:p>
        <w:p w14:paraId="70913ED7">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_Toc239793635 </w:instrText>
          </w:r>
          <w:r>
            <w:rPr>
              <w:rFonts w:ascii="Times New Roman" w:hAnsi="Times New Roman" w:eastAsia="宋体" w:cs="Times New Roman"/>
            </w:rPr>
            <w:fldChar w:fldCharType="separate"/>
          </w:r>
          <w:r>
            <w:rPr>
              <w:rFonts w:hint="eastAsia" w:ascii="仿宋" w:hAnsi="仿宋" w:eastAsia="仿宋" w:cs="仿宋"/>
              <w:szCs w:val="30"/>
              <w:lang w:val="en-US" w:eastAsia="zh-CN"/>
            </w:rPr>
            <w:t>3.</w:t>
          </w:r>
          <w:r>
            <w:rPr>
              <w:rFonts w:hint="default" w:ascii="仿宋" w:hAnsi="仿宋" w:eastAsia="仿宋" w:cs="仿宋"/>
              <w:szCs w:val="30"/>
              <w:lang w:val="en-US" w:eastAsia="zh-CN"/>
            </w:rPr>
            <w:t>4</w:t>
          </w:r>
          <w:r>
            <w:rPr>
              <w:rFonts w:hint="eastAsia" w:ascii="仿宋" w:hAnsi="仿宋" w:eastAsia="仿宋" w:cs="仿宋"/>
              <w:szCs w:val="30"/>
              <w:lang w:val="en-US" w:eastAsia="zh-CN"/>
            </w:rPr>
            <w:t xml:space="preserve"> 中央控制和调度系统</w:t>
          </w:r>
          <w:r>
            <w:tab/>
          </w:r>
          <w:r>
            <w:fldChar w:fldCharType="begin"/>
          </w:r>
          <w:r>
            <w:instrText xml:space="preserve"> PAGEREF _Toc239793635 \h </w:instrText>
          </w:r>
          <w:r>
            <w:fldChar w:fldCharType="separate"/>
          </w:r>
          <w:r>
            <w:t>9</w:t>
          </w:r>
          <w:r>
            <w:fldChar w:fldCharType="end"/>
          </w:r>
          <w:r>
            <w:rPr>
              <w:rFonts w:ascii="Times New Roman" w:hAnsi="Times New Roman" w:eastAsia="宋体" w:cs="Times New Roman"/>
            </w:rPr>
            <w:fldChar w:fldCharType="end"/>
          </w:r>
        </w:p>
        <w:p w14:paraId="766CAD37">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_Toc1532301673 </w:instrText>
          </w:r>
          <w:r>
            <w:rPr>
              <w:rFonts w:ascii="Times New Roman" w:hAnsi="Times New Roman" w:eastAsia="宋体" w:cs="Times New Roman"/>
            </w:rPr>
            <w:fldChar w:fldCharType="separate"/>
          </w:r>
          <w:r>
            <w:rPr>
              <w:rFonts w:hint="eastAsia" w:ascii="仿宋" w:hAnsi="仿宋" w:eastAsia="仿宋" w:cs="宋体"/>
              <w:bCs w:val="0"/>
              <w:kern w:val="0"/>
              <w:szCs w:val="28"/>
              <w:lang w:val="en-US" w:eastAsia="zh-CN" w:bidi="ar-SA"/>
              <w14:ligatures w14:val="none"/>
            </w:rPr>
            <w:t>3.</w:t>
          </w:r>
          <w:r>
            <w:rPr>
              <w:rFonts w:hint="default" w:ascii="仿宋" w:hAnsi="仿宋" w:eastAsia="仿宋" w:cs="宋体"/>
              <w:bCs w:val="0"/>
              <w:kern w:val="0"/>
              <w:szCs w:val="28"/>
              <w:lang w:val="en-US" w:eastAsia="zh-CN" w:bidi="ar-SA"/>
              <w14:ligatures w14:val="none"/>
            </w:rPr>
            <w:t>4</w:t>
          </w:r>
          <w:r>
            <w:rPr>
              <w:rFonts w:hint="eastAsia" w:ascii="仿宋" w:hAnsi="仿宋" w:eastAsia="仿宋" w:cs="宋体"/>
              <w:bCs w:val="0"/>
              <w:kern w:val="0"/>
              <w:szCs w:val="28"/>
              <w:lang w:val="en-US" w:eastAsia="zh-CN" w:bidi="ar-SA"/>
              <w14:ligatures w14:val="none"/>
            </w:rPr>
            <w:t>.1 系统功能说明</w:t>
          </w:r>
          <w:r>
            <w:tab/>
          </w:r>
          <w:r>
            <w:fldChar w:fldCharType="begin"/>
          </w:r>
          <w:r>
            <w:instrText xml:space="preserve"> PAGEREF _Toc1532301673 \h </w:instrText>
          </w:r>
          <w:r>
            <w:fldChar w:fldCharType="separate"/>
          </w:r>
          <w:r>
            <w:t>10</w:t>
          </w:r>
          <w:r>
            <w:fldChar w:fldCharType="end"/>
          </w:r>
          <w:r>
            <w:rPr>
              <w:rFonts w:ascii="Times New Roman" w:hAnsi="Times New Roman" w:eastAsia="宋体" w:cs="Times New Roman"/>
            </w:rPr>
            <w:fldChar w:fldCharType="end"/>
          </w:r>
        </w:p>
        <w:p w14:paraId="3FF669C3">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_Toc770323287 </w:instrText>
          </w:r>
          <w:r>
            <w:rPr>
              <w:rFonts w:ascii="Times New Roman" w:hAnsi="Times New Roman" w:eastAsia="宋体" w:cs="Times New Roman"/>
            </w:rPr>
            <w:fldChar w:fldCharType="separate"/>
          </w:r>
          <w:r>
            <w:rPr>
              <w:rFonts w:hint="eastAsia" w:ascii="仿宋" w:hAnsi="仿宋" w:eastAsia="仿宋" w:cs="宋体"/>
              <w:bCs w:val="0"/>
              <w:kern w:val="0"/>
              <w:szCs w:val="28"/>
              <w:lang w:val="en-US" w:eastAsia="zh-CN" w:bidi="ar-SA"/>
              <w14:ligatures w14:val="none"/>
            </w:rPr>
            <w:t>3.</w:t>
          </w:r>
          <w:r>
            <w:rPr>
              <w:rFonts w:hint="default" w:ascii="仿宋" w:hAnsi="仿宋" w:eastAsia="仿宋" w:cs="宋体"/>
              <w:bCs w:val="0"/>
              <w:kern w:val="0"/>
              <w:szCs w:val="28"/>
              <w:lang w:val="en-US" w:eastAsia="zh-CN" w:bidi="ar-SA"/>
              <w14:ligatures w14:val="none"/>
            </w:rPr>
            <w:t>4</w:t>
          </w:r>
          <w:r>
            <w:rPr>
              <w:rFonts w:hint="eastAsia" w:ascii="仿宋" w:hAnsi="仿宋" w:eastAsia="仿宋" w:cs="宋体"/>
              <w:bCs w:val="0"/>
              <w:kern w:val="0"/>
              <w:szCs w:val="28"/>
              <w:lang w:val="en-US" w:eastAsia="zh-CN" w:bidi="ar-SA"/>
              <w14:ligatures w14:val="none"/>
            </w:rPr>
            <w:t>.2 系统技术指标</w:t>
          </w:r>
          <w:r>
            <w:tab/>
          </w:r>
          <w:r>
            <w:fldChar w:fldCharType="begin"/>
          </w:r>
          <w:r>
            <w:instrText xml:space="preserve"> PAGEREF _Toc770323287 \h </w:instrText>
          </w:r>
          <w:r>
            <w:fldChar w:fldCharType="separate"/>
          </w:r>
          <w:r>
            <w:t>19</w:t>
          </w:r>
          <w:r>
            <w:fldChar w:fldCharType="end"/>
          </w:r>
          <w:r>
            <w:rPr>
              <w:rFonts w:ascii="Times New Roman" w:hAnsi="Times New Roman" w:eastAsia="宋体" w:cs="Times New Roman"/>
            </w:rPr>
            <w:fldChar w:fldCharType="end"/>
          </w:r>
        </w:p>
        <w:p w14:paraId="192C54A2">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_Toc1792060493 </w:instrText>
          </w:r>
          <w:r>
            <w:rPr>
              <w:rFonts w:ascii="Times New Roman" w:hAnsi="Times New Roman" w:eastAsia="宋体" w:cs="Times New Roman"/>
            </w:rPr>
            <w:fldChar w:fldCharType="separate"/>
          </w:r>
          <w:r>
            <w:rPr>
              <w:rFonts w:hint="eastAsia" w:ascii="仿宋" w:hAnsi="仿宋" w:eastAsia="仿宋" w:cs="仿宋"/>
              <w:szCs w:val="30"/>
              <w:lang w:val="en-US" w:eastAsia="zh-CN"/>
            </w:rPr>
            <w:t>3.5 实验室环境要求</w:t>
          </w:r>
          <w:r>
            <w:tab/>
          </w:r>
          <w:r>
            <w:fldChar w:fldCharType="begin"/>
          </w:r>
          <w:r>
            <w:instrText xml:space="preserve"> PAGEREF _Toc1792060493 \h </w:instrText>
          </w:r>
          <w:r>
            <w:fldChar w:fldCharType="separate"/>
          </w:r>
          <w:r>
            <w:t>20</w:t>
          </w:r>
          <w:r>
            <w:fldChar w:fldCharType="end"/>
          </w:r>
          <w:r>
            <w:rPr>
              <w:rFonts w:ascii="Times New Roman" w:hAnsi="Times New Roman" w:eastAsia="宋体" w:cs="Times New Roman"/>
            </w:rPr>
            <w:fldChar w:fldCharType="end"/>
          </w:r>
        </w:p>
        <w:p w14:paraId="613442A0">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_Toc702556676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3.5.1 管道排风系统要求</w:t>
          </w:r>
          <w:r>
            <w:tab/>
          </w:r>
          <w:r>
            <w:fldChar w:fldCharType="begin"/>
          </w:r>
          <w:r>
            <w:instrText xml:space="preserve"> PAGEREF _Toc702556676 \h </w:instrText>
          </w:r>
          <w:r>
            <w:fldChar w:fldCharType="separate"/>
          </w:r>
          <w:r>
            <w:t>20</w:t>
          </w:r>
          <w:r>
            <w:fldChar w:fldCharType="end"/>
          </w:r>
          <w:r>
            <w:rPr>
              <w:rFonts w:ascii="Times New Roman" w:hAnsi="Times New Roman" w:eastAsia="宋体" w:cs="Times New Roman"/>
            </w:rPr>
            <w:fldChar w:fldCharType="end"/>
          </w:r>
        </w:p>
        <w:p w14:paraId="67C7F822">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_Toc1004962326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3.5.2 气路分布系统要求</w:t>
          </w:r>
          <w:r>
            <w:tab/>
          </w:r>
          <w:r>
            <w:fldChar w:fldCharType="begin"/>
          </w:r>
          <w:r>
            <w:instrText xml:space="preserve"> PAGEREF _Toc1004962326 \h </w:instrText>
          </w:r>
          <w:r>
            <w:fldChar w:fldCharType="separate"/>
          </w:r>
          <w:r>
            <w:t>20</w:t>
          </w:r>
          <w:r>
            <w:fldChar w:fldCharType="end"/>
          </w:r>
          <w:r>
            <w:rPr>
              <w:rFonts w:ascii="Times New Roman" w:hAnsi="Times New Roman" w:eastAsia="宋体" w:cs="Times New Roman"/>
            </w:rPr>
            <w:fldChar w:fldCharType="end"/>
          </w:r>
        </w:p>
        <w:p w14:paraId="50929FC4">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_Toc442929427 </w:instrText>
          </w:r>
          <w:r>
            <w:rPr>
              <w:rFonts w:ascii="Times New Roman" w:hAnsi="Times New Roman" w:eastAsia="宋体" w:cs="Times New Roman"/>
            </w:rPr>
            <w:fldChar w:fldCharType="separate"/>
          </w:r>
          <w:r>
            <w:rPr>
              <w:rFonts w:hint="eastAsia" w:ascii="仿宋" w:hAnsi="仿宋" w:eastAsia="仿宋" w:cs="宋体"/>
              <w:bCs/>
              <w:kern w:val="0"/>
              <w:szCs w:val="28"/>
              <w:lang w:val="en-US" w:eastAsia="zh-CN" w:bidi="ar-SA"/>
              <w14:ligatures w14:val="none"/>
            </w:rPr>
            <w:t>3.5.3 供电系统要求</w:t>
          </w:r>
          <w:r>
            <w:tab/>
          </w:r>
          <w:r>
            <w:fldChar w:fldCharType="begin"/>
          </w:r>
          <w:r>
            <w:instrText xml:space="preserve"> PAGEREF _Toc442929427 \h </w:instrText>
          </w:r>
          <w:r>
            <w:fldChar w:fldCharType="separate"/>
          </w:r>
          <w:r>
            <w:t>20</w:t>
          </w:r>
          <w:r>
            <w:fldChar w:fldCharType="end"/>
          </w:r>
          <w:r>
            <w:rPr>
              <w:rFonts w:ascii="Times New Roman" w:hAnsi="Times New Roman" w:eastAsia="宋体" w:cs="Times New Roman"/>
            </w:rPr>
            <w:fldChar w:fldCharType="end"/>
          </w:r>
        </w:p>
        <w:p w14:paraId="1F82E9B3">
          <w:pPr>
            <w:pStyle w:val="26"/>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_Toc1136559087 </w:instrText>
          </w:r>
          <w:r>
            <w:rPr>
              <w:rFonts w:ascii="Times New Roman" w:hAnsi="Times New Roman" w:eastAsia="宋体" w:cs="Times New Roman"/>
            </w:rPr>
            <w:fldChar w:fldCharType="separate"/>
          </w:r>
          <w:r>
            <w:rPr>
              <w:rFonts w:hint="default" w:ascii="仿宋" w:hAnsi="仿宋" w:eastAsia="仿宋" w:cs="仿宋"/>
              <w:szCs w:val="36"/>
              <w:lang w:val="en-US" w:eastAsia="zh-CN"/>
            </w:rPr>
            <w:t xml:space="preserve">四、 </w:t>
          </w:r>
          <w:r>
            <w:rPr>
              <w:rFonts w:hint="eastAsia" w:ascii="仿宋" w:hAnsi="仿宋" w:eastAsia="仿宋" w:cs="仿宋"/>
              <w:szCs w:val="36"/>
              <w:lang w:val="en-US" w:eastAsia="zh-CN"/>
            </w:rPr>
            <w:t>项目实施和管理方案</w:t>
          </w:r>
          <w:r>
            <w:tab/>
          </w:r>
          <w:r>
            <w:fldChar w:fldCharType="begin"/>
          </w:r>
          <w:r>
            <w:instrText xml:space="preserve"> PAGEREF _Toc1136559087 \h </w:instrText>
          </w:r>
          <w:r>
            <w:fldChar w:fldCharType="separate"/>
          </w:r>
          <w:r>
            <w:t>21</w:t>
          </w:r>
          <w:r>
            <w:fldChar w:fldCharType="end"/>
          </w:r>
          <w:r>
            <w:rPr>
              <w:rFonts w:ascii="Times New Roman" w:hAnsi="Times New Roman" w:eastAsia="宋体" w:cs="Times New Roman"/>
            </w:rPr>
            <w:fldChar w:fldCharType="end"/>
          </w:r>
        </w:p>
        <w:p w14:paraId="103D9C80">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_Toc281535144 </w:instrText>
          </w:r>
          <w:r>
            <w:rPr>
              <w:rFonts w:ascii="Times New Roman" w:hAnsi="Times New Roman" w:eastAsia="宋体" w:cs="Times New Roman"/>
            </w:rPr>
            <w:fldChar w:fldCharType="separate"/>
          </w:r>
          <w:r>
            <w:rPr>
              <w:rFonts w:hint="eastAsia" w:ascii="仿宋" w:hAnsi="仿宋" w:eastAsia="仿宋" w:cs="仿宋"/>
              <w:szCs w:val="30"/>
              <w:lang w:val="en-US" w:eastAsia="zh-CN"/>
            </w:rPr>
            <w:t>4.1项目组织架构与职责</w:t>
          </w:r>
          <w:r>
            <w:tab/>
          </w:r>
          <w:r>
            <w:fldChar w:fldCharType="begin"/>
          </w:r>
          <w:r>
            <w:instrText xml:space="preserve"> PAGEREF _Toc281535144 \h </w:instrText>
          </w:r>
          <w:r>
            <w:fldChar w:fldCharType="separate"/>
          </w:r>
          <w:r>
            <w:t>21</w:t>
          </w:r>
          <w:r>
            <w:fldChar w:fldCharType="end"/>
          </w:r>
          <w:r>
            <w:rPr>
              <w:rFonts w:ascii="Times New Roman" w:hAnsi="Times New Roman" w:eastAsia="宋体" w:cs="Times New Roman"/>
            </w:rPr>
            <w:fldChar w:fldCharType="end"/>
          </w:r>
        </w:p>
        <w:p w14:paraId="78259D0B">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_Toc854690867 </w:instrText>
          </w:r>
          <w:r>
            <w:rPr>
              <w:rFonts w:ascii="Times New Roman" w:hAnsi="Times New Roman" w:eastAsia="宋体" w:cs="Times New Roman"/>
            </w:rPr>
            <w:fldChar w:fldCharType="separate"/>
          </w:r>
          <w:r>
            <w:rPr>
              <w:rFonts w:hint="eastAsia" w:ascii="仿宋" w:hAnsi="仿宋" w:eastAsia="仿宋" w:cs="仿宋"/>
              <w:szCs w:val="30"/>
              <w:lang w:val="en-US" w:eastAsia="zh-CN"/>
            </w:rPr>
            <w:t>4.2 项目实施核心阶段（90日历天）</w:t>
          </w:r>
          <w:r>
            <w:tab/>
          </w:r>
          <w:r>
            <w:fldChar w:fldCharType="begin"/>
          </w:r>
          <w:r>
            <w:instrText xml:space="preserve"> PAGEREF _Toc854690867 \h </w:instrText>
          </w:r>
          <w:r>
            <w:fldChar w:fldCharType="separate"/>
          </w:r>
          <w:r>
            <w:t>22</w:t>
          </w:r>
          <w:r>
            <w:fldChar w:fldCharType="end"/>
          </w:r>
          <w:r>
            <w:rPr>
              <w:rFonts w:ascii="Times New Roman" w:hAnsi="Times New Roman" w:eastAsia="宋体" w:cs="Times New Roman"/>
            </w:rPr>
            <w:fldChar w:fldCharType="end"/>
          </w:r>
        </w:p>
        <w:p w14:paraId="6F003900">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_Toc271286886 </w:instrText>
          </w:r>
          <w:r>
            <w:rPr>
              <w:rFonts w:ascii="Times New Roman" w:hAnsi="Times New Roman" w:eastAsia="宋体" w:cs="Times New Roman"/>
            </w:rPr>
            <w:fldChar w:fldCharType="separate"/>
          </w:r>
          <w:r>
            <w:rPr>
              <w:rFonts w:hint="eastAsia" w:ascii="仿宋" w:hAnsi="仿宋" w:eastAsia="仿宋" w:cs="仿宋"/>
              <w:szCs w:val="28"/>
              <w:lang w:val="en-US" w:eastAsia="zh-CN"/>
            </w:rPr>
            <w:t>1. 调研细化与方案确认（12日历天）</w:t>
          </w:r>
          <w:r>
            <w:tab/>
          </w:r>
          <w:r>
            <w:fldChar w:fldCharType="begin"/>
          </w:r>
          <w:r>
            <w:instrText xml:space="preserve"> PAGEREF _Toc271286886 \h </w:instrText>
          </w:r>
          <w:r>
            <w:fldChar w:fldCharType="separate"/>
          </w:r>
          <w:r>
            <w:t>22</w:t>
          </w:r>
          <w:r>
            <w:fldChar w:fldCharType="end"/>
          </w:r>
          <w:r>
            <w:rPr>
              <w:rFonts w:ascii="Times New Roman" w:hAnsi="Times New Roman" w:eastAsia="宋体" w:cs="Times New Roman"/>
            </w:rPr>
            <w:fldChar w:fldCharType="end"/>
          </w:r>
        </w:p>
        <w:p w14:paraId="7D0AF358">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_Toc410910421 </w:instrText>
          </w:r>
          <w:r>
            <w:rPr>
              <w:rFonts w:ascii="Times New Roman" w:hAnsi="Times New Roman" w:eastAsia="宋体" w:cs="Times New Roman"/>
            </w:rPr>
            <w:fldChar w:fldCharType="separate"/>
          </w:r>
          <w:r>
            <w:rPr>
              <w:rFonts w:hint="eastAsia" w:ascii="仿宋" w:hAnsi="仿宋" w:eastAsia="仿宋" w:cs="仿宋"/>
              <w:szCs w:val="28"/>
              <w:lang w:val="en-US" w:eastAsia="zh-CN"/>
            </w:rPr>
            <w:t>2. 模块生产与工厂预装调试（35日历天）</w:t>
          </w:r>
          <w:r>
            <w:tab/>
          </w:r>
          <w:r>
            <w:fldChar w:fldCharType="begin"/>
          </w:r>
          <w:r>
            <w:instrText xml:space="preserve"> PAGEREF _Toc410910421 \h </w:instrText>
          </w:r>
          <w:r>
            <w:fldChar w:fldCharType="separate"/>
          </w:r>
          <w:r>
            <w:t>22</w:t>
          </w:r>
          <w:r>
            <w:fldChar w:fldCharType="end"/>
          </w:r>
          <w:r>
            <w:rPr>
              <w:rFonts w:ascii="Times New Roman" w:hAnsi="Times New Roman" w:eastAsia="宋体" w:cs="Times New Roman"/>
            </w:rPr>
            <w:fldChar w:fldCharType="end"/>
          </w:r>
        </w:p>
        <w:p w14:paraId="3FCE7955">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_Toc2011520642 </w:instrText>
          </w:r>
          <w:r>
            <w:rPr>
              <w:rFonts w:ascii="Times New Roman" w:hAnsi="Times New Roman" w:eastAsia="宋体" w:cs="Times New Roman"/>
            </w:rPr>
            <w:fldChar w:fldCharType="separate"/>
          </w:r>
          <w:r>
            <w:rPr>
              <w:rFonts w:hint="eastAsia" w:ascii="仿宋" w:hAnsi="仿宋" w:eastAsia="仿宋" w:cs="仿宋"/>
              <w:szCs w:val="28"/>
              <w:lang w:val="en-US" w:eastAsia="zh-CN"/>
            </w:rPr>
            <w:t>3. 现场基础施工与复核（10日历天）</w:t>
          </w:r>
          <w:r>
            <w:tab/>
          </w:r>
          <w:r>
            <w:fldChar w:fldCharType="begin"/>
          </w:r>
          <w:r>
            <w:instrText xml:space="preserve"> PAGEREF _Toc2011520642 \h </w:instrText>
          </w:r>
          <w:r>
            <w:fldChar w:fldCharType="separate"/>
          </w:r>
          <w:r>
            <w:t>22</w:t>
          </w:r>
          <w:r>
            <w:fldChar w:fldCharType="end"/>
          </w:r>
          <w:r>
            <w:rPr>
              <w:rFonts w:ascii="Times New Roman" w:hAnsi="Times New Roman" w:eastAsia="宋体" w:cs="Times New Roman"/>
            </w:rPr>
            <w:fldChar w:fldCharType="end"/>
          </w:r>
        </w:p>
        <w:p w14:paraId="3CC95564">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_Toc1939859020 </w:instrText>
          </w:r>
          <w:r>
            <w:rPr>
              <w:rFonts w:ascii="Times New Roman" w:hAnsi="Times New Roman" w:eastAsia="宋体" w:cs="Times New Roman"/>
            </w:rPr>
            <w:fldChar w:fldCharType="separate"/>
          </w:r>
          <w:r>
            <w:rPr>
              <w:rFonts w:hint="eastAsia" w:ascii="仿宋" w:hAnsi="仿宋" w:eastAsia="仿宋" w:cs="仿宋"/>
              <w:szCs w:val="28"/>
              <w:lang w:val="en-US" w:eastAsia="zh-CN"/>
            </w:rPr>
            <w:t>4. 现场安装与模块拼接（15 日历天）</w:t>
          </w:r>
          <w:r>
            <w:tab/>
          </w:r>
          <w:r>
            <w:fldChar w:fldCharType="begin"/>
          </w:r>
          <w:r>
            <w:instrText xml:space="preserve"> PAGEREF _Toc1939859020 \h </w:instrText>
          </w:r>
          <w:r>
            <w:fldChar w:fldCharType="separate"/>
          </w:r>
          <w:r>
            <w:t>23</w:t>
          </w:r>
          <w:r>
            <w:fldChar w:fldCharType="end"/>
          </w:r>
          <w:r>
            <w:rPr>
              <w:rFonts w:ascii="Times New Roman" w:hAnsi="Times New Roman" w:eastAsia="宋体" w:cs="Times New Roman"/>
            </w:rPr>
            <w:fldChar w:fldCharType="end"/>
          </w:r>
        </w:p>
        <w:p w14:paraId="46F76FE3">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_Toc113820386 </w:instrText>
          </w:r>
          <w:r>
            <w:rPr>
              <w:rFonts w:ascii="Times New Roman" w:hAnsi="Times New Roman" w:eastAsia="宋体" w:cs="Times New Roman"/>
            </w:rPr>
            <w:fldChar w:fldCharType="separate"/>
          </w:r>
          <w:r>
            <w:rPr>
              <w:rFonts w:hint="eastAsia" w:ascii="仿宋" w:hAnsi="仿宋" w:eastAsia="仿宋" w:cs="仿宋"/>
              <w:szCs w:val="28"/>
              <w:lang w:val="en-US" w:eastAsia="zh-CN"/>
            </w:rPr>
            <w:t>5. 系统调试与人员培训（13 日历天）</w:t>
          </w:r>
          <w:r>
            <w:tab/>
          </w:r>
          <w:r>
            <w:fldChar w:fldCharType="begin"/>
          </w:r>
          <w:r>
            <w:instrText xml:space="preserve"> PAGEREF _Toc113820386 \h </w:instrText>
          </w:r>
          <w:r>
            <w:fldChar w:fldCharType="separate"/>
          </w:r>
          <w:r>
            <w:t>23</w:t>
          </w:r>
          <w:r>
            <w:fldChar w:fldCharType="end"/>
          </w:r>
          <w:r>
            <w:rPr>
              <w:rFonts w:ascii="Times New Roman" w:hAnsi="Times New Roman" w:eastAsia="宋体" w:cs="Times New Roman"/>
            </w:rPr>
            <w:fldChar w:fldCharType="end"/>
          </w:r>
        </w:p>
        <w:p w14:paraId="22467EA3">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_Toc1718781672 </w:instrText>
          </w:r>
          <w:r>
            <w:rPr>
              <w:rFonts w:ascii="Times New Roman" w:hAnsi="Times New Roman" w:eastAsia="宋体" w:cs="Times New Roman"/>
            </w:rPr>
            <w:fldChar w:fldCharType="separate"/>
          </w:r>
          <w:r>
            <w:rPr>
              <w:rFonts w:hint="eastAsia" w:ascii="仿宋" w:hAnsi="仿宋" w:eastAsia="仿宋" w:cs="仿宋"/>
              <w:szCs w:val="28"/>
              <w:lang w:val="en-US" w:eastAsia="zh-CN"/>
            </w:rPr>
            <w:t>6. 项目验收与交付归档（5 日历天）</w:t>
          </w:r>
          <w:r>
            <w:tab/>
          </w:r>
          <w:r>
            <w:fldChar w:fldCharType="begin"/>
          </w:r>
          <w:r>
            <w:instrText xml:space="preserve"> PAGEREF _Toc1718781672 \h </w:instrText>
          </w:r>
          <w:r>
            <w:fldChar w:fldCharType="separate"/>
          </w:r>
          <w:r>
            <w:t>23</w:t>
          </w:r>
          <w:r>
            <w:fldChar w:fldCharType="end"/>
          </w:r>
          <w:r>
            <w:rPr>
              <w:rFonts w:ascii="Times New Roman" w:hAnsi="Times New Roman" w:eastAsia="宋体" w:cs="Times New Roman"/>
            </w:rPr>
            <w:fldChar w:fldCharType="end"/>
          </w:r>
        </w:p>
        <w:p w14:paraId="36BAE418">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_Toc1761025507 </w:instrText>
          </w:r>
          <w:r>
            <w:rPr>
              <w:rFonts w:ascii="Times New Roman" w:hAnsi="Times New Roman" w:eastAsia="宋体" w:cs="Times New Roman"/>
            </w:rPr>
            <w:fldChar w:fldCharType="separate"/>
          </w:r>
          <w:r>
            <w:rPr>
              <w:rFonts w:hint="eastAsia" w:ascii="仿宋" w:hAnsi="仿宋" w:eastAsia="仿宋" w:cs="仿宋"/>
              <w:szCs w:val="30"/>
              <w:lang w:val="en-US" w:eastAsia="zh-CN"/>
            </w:rPr>
            <w:t>4.3 项目核心管理措施</w:t>
          </w:r>
          <w:r>
            <w:tab/>
          </w:r>
          <w:r>
            <w:fldChar w:fldCharType="begin"/>
          </w:r>
          <w:r>
            <w:instrText xml:space="preserve"> PAGEREF _Toc1761025507 \h </w:instrText>
          </w:r>
          <w:r>
            <w:fldChar w:fldCharType="separate"/>
          </w:r>
          <w:r>
            <w:t>24</w:t>
          </w:r>
          <w:r>
            <w:fldChar w:fldCharType="end"/>
          </w:r>
          <w:r>
            <w:rPr>
              <w:rFonts w:ascii="Times New Roman" w:hAnsi="Times New Roman" w:eastAsia="宋体" w:cs="Times New Roman"/>
            </w:rPr>
            <w:fldChar w:fldCharType="end"/>
          </w:r>
        </w:p>
        <w:p w14:paraId="71105EDD">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_Toc936073195 </w:instrText>
          </w:r>
          <w:r>
            <w:rPr>
              <w:rFonts w:ascii="Times New Roman" w:hAnsi="Times New Roman" w:eastAsia="宋体" w:cs="Times New Roman"/>
            </w:rPr>
            <w:fldChar w:fldCharType="separate"/>
          </w:r>
          <w:r>
            <w:rPr>
              <w:rFonts w:hint="eastAsia" w:ascii="仿宋" w:hAnsi="仿宋" w:eastAsia="仿宋" w:cs="仿宋"/>
              <w:szCs w:val="28"/>
              <w:lang w:val="en-US" w:eastAsia="zh-CN"/>
            </w:rPr>
            <w:t>1. 进度管理</w:t>
          </w:r>
          <w:r>
            <w:tab/>
          </w:r>
          <w:r>
            <w:fldChar w:fldCharType="begin"/>
          </w:r>
          <w:r>
            <w:instrText xml:space="preserve"> PAGEREF _Toc936073195 \h </w:instrText>
          </w:r>
          <w:r>
            <w:fldChar w:fldCharType="separate"/>
          </w:r>
          <w:r>
            <w:t>24</w:t>
          </w:r>
          <w:r>
            <w:fldChar w:fldCharType="end"/>
          </w:r>
          <w:r>
            <w:rPr>
              <w:rFonts w:ascii="Times New Roman" w:hAnsi="Times New Roman" w:eastAsia="宋体" w:cs="Times New Roman"/>
            </w:rPr>
            <w:fldChar w:fldCharType="end"/>
          </w:r>
        </w:p>
        <w:p w14:paraId="13C63F63">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_Toc116990443 </w:instrText>
          </w:r>
          <w:r>
            <w:rPr>
              <w:rFonts w:ascii="Times New Roman" w:hAnsi="Times New Roman" w:eastAsia="宋体" w:cs="Times New Roman"/>
            </w:rPr>
            <w:fldChar w:fldCharType="separate"/>
          </w:r>
          <w:r>
            <w:rPr>
              <w:rFonts w:hint="eastAsia" w:ascii="仿宋" w:hAnsi="仿宋" w:eastAsia="仿宋" w:cs="仿宋"/>
              <w:szCs w:val="28"/>
              <w:lang w:val="en-US" w:eastAsia="zh-CN"/>
            </w:rPr>
            <w:t>2. 质量管理</w:t>
          </w:r>
          <w:r>
            <w:tab/>
          </w:r>
          <w:r>
            <w:fldChar w:fldCharType="begin"/>
          </w:r>
          <w:r>
            <w:instrText xml:space="preserve"> PAGEREF _Toc116990443 \h </w:instrText>
          </w:r>
          <w:r>
            <w:fldChar w:fldCharType="separate"/>
          </w:r>
          <w:r>
            <w:t>24</w:t>
          </w:r>
          <w:r>
            <w:fldChar w:fldCharType="end"/>
          </w:r>
          <w:r>
            <w:rPr>
              <w:rFonts w:ascii="Times New Roman" w:hAnsi="Times New Roman" w:eastAsia="宋体" w:cs="Times New Roman"/>
            </w:rPr>
            <w:fldChar w:fldCharType="end"/>
          </w:r>
        </w:p>
        <w:p w14:paraId="186784DD">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_Toc1310838496 </w:instrText>
          </w:r>
          <w:r>
            <w:rPr>
              <w:rFonts w:ascii="Times New Roman" w:hAnsi="Times New Roman" w:eastAsia="宋体" w:cs="Times New Roman"/>
            </w:rPr>
            <w:fldChar w:fldCharType="separate"/>
          </w:r>
          <w:r>
            <w:rPr>
              <w:rFonts w:hint="eastAsia" w:ascii="仿宋" w:hAnsi="仿宋" w:eastAsia="仿宋" w:cs="仿宋"/>
              <w:szCs w:val="28"/>
              <w:lang w:val="en-US" w:eastAsia="zh-CN"/>
            </w:rPr>
            <w:t>3. 沟通管理</w:t>
          </w:r>
          <w:r>
            <w:tab/>
          </w:r>
          <w:r>
            <w:fldChar w:fldCharType="begin"/>
          </w:r>
          <w:r>
            <w:instrText xml:space="preserve"> PAGEREF _Toc1310838496 \h </w:instrText>
          </w:r>
          <w:r>
            <w:fldChar w:fldCharType="separate"/>
          </w:r>
          <w:r>
            <w:t>24</w:t>
          </w:r>
          <w:r>
            <w:fldChar w:fldCharType="end"/>
          </w:r>
          <w:r>
            <w:rPr>
              <w:rFonts w:ascii="Times New Roman" w:hAnsi="Times New Roman" w:eastAsia="宋体" w:cs="Times New Roman"/>
            </w:rPr>
            <w:fldChar w:fldCharType="end"/>
          </w:r>
        </w:p>
        <w:p w14:paraId="5752E03D">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_Toc227867699 </w:instrText>
          </w:r>
          <w:r>
            <w:rPr>
              <w:rFonts w:ascii="Times New Roman" w:hAnsi="Times New Roman" w:eastAsia="宋体" w:cs="Times New Roman"/>
            </w:rPr>
            <w:fldChar w:fldCharType="separate"/>
          </w:r>
          <w:r>
            <w:rPr>
              <w:rFonts w:hint="eastAsia" w:ascii="仿宋" w:hAnsi="仿宋" w:eastAsia="仿宋" w:cs="仿宋"/>
              <w:szCs w:val="28"/>
              <w:lang w:val="en-US" w:eastAsia="zh-CN"/>
            </w:rPr>
            <w:t>4. 安全管理</w:t>
          </w:r>
          <w:r>
            <w:tab/>
          </w:r>
          <w:r>
            <w:fldChar w:fldCharType="begin"/>
          </w:r>
          <w:r>
            <w:instrText xml:space="preserve"> PAGEREF _Toc227867699 \h </w:instrText>
          </w:r>
          <w:r>
            <w:fldChar w:fldCharType="separate"/>
          </w:r>
          <w:r>
            <w:t>24</w:t>
          </w:r>
          <w:r>
            <w:fldChar w:fldCharType="end"/>
          </w:r>
          <w:r>
            <w:rPr>
              <w:rFonts w:ascii="Times New Roman" w:hAnsi="Times New Roman" w:eastAsia="宋体" w:cs="Times New Roman"/>
            </w:rPr>
            <w:fldChar w:fldCharType="end"/>
          </w:r>
        </w:p>
        <w:p w14:paraId="381C639F">
          <w:pPr>
            <w:pStyle w:val="28"/>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_Toc809074492 </w:instrText>
          </w:r>
          <w:r>
            <w:rPr>
              <w:rFonts w:ascii="Times New Roman" w:hAnsi="Times New Roman" w:eastAsia="宋体" w:cs="Times New Roman"/>
            </w:rPr>
            <w:fldChar w:fldCharType="separate"/>
          </w:r>
          <w:r>
            <w:rPr>
              <w:rFonts w:hint="eastAsia" w:ascii="仿宋" w:hAnsi="仿宋" w:eastAsia="仿宋" w:cs="仿宋"/>
              <w:szCs w:val="28"/>
              <w:lang w:val="en-US" w:eastAsia="zh-CN"/>
            </w:rPr>
            <w:t>5. 变更管理</w:t>
          </w:r>
          <w:r>
            <w:tab/>
          </w:r>
          <w:r>
            <w:fldChar w:fldCharType="begin"/>
          </w:r>
          <w:r>
            <w:instrText xml:space="preserve"> PAGEREF _Toc809074492 \h </w:instrText>
          </w:r>
          <w:r>
            <w:fldChar w:fldCharType="separate"/>
          </w:r>
          <w:r>
            <w:t>25</w:t>
          </w:r>
          <w:r>
            <w:fldChar w:fldCharType="end"/>
          </w:r>
          <w:r>
            <w:rPr>
              <w:rFonts w:ascii="Times New Roman" w:hAnsi="Times New Roman" w:eastAsia="宋体" w:cs="Times New Roman"/>
            </w:rPr>
            <w:fldChar w:fldCharType="end"/>
          </w:r>
        </w:p>
        <w:p w14:paraId="18C3CB74">
          <w:pPr>
            <w:pStyle w:val="27"/>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_Toc248534240 </w:instrText>
          </w:r>
          <w:r>
            <w:rPr>
              <w:rFonts w:ascii="Times New Roman" w:hAnsi="Times New Roman" w:eastAsia="宋体" w:cs="Times New Roman"/>
            </w:rPr>
            <w:fldChar w:fldCharType="separate"/>
          </w:r>
          <w:r>
            <w:rPr>
              <w:rFonts w:hint="eastAsia" w:ascii="仿宋" w:hAnsi="仿宋" w:eastAsia="仿宋" w:cs="仿宋"/>
              <w:szCs w:val="30"/>
              <w:lang w:val="en-US" w:eastAsia="zh-CN"/>
            </w:rPr>
            <w:t>4.4 项目保障措施</w:t>
          </w:r>
          <w:r>
            <w:tab/>
          </w:r>
          <w:r>
            <w:fldChar w:fldCharType="begin"/>
          </w:r>
          <w:r>
            <w:instrText xml:space="preserve"> PAGEREF _Toc248534240 \h </w:instrText>
          </w:r>
          <w:r>
            <w:fldChar w:fldCharType="separate"/>
          </w:r>
          <w:r>
            <w:t>25</w:t>
          </w:r>
          <w:r>
            <w:fldChar w:fldCharType="end"/>
          </w:r>
          <w:r>
            <w:rPr>
              <w:rFonts w:ascii="Times New Roman" w:hAnsi="Times New Roman" w:eastAsia="宋体" w:cs="Times New Roman"/>
            </w:rPr>
            <w:fldChar w:fldCharType="end"/>
          </w:r>
        </w:p>
        <w:p w14:paraId="29F8F480">
          <w:pPr>
            <w:pStyle w:val="26"/>
            <w:tabs>
              <w:tab w:val="right" w:leader="dot" w:pos="9746"/>
            </w:tabs>
          </w:pPr>
          <w:r>
            <w:rPr>
              <w:rFonts w:ascii="Times New Roman" w:hAnsi="Times New Roman" w:eastAsia="宋体" w:cs="Times New Roman"/>
            </w:rPr>
            <w:fldChar w:fldCharType="begin"/>
          </w:r>
          <w:r>
            <w:rPr>
              <w:rFonts w:ascii="Times New Roman" w:hAnsi="Times New Roman" w:eastAsia="宋体" w:cs="Times New Roman"/>
            </w:rPr>
            <w:instrText xml:space="preserve"> HYPERLINK \l _Toc259278265 </w:instrText>
          </w:r>
          <w:r>
            <w:rPr>
              <w:rFonts w:ascii="Times New Roman" w:hAnsi="Times New Roman" w:eastAsia="宋体" w:cs="Times New Roman"/>
            </w:rPr>
            <w:fldChar w:fldCharType="separate"/>
          </w:r>
          <w:r>
            <w:rPr>
              <w:rFonts w:hint="default" w:ascii="仿宋" w:hAnsi="仿宋" w:eastAsia="仿宋" w:cs="仿宋"/>
              <w:szCs w:val="36"/>
              <w:lang w:val="en-US" w:eastAsia="zh-CN"/>
            </w:rPr>
            <w:t xml:space="preserve">五、 </w:t>
          </w:r>
          <w:r>
            <w:rPr>
              <w:rFonts w:hint="eastAsia" w:ascii="仿宋" w:hAnsi="仿宋" w:eastAsia="仿宋" w:cs="仿宋"/>
              <w:szCs w:val="36"/>
              <w:lang w:val="en-US" w:eastAsia="zh-CN"/>
            </w:rPr>
            <w:t>项目预算报价</w:t>
          </w:r>
          <w:r>
            <w:tab/>
          </w:r>
          <w:r>
            <w:fldChar w:fldCharType="begin"/>
          </w:r>
          <w:r>
            <w:instrText xml:space="preserve"> PAGEREF _Toc259278265 \h </w:instrText>
          </w:r>
          <w:r>
            <w:fldChar w:fldCharType="separate"/>
          </w:r>
          <w:r>
            <w:t>26</w:t>
          </w:r>
          <w:r>
            <w:fldChar w:fldCharType="end"/>
          </w:r>
          <w:r>
            <w:rPr>
              <w:rFonts w:ascii="Times New Roman" w:hAnsi="Times New Roman" w:eastAsia="宋体" w:cs="Times New Roman"/>
            </w:rPr>
            <w:fldChar w:fldCharType="end"/>
          </w:r>
        </w:p>
        <w:p w14:paraId="6B81777F">
          <w:pPr>
            <w:rPr>
              <w:rFonts w:ascii="Times New Roman" w:hAnsi="Times New Roman" w:eastAsia="宋体" w:cs="Times New Roman"/>
              <w:kern w:val="2"/>
              <w:sz w:val="21"/>
              <w:szCs w:val="22"/>
              <w:lang w:val="en-US" w:eastAsia="zh-CN" w:bidi="ar-SA"/>
              <w14:ligatures w14:val="standardContextual"/>
            </w:rPr>
            <w:sectPr>
              <w:headerReference r:id="rId3" w:type="default"/>
              <w:pgSz w:w="11906" w:h="16838"/>
              <w:pgMar w:top="1440" w:right="1080" w:bottom="1440" w:left="1080" w:header="851" w:footer="992" w:gutter="0"/>
              <w:cols w:space="425" w:num="1"/>
              <w:docGrid w:type="lines" w:linePitch="312" w:charSpace="0"/>
            </w:sectPr>
          </w:pPr>
          <w:r>
            <w:rPr>
              <w:rFonts w:ascii="Times New Roman" w:hAnsi="Times New Roman" w:eastAsia="宋体" w:cs="Times New Roman"/>
            </w:rPr>
            <w:fldChar w:fldCharType="end"/>
          </w:r>
        </w:p>
      </w:sdtContent>
    </w:sdt>
    <w:p w14:paraId="6B817784">
      <w:pPr>
        <w:rPr>
          <w:rFonts w:ascii="Times New Roman" w:hAnsi="Times New Roman" w:eastAsia="宋体" w:cs="Times New Roman"/>
        </w:rPr>
      </w:pPr>
    </w:p>
    <w:p w14:paraId="6792DD1D">
      <w:pPr>
        <w:pStyle w:val="3"/>
        <w:numPr>
          <w:ilvl w:val="0"/>
          <w:numId w:val="3"/>
        </w:numPr>
        <w:bidi w:val="0"/>
        <w:rPr>
          <w:rFonts w:hint="eastAsia" w:ascii="仿宋" w:hAnsi="仿宋" w:eastAsia="仿宋" w:cs="仿宋"/>
          <w:sz w:val="36"/>
          <w:szCs w:val="36"/>
        </w:rPr>
      </w:pPr>
      <w:bookmarkStart w:id="2" w:name="_Toc27713064"/>
      <w:r>
        <w:rPr>
          <w:rFonts w:hint="eastAsia" w:ascii="仿宋" w:hAnsi="仿宋" w:eastAsia="仿宋" w:cs="仿宋"/>
          <w:sz w:val="36"/>
          <w:szCs w:val="36"/>
          <w:lang w:val="en-US" w:eastAsia="zh-CN"/>
        </w:rPr>
        <w:t>项目概述</w:t>
      </w:r>
      <w:bookmarkEnd w:id="2"/>
    </w:p>
    <w:p w14:paraId="673E09BB">
      <w:pPr>
        <w:spacing w:before="240"/>
        <w:ind w:left="630" w:leftChars="300" w:firstLine="560" w:firstLineChars="200"/>
        <w:outlineLvl w:val="1"/>
        <w:rPr>
          <w:rFonts w:hint="default" w:ascii="仿宋" w:hAnsi="仿宋" w:eastAsia="仿宋" w:cs="宋体"/>
          <w:color w:val="auto"/>
          <w:kern w:val="0"/>
          <w:sz w:val="28"/>
          <w:szCs w:val="28"/>
          <w:lang w:val="en-US" w:eastAsia="zh-CN"/>
          <w14:ligatures w14:val="none"/>
        </w:rPr>
      </w:pPr>
      <w:bookmarkStart w:id="3" w:name="_Toc1916998896"/>
      <w:r>
        <w:rPr>
          <w:rFonts w:hint="eastAsia" w:ascii="仿宋" w:hAnsi="仿宋" w:eastAsia="仿宋" w:cs="宋体"/>
          <w:color w:val="auto"/>
          <w:kern w:val="0"/>
          <w:sz w:val="28"/>
          <w:szCs w:val="28"/>
          <w:lang w:val="en-US" w:eastAsia="zh-CN"/>
          <w14:ligatures w14:val="none"/>
        </w:rPr>
        <w:t>1.1 项目目标</w:t>
      </w:r>
      <w:bookmarkEnd w:id="3"/>
    </w:p>
    <w:p w14:paraId="22D12A0E">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依据 GB/T 23203.1-2013、GB/T 23355-2009 国家标准，搭建烟草样品烟碱、水分检测全流程自动化系统，实现前处理自动化、GC检测联机化、数据自动审核与 LIMS 系统同步，满足 20 个 / 批检测通量，提升检测效率、准确性、标准化水平与数据可追溯性。</w:t>
      </w:r>
    </w:p>
    <w:p w14:paraId="20D806C8">
      <w:pPr>
        <w:spacing w:before="240"/>
        <w:ind w:left="630" w:leftChars="300" w:firstLine="560" w:firstLineChars="200"/>
        <w:outlineLvl w:val="1"/>
        <w:rPr>
          <w:rFonts w:hint="eastAsia" w:ascii="仿宋" w:hAnsi="仿宋" w:eastAsia="仿宋" w:cs="宋体"/>
          <w:color w:val="auto"/>
          <w:kern w:val="0"/>
          <w:sz w:val="28"/>
          <w:szCs w:val="28"/>
          <w:lang w:val="en-US" w:eastAsia="zh-CN"/>
          <w14:ligatures w14:val="none"/>
        </w:rPr>
      </w:pPr>
      <w:bookmarkStart w:id="4" w:name="_Toc303289131"/>
      <w:r>
        <w:rPr>
          <w:rFonts w:hint="eastAsia" w:ascii="仿宋" w:hAnsi="仿宋" w:eastAsia="仿宋" w:cs="宋体"/>
          <w:color w:val="auto"/>
          <w:kern w:val="0"/>
          <w:sz w:val="28"/>
          <w:szCs w:val="28"/>
          <w:lang w:val="en-US" w:eastAsia="zh-CN"/>
          <w14:ligatures w14:val="none"/>
        </w:rPr>
        <w:t>1.2 项目范围</w:t>
      </w:r>
      <w:bookmarkEnd w:id="4"/>
    </w:p>
    <w:p w14:paraId="171C826C">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覆盖全自动萃取工站、全自动 GC 检测工站、智能中转模块、中央控制系统、LIMS 对接接口，实现从滤纸样品前处理到 GC 检测、数据上传的全流程自动化、信息化、智能化。</w:t>
      </w:r>
    </w:p>
    <w:p w14:paraId="3D9A97CB">
      <w:pPr>
        <w:pStyle w:val="2"/>
        <w:rPr>
          <w:rFonts w:hint="eastAsia"/>
          <w:lang w:val="en-US" w:eastAsia="zh-CN"/>
        </w:rPr>
      </w:pPr>
    </w:p>
    <w:p w14:paraId="5539CBEE">
      <w:pPr>
        <w:spacing w:before="240"/>
        <w:rPr>
          <w:rFonts w:hint="eastAsia" w:ascii="仿宋" w:hAnsi="仿宋" w:eastAsia="仿宋" w:cs="宋体"/>
          <w:color w:val="auto"/>
          <w:kern w:val="0"/>
          <w:sz w:val="28"/>
          <w:szCs w:val="28"/>
          <w:lang w:val="en-US" w:eastAsia="zh-CN"/>
          <w14:ligatures w14:val="none"/>
        </w:rPr>
      </w:pPr>
    </w:p>
    <w:p w14:paraId="6EF594CF">
      <w:pPr>
        <w:spacing w:before="240"/>
        <w:rPr>
          <w:rFonts w:hint="eastAsia" w:ascii="仿宋" w:hAnsi="仿宋" w:eastAsia="仿宋" w:cs="宋体"/>
          <w:color w:val="auto"/>
          <w:kern w:val="0"/>
          <w:sz w:val="28"/>
          <w:szCs w:val="28"/>
          <w:lang w:val="en-US" w:eastAsia="zh-CN"/>
          <w14:ligatures w14:val="none"/>
        </w:rPr>
      </w:pPr>
    </w:p>
    <w:p w14:paraId="33F95827">
      <w:pPr>
        <w:spacing w:before="240"/>
        <w:rPr>
          <w:rFonts w:hint="eastAsia" w:ascii="仿宋" w:hAnsi="仿宋" w:eastAsia="仿宋" w:cs="宋体"/>
          <w:color w:val="auto"/>
          <w:kern w:val="0"/>
          <w:sz w:val="28"/>
          <w:szCs w:val="28"/>
          <w:lang w:val="en-US" w:eastAsia="zh-CN"/>
          <w14:ligatures w14:val="none"/>
        </w:rPr>
      </w:pPr>
    </w:p>
    <w:p w14:paraId="0C6DBE11">
      <w:pPr>
        <w:spacing w:before="240"/>
        <w:rPr>
          <w:rFonts w:hint="eastAsia" w:ascii="仿宋" w:hAnsi="仿宋" w:eastAsia="仿宋" w:cs="宋体"/>
          <w:color w:val="auto"/>
          <w:kern w:val="0"/>
          <w:sz w:val="28"/>
          <w:szCs w:val="28"/>
          <w:lang w:val="en-US" w:eastAsia="zh-CN"/>
          <w14:ligatures w14:val="none"/>
        </w:rPr>
      </w:pPr>
    </w:p>
    <w:p w14:paraId="25376C23">
      <w:pPr>
        <w:spacing w:before="240"/>
        <w:rPr>
          <w:rFonts w:hint="eastAsia" w:ascii="仿宋" w:hAnsi="仿宋" w:eastAsia="仿宋" w:cs="宋体"/>
          <w:color w:val="auto"/>
          <w:kern w:val="0"/>
          <w:sz w:val="28"/>
          <w:szCs w:val="28"/>
          <w:lang w:val="en-US" w:eastAsia="zh-CN"/>
          <w14:ligatures w14:val="none"/>
        </w:rPr>
      </w:pPr>
    </w:p>
    <w:p w14:paraId="0150E66C">
      <w:pPr>
        <w:rPr>
          <w:rFonts w:hint="eastAsia" w:ascii="仿宋" w:hAnsi="仿宋" w:eastAsia="仿宋" w:cs="宋体"/>
          <w:color w:val="auto"/>
          <w:kern w:val="0"/>
          <w:sz w:val="28"/>
          <w:szCs w:val="28"/>
          <w:lang w:val="en-US" w:eastAsia="zh-CN"/>
          <w14:ligatures w14:val="none"/>
        </w:rPr>
      </w:pPr>
    </w:p>
    <w:p w14:paraId="23D6BA2A">
      <w:pPr>
        <w:pStyle w:val="3"/>
        <w:numPr>
          <w:ilvl w:val="0"/>
          <w:numId w:val="3"/>
        </w:numPr>
        <w:bidi w:val="0"/>
        <w:spacing w:line="240" w:lineRule="auto"/>
        <w:rPr>
          <w:rFonts w:hint="eastAsia" w:ascii="仿宋" w:hAnsi="仿宋" w:eastAsia="仿宋" w:cs="仿宋"/>
          <w:b/>
          <w:sz w:val="36"/>
          <w:szCs w:val="36"/>
          <w:lang w:val="en-US" w:eastAsia="zh-CN"/>
        </w:rPr>
      </w:pPr>
      <w:bookmarkStart w:id="5" w:name="_Toc1401730386"/>
      <w:r>
        <w:rPr>
          <w:rFonts w:hint="eastAsia" w:ascii="仿宋" w:hAnsi="仿宋" w:eastAsia="仿宋" w:cs="仿宋"/>
          <w:b/>
          <w:sz w:val="36"/>
          <w:szCs w:val="36"/>
          <w:lang w:val="en-US" w:eastAsia="zh-CN"/>
        </w:rPr>
        <w:t>自动化需求概述</w:t>
      </w:r>
      <w:bookmarkEnd w:id="5"/>
    </w:p>
    <w:p w14:paraId="6FC4C3F8">
      <w:pPr>
        <w:spacing w:before="240"/>
        <w:ind w:left="630" w:leftChars="300" w:firstLine="560" w:firstLineChars="200"/>
        <w:rPr>
          <w:rFonts w:hint="eastAsia"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本方案需严格依据GB/T 23203.1</w:t>
      </w:r>
      <w:r>
        <w:rPr>
          <w:rFonts w:hint="eastAsia" w:ascii="仿宋" w:hAnsi="仿宋" w:eastAsia="仿宋" w:cs="宋体"/>
          <w:color w:val="auto"/>
          <w:kern w:val="0"/>
          <w:sz w:val="28"/>
          <w:szCs w:val="28"/>
          <w:lang w:val="en-US" w:eastAsia="zh-CN"/>
          <w14:ligatures w14:val="none"/>
        </w:rPr>
        <w:noBreakHyphen/>
      </w:r>
      <w:r>
        <w:rPr>
          <w:rFonts w:hint="eastAsia" w:ascii="仿宋" w:hAnsi="仿宋" w:eastAsia="仿宋" w:cs="宋体"/>
          <w:color w:val="auto"/>
          <w:kern w:val="0"/>
          <w:sz w:val="28"/>
          <w:szCs w:val="28"/>
          <w:lang w:val="en-US" w:eastAsia="zh-CN"/>
          <w14:ligatures w14:val="none"/>
        </w:rPr>
        <w:t>2013（烟碱）与GB/T 23355</w:t>
      </w:r>
      <w:r>
        <w:rPr>
          <w:rFonts w:hint="eastAsia" w:ascii="仿宋" w:hAnsi="仿宋" w:eastAsia="仿宋" w:cs="宋体"/>
          <w:color w:val="auto"/>
          <w:kern w:val="0"/>
          <w:sz w:val="28"/>
          <w:szCs w:val="28"/>
          <w:lang w:val="en-US" w:eastAsia="zh-CN"/>
          <w14:ligatures w14:val="none"/>
        </w:rPr>
        <w:noBreakHyphen/>
      </w:r>
      <w:r>
        <w:rPr>
          <w:rFonts w:hint="eastAsia" w:ascii="仿宋" w:hAnsi="仿宋" w:eastAsia="仿宋" w:cs="宋体"/>
          <w:color w:val="auto"/>
          <w:kern w:val="0"/>
          <w:sz w:val="28"/>
          <w:szCs w:val="28"/>
          <w:lang w:val="en-US" w:eastAsia="zh-CN"/>
          <w14:ligatures w14:val="none"/>
        </w:rPr>
        <w:t>2009（水分）国家标准开展检测作业，实现从滤纸样品、萃取、过滤、GC 进样、检测、数据处理至 LIMS 上传的全流程无人化自动化。系统批次处理能力不低于 20 个样品，支持一次性完成 24 个样品（含空白样与质控样）的批量处理；采用 4 个样品为一组的作业模式，单组前处理时长为 50 分钟，24 个样品总前处理时长不超过 300 分钟（5 小时）。检测数据经自动审核后，需与现有 LIMS 系统实现自动同步与全程可追溯；系统应具备连续稳定运行能力，最大限度减少人工干预，有效降低人为操作误差。</w:t>
      </w:r>
    </w:p>
    <w:p w14:paraId="4A4B8F52">
      <w:pPr>
        <w:pStyle w:val="2"/>
        <w:rPr>
          <w:rFonts w:hint="eastAsia"/>
          <w:lang w:val="en-US" w:eastAsia="zh-CN"/>
        </w:rPr>
      </w:pPr>
    </w:p>
    <w:p w14:paraId="17F287B1">
      <w:pPr>
        <w:numPr>
          <w:ilvl w:val="0"/>
          <w:numId w:val="0"/>
        </w:numPr>
        <w:spacing w:before="240"/>
        <w:ind w:leftChars="200"/>
      </w:pPr>
      <w:r>
        <w:drawing>
          <wp:inline distT="0" distB="0" distL="114300" distR="114300">
            <wp:extent cx="6181725" cy="694055"/>
            <wp:effectExtent l="0" t="0" r="1587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181725" cy="694055"/>
                    </a:xfrm>
                    <a:prstGeom prst="rect">
                      <a:avLst/>
                    </a:prstGeom>
                    <a:noFill/>
                    <a:ln>
                      <a:noFill/>
                    </a:ln>
                  </pic:spPr>
                </pic:pic>
              </a:graphicData>
            </a:graphic>
          </wp:inline>
        </w:drawing>
      </w:r>
    </w:p>
    <w:p w14:paraId="4CE20E81">
      <w:pPr>
        <w:spacing w:before="240"/>
        <w:jc w:val="center"/>
        <w:rPr>
          <w:rFonts w:hint="eastAsia"/>
          <w:lang w:val="en-US" w:eastAsia="zh-CN"/>
        </w:rPr>
      </w:pPr>
      <w:r>
        <w:rPr>
          <w:rFonts w:hint="eastAsia" w:ascii="仿宋" w:hAnsi="仿宋" w:eastAsia="仿宋" w:cs="宋体"/>
          <w:color w:val="auto"/>
          <w:kern w:val="0"/>
          <w:sz w:val="28"/>
          <w:szCs w:val="28"/>
          <w:lang w:val="en-US" w:eastAsia="zh-CN"/>
          <w14:ligatures w14:val="none"/>
        </w:rPr>
        <w:t>图2-1-1 自动化水分和烟碱检测流程（绿色部分自动化实现）</w:t>
      </w:r>
    </w:p>
    <w:p w14:paraId="2A56D702">
      <w:pPr>
        <w:numPr>
          <w:ilvl w:val="0"/>
          <w:numId w:val="0"/>
        </w:numPr>
        <w:spacing w:before="240"/>
      </w:pPr>
    </w:p>
    <w:p w14:paraId="4A457DBF">
      <w:pPr>
        <w:rPr>
          <w:rFonts w:hint="eastAsia"/>
          <w:lang w:val="en-US" w:eastAsia="zh-CN"/>
        </w:rPr>
      </w:pPr>
      <w:r>
        <w:rPr>
          <w:rFonts w:hint="eastAsia"/>
          <w:lang w:val="en-US" w:eastAsia="zh-CN"/>
        </w:rPr>
        <w:br w:type="page"/>
      </w:r>
    </w:p>
    <w:p w14:paraId="3176B06F">
      <w:pPr>
        <w:pStyle w:val="3"/>
        <w:numPr>
          <w:ilvl w:val="0"/>
          <w:numId w:val="3"/>
        </w:numPr>
        <w:bidi w:val="0"/>
        <w:spacing w:line="240" w:lineRule="auto"/>
        <w:rPr>
          <w:rFonts w:hint="eastAsia" w:ascii="仿宋" w:hAnsi="仿宋" w:eastAsia="仿宋" w:cs="仿宋"/>
          <w:b/>
          <w:sz w:val="36"/>
          <w:szCs w:val="36"/>
          <w:lang w:val="en-US" w:eastAsia="zh-CN"/>
        </w:rPr>
      </w:pPr>
      <w:bookmarkStart w:id="6" w:name="_Toc986989912"/>
      <w:r>
        <w:rPr>
          <w:rFonts w:hint="eastAsia" w:ascii="仿宋" w:hAnsi="仿宋" w:eastAsia="仿宋" w:cs="仿宋"/>
          <w:b/>
          <w:sz w:val="36"/>
          <w:szCs w:val="36"/>
          <w:lang w:val="en-US" w:eastAsia="zh-CN"/>
        </w:rPr>
        <w:t>自动化详细设计方案</w:t>
      </w:r>
      <w:bookmarkEnd w:id="6"/>
    </w:p>
    <w:p w14:paraId="5FC416A8">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本系统采用模块化架构 + 智能中转联动 + 数字化管理一体化设计，整体划分为全自动萃取工站与全自动 GC 检测工站两大核心单元，通过智能调度与流程协同实现样品处理全链路闭环运行，各工站功能独立、接口统一、数据互通，可保障检测流程连续、稳定、高效执行，同时具备良好的扩展性与维护性。</w:t>
      </w:r>
    </w:p>
    <w:p w14:paraId="7F51583B">
      <w:pPr>
        <w:pStyle w:val="4"/>
        <w:bidi w:val="0"/>
        <w:rPr>
          <w:rFonts w:hint="eastAsia" w:ascii="仿宋" w:hAnsi="仿宋" w:eastAsia="仿宋" w:cs="仿宋"/>
          <w:sz w:val="30"/>
          <w:szCs w:val="30"/>
          <w:lang w:val="en-US" w:eastAsia="zh-CN"/>
        </w:rPr>
      </w:pPr>
      <w:bookmarkStart w:id="7" w:name="_Toc1175761556"/>
      <w:r>
        <w:rPr>
          <w:rFonts w:hint="eastAsia" w:ascii="仿宋" w:hAnsi="仿宋" w:eastAsia="仿宋" w:cs="仿宋"/>
          <w:sz w:val="30"/>
          <w:szCs w:val="30"/>
          <w:lang w:val="en-US" w:eastAsia="zh-CN"/>
        </w:rPr>
        <w:t>3.1 整体布局设计</w:t>
      </w:r>
      <w:bookmarkEnd w:id="7"/>
    </w:p>
    <w:p w14:paraId="51165D73">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系统整体布局遵循实验室合规、流程顺畅、操作便捷、运维高效原则，采用双工站 + 中转模块分布式布局，实现前处理与仪器检测物理分区、逻辑联动，有效避免交叉污染并提升空间利用率。</w:t>
      </w:r>
    </w:p>
    <w:p w14:paraId="22C23D82">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全自动萃取工站：按作业流程依次划分为上样区、扫码识别区、拔塞加液区、振摇提取区、过滤区、中转输出区，各区段流水线式衔接，实现样品从人工上样到萃取完成的连续自动化处理。</w:t>
      </w:r>
    </w:p>
    <w:p w14:paraId="3AAD32AC">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全自动 GC 检测工站：分为中转接驳区、机械臂上样区、GC 自动检测区、中控操作区，与萃取工站形成物理隔离，保障检测环境稳定、数据可靠。</w:t>
      </w:r>
    </w:p>
    <w:p w14:paraId="246D145D">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标准化与适配性：所有功能模块均为工厂预制、标准化集成产品，现场仅需完成模块拼接、电气对接、网络联通与联动调试，可显著缩短现场施工与部署周期；布局方案可根据实验室现有场地、排风、供电、给排水条件灵活调整，不改变实验室主体结构。</w:t>
      </w:r>
    </w:p>
    <w:p w14:paraId="025F1FBC">
      <w:pPr>
        <w:pStyle w:val="2"/>
        <w:ind w:left="638" w:leftChars="304" w:firstLine="618" w:firstLineChars="221"/>
        <w:rPr>
          <w:rFonts w:hint="eastAsia" w:ascii="仿宋" w:hAnsi="仿宋" w:eastAsia="仿宋" w:cs="宋体"/>
          <w:color w:val="auto"/>
          <w:kern w:val="0"/>
          <w:sz w:val="28"/>
          <w:szCs w:val="28"/>
          <w:lang w:val="en-US" w:eastAsia="zh-CN" w:bidi="ar-SA"/>
          <w14:ligatures w14:val="none"/>
        </w:rPr>
      </w:pPr>
    </w:p>
    <w:p w14:paraId="62A26517">
      <w:pPr>
        <w:rPr>
          <w:rFonts w:hint="eastAsia" w:ascii="仿宋" w:hAnsi="仿宋" w:eastAsia="仿宋" w:cs="宋体"/>
          <w:color w:val="auto"/>
          <w:kern w:val="0"/>
          <w:sz w:val="28"/>
          <w:szCs w:val="28"/>
          <w:lang w:val="en-US" w:eastAsia="zh-CN" w:bidi="ar-SA"/>
          <w14:ligatures w14:val="none"/>
        </w:rPr>
      </w:pPr>
      <w:r>
        <w:drawing>
          <wp:anchor distT="0" distB="0" distL="114300" distR="114300" simplePos="0" relativeHeight="251661312" behindDoc="0" locked="0" layoutInCell="1" allowOverlap="1">
            <wp:simplePos x="0" y="0"/>
            <wp:positionH relativeFrom="column">
              <wp:posOffset>508635</wp:posOffset>
            </wp:positionH>
            <wp:positionV relativeFrom="paragraph">
              <wp:posOffset>69215</wp:posOffset>
            </wp:positionV>
            <wp:extent cx="5114290" cy="1800225"/>
            <wp:effectExtent l="0" t="0" r="16510" b="3175"/>
            <wp:wrapNone/>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6"/>
                    <a:stretch>
                      <a:fillRect/>
                    </a:stretch>
                  </pic:blipFill>
                  <pic:spPr>
                    <a:xfrm>
                      <a:off x="0" y="0"/>
                      <a:ext cx="5114290" cy="1800225"/>
                    </a:xfrm>
                    <a:prstGeom prst="rect">
                      <a:avLst/>
                    </a:prstGeom>
                    <a:noFill/>
                    <a:ln>
                      <a:noFill/>
                    </a:ln>
                  </pic:spPr>
                </pic:pic>
              </a:graphicData>
            </a:graphic>
          </wp:anchor>
        </w:drawing>
      </w:r>
    </w:p>
    <w:p w14:paraId="494B4578">
      <w:pPr>
        <w:pStyle w:val="2"/>
        <w:rPr>
          <w:rFonts w:hint="eastAsia" w:ascii="仿宋" w:hAnsi="仿宋" w:eastAsia="仿宋" w:cs="宋体"/>
          <w:color w:val="auto"/>
          <w:kern w:val="0"/>
          <w:sz w:val="28"/>
          <w:szCs w:val="28"/>
          <w:lang w:val="en-US" w:eastAsia="zh-CN" w:bidi="ar-SA"/>
          <w14:ligatures w14:val="none"/>
        </w:rPr>
      </w:pPr>
    </w:p>
    <w:p w14:paraId="7003BE76">
      <w:pPr>
        <w:rPr>
          <w:rFonts w:hint="eastAsia" w:ascii="仿宋" w:hAnsi="仿宋" w:eastAsia="仿宋" w:cs="宋体"/>
          <w:color w:val="auto"/>
          <w:kern w:val="0"/>
          <w:sz w:val="28"/>
          <w:szCs w:val="28"/>
          <w:lang w:val="en-US" w:eastAsia="zh-CN" w:bidi="ar-SA"/>
          <w14:ligatures w14:val="none"/>
        </w:rPr>
      </w:pPr>
    </w:p>
    <w:p w14:paraId="745A6008">
      <w:pPr>
        <w:pStyle w:val="2"/>
        <w:rPr>
          <w:rFonts w:hint="eastAsia" w:ascii="仿宋" w:hAnsi="仿宋" w:eastAsia="仿宋" w:cs="宋体"/>
          <w:color w:val="auto"/>
          <w:kern w:val="0"/>
          <w:sz w:val="28"/>
          <w:szCs w:val="28"/>
          <w:lang w:val="en-US" w:eastAsia="zh-CN" w:bidi="ar-SA"/>
          <w14:ligatures w14:val="none"/>
        </w:rPr>
      </w:pPr>
    </w:p>
    <w:p w14:paraId="6C40A3EF">
      <w:pPr>
        <w:rPr>
          <w:rFonts w:hint="eastAsia" w:ascii="仿宋" w:hAnsi="仿宋" w:eastAsia="仿宋" w:cs="宋体"/>
          <w:color w:val="auto"/>
          <w:kern w:val="0"/>
          <w:sz w:val="28"/>
          <w:szCs w:val="28"/>
          <w:lang w:val="en-US" w:eastAsia="zh-CN" w:bidi="ar-SA"/>
          <w14:ligatures w14:val="none"/>
        </w:rPr>
      </w:pPr>
    </w:p>
    <w:p w14:paraId="46FFB194">
      <w:pPr>
        <w:pStyle w:val="2"/>
        <w:rPr>
          <w:rFonts w:hint="eastAsia" w:ascii="仿宋" w:hAnsi="仿宋" w:eastAsia="仿宋" w:cs="宋体"/>
          <w:color w:val="auto"/>
          <w:kern w:val="0"/>
          <w:sz w:val="28"/>
          <w:szCs w:val="28"/>
          <w:lang w:val="en-US" w:eastAsia="zh-CN" w:bidi="ar-SA"/>
          <w14:ligatures w14:val="none"/>
        </w:rPr>
      </w:pPr>
    </w:p>
    <w:p w14:paraId="4EC2548B">
      <w:pPr>
        <w:spacing w:before="240"/>
        <w:jc w:val="center"/>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14:ligatures w14:val="none"/>
        </w:rPr>
        <w:t>图3-1-1 整体布局设计示意图</w:t>
      </w:r>
    </w:p>
    <w:p w14:paraId="397625E5">
      <w:pPr>
        <w:pStyle w:val="2"/>
        <w:rPr>
          <w:rFonts w:hint="eastAsia" w:ascii="仿宋" w:hAnsi="仿宋" w:eastAsia="仿宋" w:cs="宋体"/>
          <w:color w:val="auto"/>
          <w:kern w:val="0"/>
          <w:sz w:val="28"/>
          <w:szCs w:val="28"/>
          <w:lang w:val="en-US" w:eastAsia="zh-CN" w:bidi="ar-SA"/>
          <w14:ligatures w14:val="none"/>
        </w:rPr>
      </w:pPr>
      <w:r>
        <w:drawing>
          <wp:anchor distT="0" distB="0" distL="114300" distR="114300" simplePos="0" relativeHeight="251660288" behindDoc="0" locked="0" layoutInCell="1" allowOverlap="1">
            <wp:simplePos x="0" y="0"/>
            <wp:positionH relativeFrom="column">
              <wp:posOffset>1270000</wp:posOffset>
            </wp:positionH>
            <wp:positionV relativeFrom="paragraph">
              <wp:posOffset>151130</wp:posOffset>
            </wp:positionV>
            <wp:extent cx="3498215" cy="2087880"/>
            <wp:effectExtent l="0" t="0" r="6985" b="20320"/>
            <wp:wrapNone/>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pic:cNvPicPr>
                      <a:picLocks noChangeAspect="1"/>
                    </pic:cNvPicPr>
                  </pic:nvPicPr>
                  <pic:blipFill>
                    <a:blip r:embed="rId7"/>
                    <a:stretch>
                      <a:fillRect/>
                    </a:stretch>
                  </pic:blipFill>
                  <pic:spPr>
                    <a:xfrm>
                      <a:off x="0" y="0"/>
                      <a:ext cx="3498215" cy="2087880"/>
                    </a:xfrm>
                    <a:prstGeom prst="rect">
                      <a:avLst/>
                    </a:prstGeom>
                    <a:noFill/>
                    <a:ln>
                      <a:noFill/>
                    </a:ln>
                  </pic:spPr>
                </pic:pic>
              </a:graphicData>
            </a:graphic>
          </wp:anchor>
        </w:drawing>
      </w:r>
    </w:p>
    <w:p w14:paraId="7B60B115">
      <w:pPr>
        <w:rPr>
          <w:rFonts w:hint="eastAsia" w:ascii="仿宋" w:hAnsi="仿宋" w:eastAsia="仿宋" w:cs="宋体"/>
          <w:color w:val="auto"/>
          <w:kern w:val="0"/>
          <w:sz w:val="28"/>
          <w:szCs w:val="28"/>
          <w:lang w:val="en-US" w:eastAsia="zh-CN" w:bidi="ar-SA"/>
          <w14:ligatures w14:val="none"/>
        </w:rPr>
      </w:pPr>
    </w:p>
    <w:p w14:paraId="6FF6ACE5">
      <w:pPr>
        <w:pStyle w:val="2"/>
        <w:rPr>
          <w:rFonts w:hint="eastAsia" w:ascii="仿宋" w:hAnsi="仿宋" w:eastAsia="仿宋" w:cs="宋体"/>
          <w:color w:val="auto"/>
          <w:kern w:val="0"/>
          <w:sz w:val="28"/>
          <w:szCs w:val="28"/>
          <w:lang w:val="en-US" w:eastAsia="zh-CN" w:bidi="ar-SA"/>
          <w14:ligatures w14:val="none"/>
        </w:rPr>
      </w:pPr>
    </w:p>
    <w:p w14:paraId="65504BDC">
      <w:pPr>
        <w:rPr>
          <w:rFonts w:hint="eastAsia" w:ascii="仿宋" w:hAnsi="仿宋" w:eastAsia="仿宋" w:cs="宋体"/>
          <w:color w:val="auto"/>
          <w:kern w:val="0"/>
          <w:sz w:val="28"/>
          <w:szCs w:val="28"/>
          <w:lang w:val="en-US" w:eastAsia="zh-CN" w:bidi="ar-SA"/>
          <w14:ligatures w14:val="none"/>
        </w:rPr>
      </w:pPr>
    </w:p>
    <w:p w14:paraId="6E5CBF0A">
      <w:pPr>
        <w:pStyle w:val="2"/>
        <w:rPr>
          <w:rFonts w:hint="eastAsia" w:ascii="仿宋" w:hAnsi="仿宋" w:eastAsia="仿宋" w:cs="宋体"/>
          <w:color w:val="auto"/>
          <w:kern w:val="0"/>
          <w:sz w:val="28"/>
          <w:szCs w:val="28"/>
          <w:lang w:val="en-US" w:eastAsia="zh-CN" w:bidi="ar-SA"/>
          <w14:ligatures w14:val="none"/>
        </w:rPr>
      </w:pPr>
    </w:p>
    <w:p w14:paraId="2B3F2054">
      <w:pPr>
        <w:rPr>
          <w:rFonts w:hint="eastAsia" w:ascii="仿宋" w:hAnsi="仿宋" w:eastAsia="仿宋" w:cs="宋体"/>
          <w:color w:val="auto"/>
          <w:kern w:val="0"/>
          <w:sz w:val="28"/>
          <w:szCs w:val="28"/>
          <w:lang w:val="en-US" w:eastAsia="zh-CN" w:bidi="ar-SA"/>
          <w14:ligatures w14:val="none"/>
        </w:rPr>
      </w:pPr>
    </w:p>
    <w:p w14:paraId="259CFB99">
      <w:pPr>
        <w:rPr>
          <w:rFonts w:hint="eastAsia"/>
          <w:lang w:val="en-US" w:eastAsia="zh-CN"/>
        </w:rPr>
      </w:pPr>
    </w:p>
    <w:p w14:paraId="6AAACF71">
      <w:pPr>
        <w:spacing w:before="240"/>
        <w:jc w:val="center"/>
        <w:rPr>
          <w:rFonts w:hint="eastAsia"/>
          <w:lang w:val="en-US" w:eastAsia="zh-CN"/>
        </w:rPr>
      </w:pPr>
      <w:r>
        <w:rPr>
          <w:rFonts w:hint="eastAsia" w:ascii="仿宋" w:hAnsi="仿宋" w:eastAsia="仿宋" w:cs="宋体"/>
          <w:color w:val="auto"/>
          <w:kern w:val="0"/>
          <w:sz w:val="28"/>
          <w:szCs w:val="28"/>
          <w:lang w:val="en-US" w:eastAsia="zh-CN"/>
          <w14:ligatures w14:val="none"/>
        </w:rPr>
        <w:t>图3-1-2 整体布局设计3D设计图</w:t>
      </w:r>
    </w:p>
    <w:p w14:paraId="322DADE8">
      <w:pPr>
        <w:pStyle w:val="2"/>
        <w:rPr>
          <w:rFonts w:hint="eastAsia" w:ascii="仿宋" w:hAnsi="仿宋" w:eastAsia="仿宋" w:cs="宋体"/>
          <w:color w:val="auto"/>
          <w:kern w:val="0"/>
          <w:sz w:val="28"/>
          <w:szCs w:val="28"/>
          <w:lang w:val="en-US" w:eastAsia="zh-CN" w:bidi="ar-SA"/>
          <w14:ligatures w14:val="none"/>
        </w:rPr>
      </w:pPr>
    </w:p>
    <w:p w14:paraId="247A0E02">
      <w:pPr>
        <w:pStyle w:val="4"/>
        <w:bidi w:val="0"/>
        <w:rPr>
          <w:rFonts w:hint="eastAsia" w:ascii="仿宋" w:hAnsi="仿宋" w:eastAsia="仿宋" w:cs="仿宋"/>
          <w:sz w:val="30"/>
          <w:szCs w:val="30"/>
          <w:lang w:val="en-US" w:eastAsia="zh-CN"/>
        </w:rPr>
      </w:pPr>
      <w:bookmarkStart w:id="8" w:name="_Toc2027435645"/>
      <w:r>
        <w:rPr>
          <w:rFonts w:hint="eastAsia" w:ascii="仿宋" w:hAnsi="仿宋" w:eastAsia="仿宋" w:cs="仿宋"/>
          <w:sz w:val="30"/>
          <w:szCs w:val="30"/>
          <w:lang w:val="en-US" w:eastAsia="zh-CN"/>
        </w:rPr>
        <w:t>3.2 全自动萃取工站</w:t>
      </w:r>
      <w:bookmarkEnd w:id="8"/>
    </w:p>
    <w:p w14:paraId="230A58AF">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全自动萃取工站是烟碱与水分检测前处理的核心单元，严格遵循国标要求，实现样品上料、信息识别、试剂添加、振摇提取、过滤分装全流程自动化，全程无需人工干预，确保前处理条件一致、结果重现性好。</w:t>
      </w:r>
    </w:p>
    <w:p w14:paraId="45EC5777">
      <w:pPr>
        <w:pStyle w:val="5"/>
        <w:ind w:firstLine="482"/>
        <w:rPr>
          <w:rFonts w:hint="eastAsia" w:ascii="仿宋" w:hAnsi="仿宋" w:eastAsia="仿宋" w:cs="宋体"/>
          <w:b/>
          <w:bCs/>
          <w:color w:val="auto"/>
          <w:kern w:val="0"/>
          <w:sz w:val="28"/>
          <w:szCs w:val="28"/>
          <w:lang w:val="en-US" w:eastAsia="zh-CN" w:bidi="ar-SA"/>
          <w14:ligatures w14:val="none"/>
        </w:rPr>
      </w:pPr>
      <w:bookmarkStart w:id="9" w:name="_Toc987858566"/>
      <w:r>
        <w:rPr>
          <w:rFonts w:hint="eastAsia" w:ascii="仿宋" w:hAnsi="仿宋" w:eastAsia="仿宋" w:cs="宋体"/>
          <w:b/>
          <w:bCs/>
          <w:color w:val="auto"/>
          <w:kern w:val="0"/>
          <w:sz w:val="28"/>
          <w:szCs w:val="28"/>
          <w:lang w:val="en-US" w:eastAsia="zh-CN" w:bidi="ar-SA"/>
          <w14:ligatures w14:val="none"/>
        </w:rPr>
        <w:t>3.2.1 工站组成</w:t>
      </w:r>
      <w:bookmarkEnd w:id="9"/>
    </w:p>
    <w:p w14:paraId="0A65E49E">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工站由上样托盘模块、扫码识别模块、面包瓶拔塞加液模块、振摇提取模块、过滤分装模块、中转输出模块构成，各模块协同作业，形成一体化前处理工作站。</w:t>
      </w:r>
    </w:p>
    <w:p w14:paraId="3E7955B8">
      <w:pPr>
        <w:pStyle w:val="5"/>
        <w:ind w:firstLine="482"/>
        <w:rPr>
          <w:rFonts w:hint="eastAsia" w:ascii="仿宋" w:hAnsi="仿宋" w:eastAsia="仿宋" w:cs="宋体"/>
          <w:b/>
          <w:bCs/>
          <w:color w:val="auto"/>
          <w:kern w:val="0"/>
          <w:sz w:val="28"/>
          <w:szCs w:val="28"/>
          <w:lang w:val="en-US" w:eastAsia="zh-CN" w:bidi="ar-SA"/>
          <w14:ligatures w14:val="none"/>
        </w:rPr>
      </w:pPr>
      <w:bookmarkStart w:id="10" w:name="_Toc742843805"/>
      <w:r>
        <w:rPr>
          <w:rFonts w:hint="eastAsia" w:ascii="仿宋" w:hAnsi="仿宋" w:eastAsia="仿宋" w:cs="宋体"/>
          <w:b/>
          <w:bCs/>
          <w:color w:val="auto"/>
          <w:kern w:val="0"/>
          <w:sz w:val="28"/>
          <w:szCs w:val="28"/>
          <w:lang w:val="en-US" w:eastAsia="zh-CN" w:bidi="ar-SA"/>
          <w14:ligatures w14:val="none"/>
        </w:rPr>
        <w:t>3.2.2 自动化流程</w:t>
      </w:r>
      <w:bookmarkEnd w:id="10"/>
    </w:p>
    <w:p w14:paraId="33FDB031">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人工上样：实验人员从烟气捕集器取下滤纸，折叠后放入面包瓶，粘贴样品条码，将面包瓶按位放入上样托盘（单托盘承载 12 个），再将托盘置于萃取工站指定上样位，同步备好 5ml 枪头、滤筒、2ml 进样小瓶等耗</w:t>
      </w:r>
      <w:r>
        <w:rPr>
          <w:rFonts w:hint="eastAsia" w:ascii="仿宋" w:hAnsi="仿宋" w:eastAsia="仿宋" w:cs="宋体"/>
          <w:color w:val="auto"/>
          <w:kern w:val="0"/>
          <w:sz w:val="28"/>
          <w:szCs w:val="28"/>
          <w:lang w:val="en-US" w:eastAsia="zh-CN" w:bidi="ar-SA"/>
          <w14:ligatures w14:val="none"/>
        </w:rPr>
        <w:t>材。</w:t>
      </w:r>
    </w:p>
    <w:p w14:paraId="4FBE92CA">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自动扫码：工站机械臂自动抓取面包瓶，移动至扫码区域，快速识别样品条码信息，完成样品身份核验与检测任务绑定，确保样品全程可追溯。</w:t>
      </w:r>
    </w:p>
    <w:p w14:paraId="5BBC31A0">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拔塞加液：面包瓶拔塞加液模块自动完成瓶塞拔除，按国标要求精密定量加入 50mL 萃取试剂，加液完成后自动盖紧瓶塞，防止挥发与污染。</w:t>
      </w:r>
    </w:p>
    <w:p w14:paraId="487BC0F3">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振摇提取：加液密封后的面包瓶送入振摇模块，执行30 分钟恒温恒速振摇提取，保证烟碱、水分等目标成分充分萃取，提取条件高度标准化。</w:t>
      </w:r>
    </w:p>
    <w:p w14:paraId="55E58AA7">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过滤分装：提取完成后再次自动拔塞，萃取液经过滤模块净化处理，去除固体杂质与颗粒物，滤液精准定量转移至 2ml 进样小瓶，满足 GC 进样要求。</w:t>
      </w:r>
    </w:p>
    <w:p w14:paraId="6333097E">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自动中转：装样完成的 2ml 进样小瓶，由中转输出模块自动输送至接驳位，等待进入全自动 GC 检测工站，实现前后工段无缝衔接。</w:t>
      </w:r>
    </w:p>
    <w:p w14:paraId="1B230D3A">
      <w:pPr>
        <w:pStyle w:val="5"/>
        <w:ind w:firstLine="482"/>
        <w:rPr>
          <w:rFonts w:hint="eastAsia" w:ascii="仿宋" w:hAnsi="仿宋" w:eastAsia="仿宋" w:cs="宋体"/>
          <w:b/>
          <w:bCs/>
          <w:color w:val="auto"/>
          <w:kern w:val="0"/>
          <w:sz w:val="28"/>
          <w:szCs w:val="28"/>
          <w:lang w:val="en-US" w:eastAsia="zh-CN" w:bidi="ar-SA"/>
          <w14:ligatures w14:val="none"/>
        </w:rPr>
      </w:pPr>
      <w:bookmarkStart w:id="11" w:name="_Toc1653390624"/>
      <w:r>
        <w:rPr>
          <w:rFonts w:hint="eastAsia" w:ascii="仿宋" w:hAnsi="仿宋" w:eastAsia="仿宋" w:cs="宋体"/>
          <w:b/>
          <w:bCs/>
          <w:color w:val="auto"/>
          <w:kern w:val="0"/>
          <w:sz w:val="28"/>
          <w:szCs w:val="28"/>
          <w:lang w:val="en-US" w:eastAsia="zh-CN" w:bidi="ar-SA"/>
          <w14:ligatures w14:val="none"/>
        </w:rPr>
        <w:t>3.2.3 关键技术指标</w:t>
      </w:r>
      <w:bookmarkEnd w:id="11"/>
    </w:p>
    <w:p w14:paraId="12C089E2">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上样托盘：单托盘 12 位，支持双托盘并行作业，最大同时承载 24 个样品。</w:t>
      </w:r>
    </w:p>
    <w:p w14:paraId="0FB4E7F5">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扫码模块：单样品响应时间≤500ms，连续识别稳定，标准状态下识别准确率≥99.9%。</w:t>
      </w:r>
    </w:p>
    <w:p w14:paraId="1F0A7ED6">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加液精度：50mL 定量加液，量程误差≤±1.0%，保证萃取体系一致性。</w:t>
      </w:r>
    </w:p>
    <w:p w14:paraId="23998289">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振摇模块：转速 0–3000rpm 连续可调，振摇时间 0–60min 可编程设定。</w:t>
      </w:r>
    </w:p>
    <w:p w14:paraId="4980885E">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过滤模块：支持常压过滤与负压过滤模式，适配烟草复杂基体萃取液，过滤效率高、无堵塞。</w:t>
      </w:r>
    </w:p>
    <w:p w14:paraId="22A40719">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处理通量：采用 4 个样品为一组的作业模式，24 个样品（含空白、质控样）总前处理时长≤300 分钟（5 小时）。</w:t>
      </w:r>
    </w:p>
    <w:p w14:paraId="684A7102">
      <w:pPr>
        <w:pStyle w:val="4"/>
        <w:bidi w:val="0"/>
        <w:rPr>
          <w:rFonts w:hint="eastAsia" w:ascii="仿宋" w:hAnsi="仿宋" w:eastAsia="仿宋" w:cs="仿宋"/>
          <w:sz w:val="30"/>
          <w:szCs w:val="30"/>
          <w:lang w:val="en-US" w:eastAsia="zh-CN"/>
        </w:rPr>
      </w:pPr>
      <w:bookmarkStart w:id="12" w:name="_Toc97825388"/>
      <w:r>
        <w:rPr>
          <w:rFonts w:hint="eastAsia" w:ascii="仿宋" w:hAnsi="仿宋" w:eastAsia="仿宋" w:cs="仿宋"/>
          <w:sz w:val="30"/>
          <w:szCs w:val="30"/>
          <w:lang w:val="en-US" w:eastAsia="zh-CN"/>
        </w:rPr>
        <w:t>3.3 全自动 GC 检测工站</w:t>
      </w:r>
      <w:bookmarkEnd w:id="12"/>
    </w:p>
    <w:p w14:paraId="2FAC9AD2">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全自动 GC 检测工站承接前处理完成的样品，实现自动上样、GC 检测、数据采集、结果计算、审核上传全自动化，与 LIMS 系统直连，完成检测业务闭环。</w:t>
      </w:r>
    </w:p>
    <w:p w14:paraId="5884766A">
      <w:pPr>
        <w:pStyle w:val="5"/>
        <w:ind w:firstLine="482"/>
        <w:rPr>
          <w:rFonts w:hint="eastAsia" w:ascii="仿宋" w:hAnsi="仿宋" w:eastAsia="仿宋" w:cs="宋体"/>
          <w:b/>
          <w:bCs/>
          <w:color w:val="auto"/>
          <w:kern w:val="0"/>
          <w:sz w:val="28"/>
          <w:szCs w:val="28"/>
          <w:lang w:val="en-US" w:eastAsia="zh-CN" w:bidi="ar-SA"/>
          <w14:ligatures w14:val="none"/>
        </w:rPr>
      </w:pPr>
      <w:bookmarkStart w:id="13" w:name="_Toc1326306161"/>
      <w:r>
        <w:rPr>
          <w:rFonts w:hint="eastAsia" w:ascii="仿宋" w:hAnsi="仿宋" w:eastAsia="仿宋" w:cs="宋体"/>
          <w:b/>
          <w:bCs/>
          <w:color w:val="auto"/>
          <w:kern w:val="0"/>
          <w:sz w:val="28"/>
          <w:szCs w:val="28"/>
          <w:lang w:val="en-US" w:eastAsia="zh-CN" w:bidi="ar-SA"/>
          <w14:ligatures w14:val="none"/>
        </w:rPr>
        <w:t>3.3.1 工站组成</w:t>
      </w:r>
      <w:bookmarkEnd w:id="13"/>
    </w:p>
    <w:p w14:paraId="0FCAA1BB">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工站由固定六轴机械臂、GC 自动进样器、GC 检测仪器、智能中控软件、LIMS 对接接口组成，硬件可靠、软件智能，满足高通量、高精度检测需求。</w:t>
      </w:r>
    </w:p>
    <w:p w14:paraId="3F72C8EF">
      <w:pPr>
        <w:pStyle w:val="5"/>
        <w:ind w:firstLine="482"/>
        <w:rPr>
          <w:rFonts w:hint="eastAsia" w:ascii="仿宋" w:hAnsi="仿宋" w:eastAsia="仿宋" w:cs="宋体"/>
          <w:b/>
          <w:bCs/>
          <w:color w:val="auto"/>
          <w:kern w:val="0"/>
          <w:sz w:val="28"/>
          <w:szCs w:val="28"/>
          <w:lang w:val="en-US" w:eastAsia="zh-CN" w:bidi="ar-SA"/>
          <w14:ligatures w14:val="none"/>
        </w:rPr>
      </w:pPr>
      <w:bookmarkStart w:id="14" w:name="_Toc347392067"/>
      <w:r>
        <w:rPr>
          <w:rFonts w:hint="eastAsia" w:ascii="仿宋" w:hAnsi="仿宋" w:eastAsia="仿宋" w:cs="宋体"/>
          <w:b/>
          <w:bCs/>
          <w:color w:val="auto"/>
          <w:kern w:val="0"/>
          <w:sz w:val="28"/>
          <w:szCs w:val="28"/>
          <w:lang w:val="en-US" w:eastAsia="zh-CN" w:bidi="ar-SA"/>
          <w14:ligatures w14:val="none"/>
        </w:rPr>
        <w:t>3.3.2 自动化流程</w:t>
      </w:r>
      <w:bookmarkEnd w:id="14"/>
    </w:p>
    <w:p w14:paraId="58B728A6">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自动上样：固定六轴机械臂从中转接驳位精准抓取 2ml 进样小瓶，平稳放置于 GC 自动进样器指定位，完成上料动作。</w:t>
      </w:r>
    </w:p>
    <w:p w14:paraId="332E31B4">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GC 检测：中控系统自动创建检测批次、生成唯一样品序列号，按预设方法驱动 GC 仪器完成自动进样、分离、分析与数据采集。</w:t>
      </w:r>
    </w:p>
    <w:p w14:paraId="641C78C0">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数据处理：系统依据 GB/T 23203.1-2013、GB/T 23355-2009 标准算法，自动计算水分、烟碱含量，完成结果判定与异常标记。</w:t>
      </w:r>
    </w:p>
    <w:p w14:paraId="29FA185B">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数据上传：检测结果经自动审核确认后，通过专用接口实时同步至江苏中烟现有 LIMS 系统，实现数据一次检测、全程共享。</w:t>
      </w:r>
    </w:p>
    <w:p w14:paraId="00D13F22">
      <w:pPr>
        <w:pStyle w:val="5"/>
        <w:ind w:firstLine="482"/>
        <w:rPr>
          <w:rFonts w:hint="eastAsia" w:ascii="仿宋" w:hAnsi="仿宋" w:eastAsia="仿宋" w:cs="宋体"/>
          <w:b/>
          <w:bCs/>
          <w:color w:val="auto"/>
          <w:kern w:val="0"/>
          <w:sz w:val="28"/>
          <w:szCs w:val="28"/>
          <w:lang w:val="en-US" w:eastAsia="zh-CN" w:bidi="ar-SA"/>
          <w14:ligatures w14:val="none"/>
        </w:rPr>
      </w:pPr>
      <w:bookmarkStart w:id="15" w:name="_Toc1757917523"/>
      <w:r>
        <w:rPr>
          <w:rFonts w:hint="eastAsia" w:ascii="仿宋" w:hAnsi="仿宋" w:eastAsia="仿宋" w:cs="宋体"/>
          <w:b/>
          <w:bCs/>
          <w:color w:val="auto"/>
          <w:kern w:val="0"/>
          <w:sz w:val="28"/>
          <w:szCs w:val="28"/>
          <w:lang w:val="en-US" w:eastAsia="zh-CN" w:bidi="ar-SA"/>
          <w14:ligatures w14:val="none"/>
        </w:rPr>
        <w:t>3.3.3 关键技术指标</w:t>
      </w:r>
      <w:bookmarkEnd w:id="15"/>
    </w:p>
    <w:p w14:paraId="108EF26C">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六轴机械臂：有效负载≥3kg，重复定位精度≤±0.1mm，动作平稳、抓取可靠。</w:t>
      </w:r>
    </w:p>
    <w:p w14:paraId="0198EC70">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GC 自动进样器：进样位≥100 位，支持连续批量进样，满足高通量检测需求。</w:t>
      </w:r>
    </w:p>
    <w:p w14:paraId="2FD3FDEE">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数据接口：支持 OPC、API、MQTT 等主流通讯协议，可与现有 LIMS 无缝对接，数据传输稳定。</w:t>
      </w:r>
    </w:p>
    <w:p w14:paraId="63F30D8D">
      <w:pPr>
        <w:spacing w:before="240" w:line="240" w:lineRule="auto"/>
        <w:ind w:left="638" w:leftChars="304" w:firstLine="618" w:firstLineChars="221"/>
        <w:jc w:val="left"/>
        <w:rPr>
          <w:rFonts w:hint="eastAsia" w:ascii="仿宋" w:hAnsi="仿宋" w:eastAsia="仿宋" w:cs="宋体"/>
          <w:color w:val="auto"/>
          <w:kern w:val="0"/>
          <w:sz w:val="28"/>
          <w:szCs w:val="28"/>
          <w:lang w:val="en-US" w:eastAsia="zh-CN" w:bidi="ar-SA"/>
          <w14:ligatures w14:val="none"/>
        </w:rPr>
      </w:pPr>
      <w:r>
        <w:rPr>
          <w:rFonts w:hint="eastAsia" w:ascii="仿宋" w:hAnsi="仿宋" w:eastAsia="仿宋" w:cs="宋体"/>
          <w:color w:val="auto"/>
          <w:kern w:val="0"/>
          <w:sz w:val="28"/>
          <w:szCs w:val="28"/>
          <w:lang w:val="en-US" w:eastAsia="zh-CN" w:bidi="ar-SA"/>
          <w14:ligatures w14:val="none"/>
        </w:rPr>
        <w:t>追溯能力：全流程操作日志、色谱图、检测数据、结果报告永久存储，支持审计追踪、溯源查询。</w:t>
      </w:r>
    </w:p>
    <w:p w14:paraId="4458BE46">
      <w:pPr>
        <w:rPr>
          <w:rFonts w:hint="eastAsia"/>
          <w:lang w:val="en-US" w:eastAsia="zh-CN"/>
        </w:rPr>
      </w:pPr>
    </w:p>
    <w:p w14:paraId="69937BC7">
      <w:pPr>
        <w:pStyle w:val="4"/>
        <w:bidi w:val="0"/>
        <w:spacing w:line="240" w:lineRule="auto"/>
        <w:rPr>
          <w:rFonts w:hint="eastAsia" w:ascii="仿宋" w:hAnsi="仿宋" w:eastAsia="仿宋" w:cs="仿宋"/>
          <w:color w:val="auto"/>
          <w:sz w:val="30"/>
          <w:szCs w:val="30"/>
          <w:lang w:val="en-US" w:eastAsia="zh-CN"/>
        </w:rPr>
      </w:pPr>
      <w:bookmarkStart w:id="16" w:name="_Toc239793635"/>
      <w:r>
        <w:rPr>
          <w:rFonts w:hint="eastAsia" w:ascii="仿宋" w:hAnsi="仿宋" w:eastAsia="仿宋" w:cs="仿宋"/>
          <w:color w:val="auto"/>
          <w:sz w:val="30"/>
          <w:szCs w:val="30"/>
          <w:lang w:val="en-US" w:eastAsia="zh-CN"/>
        </w:rPr>
        <w:t>3.</w:t>
      </w:r>
      <w:r>
        <w:rPr>
          <w:rFonts w:hint="default" w:ascii="仿宋" w:hAnsi="仿宋" w:eastAsia="仿宋" w:cs="仿宋"/>
          <w:color w:val="auto"/>
          <w:sz w:val="30"/>
          <w:szCs w:val="30"/>
          <w:lang w:val="en-US" w:eastAsia="zh-CN"/>
        </w:rPr>
        <w:t>4</w:t>
      </w:r>
      <w:r>
        <w:rPr>
          <w:rFonts w:hint="eastAsia" w:ascii="仿宋" w:hAnsi="仿宋" w:eastAsia="仿宋" w:cs="仿宋"/>
          <w:color w:val="auto"/>
          <w:sz w:val="30"/>
          <w:szCs w:val="30"/>
          <w:lang w:val="en-US" w:eastAsia="zh-CN"/>
        </w:rPr>
        <w:t xml:space="preserve"> 中央控制和调度系统</w:t>
      </w:r>
      <w:bookmarkEnd w:id="16"/>
    </w:p>
    <w:p w14:paraId="21F55176">
      <w:pPr>
        <w:ind w:firstLine="560" w:firstLineChars="200"/>
      </w:pPr>
      <w:r>
        <w:rPr>
          <w:rFonts w:hint="eastAsia" w:ascii="仿宋" w:hAnsi="仿宋" w:eastAsia="仿宋" w:cs="宋体"/>
          <w:b w:val="0"/>
          <w:bCs w:val="0"/>
          <w:color w:val="auto"/>
          <w:kern w:val="0"/>
          <w:sz w:val="28"/>
          <w:szCs w:val="28"/>
          <w:lang w:val="en-US" w:eastAsia="zh-CN" w:bidi="ar-SA"/>
          <w14:ligatures w14:val="none"/>
        </w:rPr>
        <w:t>中央控制系统是一个基于现代云原生技术栈构建的分布式实验室管理平台，采用四层架构设计，实现了从硬件设备到用户界面的全链路数字化管理。采用B/S架构，无需安装客户端，直接通过浏览器进行访问。系统平台后端开发语言为C#，依托</w:t>
      </w:r>
      <w:r>
        <w:rPr>
          <w:rFonts w:hint="eastAsia" w:ascii="仿宋" w:hAnsi="仿宋" w:eastAsia="仿宋" w:cs="宋体"/>
          <w:b w:val="0"/>
          <w:bCs w:val="0"/>
          <w:color w:val="auto"/>
          <w:kern w:val="0"/>
          <w:sz w:val="28"/>
          <w:szCs w:val="28"/>
          <w:lang w:val="en-US" w:eastAsia="zh-CN" w:bidi="ar-SA"/>
          <w14:ligatures w14:val="none"/>
        </w:rPr>
        <w:fldChar w:fldCharType="begin"/>
      </w:r>
      <w:r>
        <w:rPr>
          <w:rFonts w:hint="eastAsia" w:ascii="仿宋" w:hAnsi="仿宋" w:eastAsia="仿宋" w:cs="宋体"/>
          <w:b w:val="0"/>
          <w:bCs w:val="0"/>
          <w:color w:val="auto"/>
          <w:kern w:val="0"/>
          <w:sz w:val="28"/>
          <w:szCs w:val="28"/>
          <w:lang w:val="en-US" w:eastAsia="zh-CN" w:bidi="ar-SA"/>
          <w14:ligatures w14:val="none"/>
        </w:rPr>
        <w:instrText xml:space="preserve"> HYPERLINK "https://ASP.NET" \t "_blank" </w:instrText>
      </w:r>
      <w:r>
        <w:rPr>
          <w:rFonts w:hint="eastAsia" w:ascii="仿宋" w:hAnsi="仿宋" w:eastAsia="仿宋" w:cs="宋体"/>
          <w:b w:val="0"/>
          <w:bCs w:val="0"/>
          <w:color w:val="auto"/>
          <w:kern w:val="0"/>
          <w:sz w:val="28"/>
          <w:szCs w:val="28"/>
          <w:lang w:val="en-US" w:eastAsia="zh-CN" w:bidi="ar-SA"/>
          <w14:ligatures w14:val="none"/>
        </w:rPr>
        <w:fldChar w:fldCharType="separate"/>
      </w:r>
      <w:r>
        <w:rPr>
          <w:rFonts w:hint="eastAsia" w:ascii="仿宋" w:hAnsi="仿宋" w:eastAsia="仿宋" w:cs="宋体"/>
          <w:b w:val="0"/>
          <w:bCs w:val="0"/>
          <w:color w:val="auto"/>
          <w:kern w:val="0"/>
          <w:sz w:val="28"/>
          <w:szCs w:val="28"/>
          <w:lang w:val="en-US" w:eastAsia="zh-CN" w:bidi="ar-SA"/>
          <w14:ligatures w14:val="none"/>
        </w:rPr>
        <w:t>ASP.NET</w:t>
      </w:r>
      <w:r>
        <w:rPr>
          <w:rFonts w:hint="eastAsia" w:ascii="仿宋" w:hAnsi="仿宋" w:eastAsia="仿宋" w:cs="宋体"/>
          <w:b w:val="0"/>
          <w:bCs w:val="0"/>
          <w:color w:val="auto"/>
          <w:kern w:val="0"/>
          <w:sz w:val="28"/>
          <w:szCs w:val="28"/>
          <w:lang w:val="en-US" w:eastAsia="zh-CN" w:bidi="ar-SA"/>
          <w14:ligatures w14:val="none"/>
        </w:rPr>
        <w:fldChar w:fldCharType="end"/>
      </w:r>
      <w:r>
        <w:rPr>
          <w:rFonts w:hint="eastAsia" w:ascii="仿宋" w:hAnsi="仿宋" w:eastAsia="仿宋" w:cs="宋体"/>
          <w:b w:val="0"/>
          <w:bCs w:val="0"/>
          <w:color w:val="auto"/>
          <w:kern w:val="0"/>
          <w:sz w:val="28"/>
          <w:szCs w:val="28"/>
          <w:lang w:val="en-US" w:eastAsia="zh-CN" w:bidi="ar-SA"/>
          <w14:ligatures w14:val="none"/>
        </w:rPr>
        <w:t xml:space="preserve"> Core 完美契合 B/S 架构，具备工业级的数据处理、硬件集成能力，强类型、GC、完善的异常处理，满足软件 7×24 小时稳定运行的核心需求，具备开发效率高、部署维护简单、生态完善等特点，降低软件从开发到落地的全周期成本。前端web应用采用VUE 3.x框架，快速适配复杂业务场景逻辑的开发与维护，与 C# 后端无缝协作，具备轻量化、精准响应、大数据处理能力等特点，适配工业级现场的网络和数据场景。</w:t>
      </w:r>
    </w:p>
    <w:p w14:paraId="27692DF2">
      <w:pPr>
        <w:keepNext w:val="0"/>
        <w:keepLines w:val="0"/>
        <w:pageBreakBefore w:val="0"/>
        <w:widowControl/>
        <w:kinsoku w:val="0"/>
        <w:wordWrap/>
        <w:overflowPunct/>
        <w:topLinePunct w:val="0"/>
        <w:autoSpaceDE w:val="0"/>
        <w:autoSpaceDN w:val="0"/>
        <w:bidi w:val="0"/>
        <w:adjustRightInd w:val="0"/>
        <w:snapToGrid w:val="0"/>
        <w:spacing w:line="360" w:lineRule="auto"/>
        <w:textAlignment w:val="baseline"/>
      </w:pPr>
      <w:r>
        <w:drawing>
          <wp:anchor distT="0" distB="0" distL="114300" distR="114300" simplePos="0" relativeHeight="251659264" behindDoc="0" locked="0" layoutInCell="1" allowOverlap="1">
            <wp:simplePos x="0" y="0"/>
            <wp:positionH relativeFrom="column">
              <wp:posOffset>277495</wp:posOffset>
            </wp:positionH>
            <wp:positionV relativeFrom="paragraph">
              <wp:posOffset>323215</wp:posOffset>
            </wp:positionV>
            <wp:extent cx="5287010" cy="2630170"/>
            <wp:effectExtent l="0" t="0" r="21590" b="11430"/>
            <wp:wrapTopAndBottom/>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8"/>
                    <a:stretch>
                      <a:fillRect/>
                    </a:stretch>
                  </pic:blipFill>
                  <pic:spPr>
                    <a:xfrm>
                      <a:off x="0" y="0"/>
                      <a:ext cx="5287010" cy="2630170"/>
                    </a:xfrm>
                    <a:prstGeom prst="rect">
                      <a:avLst/>
                    </a:prstGeom>
                    <a:noFill/>
                    <a:ln>
                      <a:noFill/>
                    </a:ln>
                  </pic:spPr>
                </pic:pic>
              </a:graphicData>
            </a:graphic>
          </wp:anchor>
        </w:drawing>
      </w:r>
    </w:p>
    <w:p w14:paraId="6F1AAF7F">
      <w:pPr>
        <w:ind w:firstLine="560" w:firstLineChars="20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图3-4-1 系统架构图</w:t>
      </w:r>
    </w:p>
    <w:p w14:paraId="28434740">
      <w:pPr>
        <w:pStyle w:val="5"/>
        <w:ind w:left="0" w:leftChars="0" w:firstLine="0" w:firstLineChars="0"/>
        <w:rPr>
          <w:rFonts w:hint="default" w:ascii="仿宋" w:hAnsi="仿宋" w:eastAsia="仿宋" w:cs="宋体"/>
          <w:b w:val="0"/>
          <w:bCs w:val="0"/>
          <w:color w:val="auto"/>
          <w:kern w:val="0"/>
          <w:sz w:val="28"/>
          <w:szCs w:val="28"/>
          <w:lang w:val="en-US" w:eastAsia="zh-CN" w:bidi="ar-SA"/>
          <w14:ligatures w14:val="none"/>
        </w:rPr>
      </w:pPr>
      <w:bookmarkStart w:id="17" w:name="_Toc1532301673"/>
      <w:r>
        <w:rPr>
          <w:rFonts w:hint="eastAsia" w:ascii="仿宋" w:hAnsi="仿宋" w:eastAsia="仿宋" w:cs="宋体"/>
          <w:b w:val="0"/>
          <w:bCs w:val="0"/>
          <w:color w:val="auto"/>
          <w:kern w:val="0"/>
          <w:sz w:val="28"/>
          <w:szCs w:val="28"/>
          <w:lang w:val="en-US" w:eastAsia="zh-CN" w:bidi="ar-SA"/>
          <w14:ligatures w14:val="none"/>
        </w:rPr>
        <w:t>3.</w:t>
      </w:r>
      <w:r>
        <w:rPr>
          <w:rFonts w:hint="default" w:ascii="仿宋" w:hAnsi="仿宋" w:eastAsia="仿宋" w:cs="宋体"/>
          <w:b w:val="0"/>
          <w:bCs w:val="0"/>
          <w:color w:val="auto"/>
          <w:kern w:val="0"/>
          <w:sz w:val="28"/>
          <w:szCs w:val="28"/>
          <w:lang w:val="en-US" w:eastAsia="zh-CN" w:bidi="ar-SA"/>
          <w14:ligatures w14:val="none"/>
        </w:rPr>
        <w:t>4</w:t>
      </w:r>
      <w:r>
        <w:rPr>
          <w:rFonts w:hint="eastAsia" w:ascii="仿宋" w:hAnsi="仿宋" w:eastAsia="仿宋" w:cs="宋体"/>
          <w:b w:val="0"/>
          <w:bCs w:val="0"/>
          <w:color w:val="auto"/>
          <w:kern w:val="0"/>
          <w:sz w:val="28"/>
          <w:szCs w:val="28"/>
          <w:lang w:val="en-US" w:eastAsia="zh-CN" w:bidi="ar-SA"/>
          <w14:ligatures w14:val="none"/>
        </w:rPr>
        <w:t>.1 系统功能说明</w:t>
      </w:r>
      <w:bookmarkEnd w:id="17"/>
    </w:p>
    <w:p w14:paraId="4C4114A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sz w:val="24"/>
          <w:szCs w:val="24"/>
          <w:lang w:val="en-US" w:eastAsia="zh-CN"/>
        </w:rPr>
      </w:pPr>
      <w:r>
        <w:rPr>
          <w:rFonts w:hint="eastAsia" w:ascii="仿宋" w:hAnsi="仿宋" w:eastAsia="仿宋" w:cs="宋体"/>
          <w:b w:val="0"/>
          <w:bCs w:val="0"/>
          <w:color w:val="auto"/>
          <w:kern w:val="0"/>
          <w:sz w:val="28"/>
          <w:szCs w:val="28"/>
          <w:lang w:val="en-US" w:eastAsia="zh-CN" w:bidi="ar-SA"/>
          <w14:ligatures w14:val="none"/>
        </w:rPr>
        <w:t>中央控制系统包含基础数据模块、销售管理模块、样品管理模块、仓库管理模块、实验流程管理模块、实验调度模块、设备管理及自动化执行模块和数字化大屏模块。</w:t>
      </w:r>
    </w:p>
    <w:p w14:paraId="67440475">
      <w:pPr>
        <w:bidi w:val="0"/>
        <w:jc w:val="center"/>
        <w:rPr>
          <w:rFonts w:hint="eastAsia"/>
          <w:b/>
          <w:bCs/>
        </w:rPr>
      </w:pPr>
      <w:r>
        <w:drawing>
          <wp:inline distT="0" distB="0" distL="114300" distR="114300">
            <wp:extent cx="5244465" cy="2520315"/>
            <wp:effectExtent l="0" t="0" r="13335" b="196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9"/>
                    <a:stretch>
                      <a:fillRect/>
                    </a:stretch>
                  </pic:blipFill>
                  <pic:spPr>
                    <a:xfrm>
                      <a:off x="0" y="0"/>
                      <a:ext cx="5244465" cy="2520315"/>
                    </a:xfrm>
                    <a:prstGeom prst="rect">
                      <a:avLst/>
                    </a:prstGeom>
                    <a:noFill/>
                    <a:ln>
                      <a:noFill/>
                    </a:ln>
                  </pic:spPr>
                </pic:pic>
              </a:graphicData>
            </a:graphic>
          </wp:inline>
        </w:drawing>
      </w:r>
    </w:p>
    <w:p w14:paraId="349636EC">
      <w:pPr>
        <w:widowControl/>
        <w:ind w:firstLine="480"/>
        <w:jc w:val="center"/>
        <w:rPr>
          <w:rFonts w:hint="eastAsia"/>
          <w:b/>
          <w:bCs/>
        </w:rPr>
      </w:pPr>
    </w:p>
    <w:p w14:paraId="67351215">
      <w:pPr>
        <w:ind w:firstLine="560" w:firstLineChars="200"/>
        <w:jc w:val="center"/>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图3-4-2 系统功能架构图</w:t>
      </w:r>
    </w:p>
    <w:p w14:paraId="544A0B0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硬件与软件双端均具备良好的拓展性与可延展性。硬件层面，可支持通过增加检测仪器部署数量、对存量检测设备进行功能升级等途径，适配多样化检测指标的应用需求；软件层面，依托模块化架构设计，仅需完成简易参数配置即可实现功能适配，全程无需开展定制化开发工作，大幅降低后期运维成本与周期。</w:t>
      </w:r>
    </w:p>
    <w:p w14:paraId="1E2FBD1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（一）自动化功能</w:t>
      </w:r>
    </w:p>
    <w:p w14:paraId="043F5A7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1. 实验室调度控制功能</w:t>
      </w:r>
    </w:p>
    <w:p w14:paraId="6D2B5C6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通过建立实验室调度算法，对系统所有硬件及设备自动化控制，建立高效算法，实现各类资源智能调度，完成样品流转、分析检测、信息反馈与展示。</w:t>
      </w:r>
    </w:p>
    <w:p w14:paraId="34BCA02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2.单机设备执行功能</w:t>
      </w:r>
    </w:p>
    <w:p w14:paraId="2D59DF2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实现单机设备创建执行任务，并协调设备各模块之间互联互通与流程衔接，按标准要求控制各检测仪器按标准要求完成前处理和检测任务，并完成全过程执行参数监控和报警，实验数据的采集和处理。</w:t>
      </w:r>
    </w:p>
    <w:p w14:paraId="0257F52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3.</w:t>
      </w:r>
      <w:r>
        <w:rPr>
          <w:rFonts w:hint="eastAsia" w:ascii="仿宋" w:hAnsi="仿宋" w:eastAsia="仿宋" w:cs="宋体"/>
          <w:b w:val="0"/>
          <w:bCs w:val="0"/>
          <w:color w:val="auto"/>
          <w:kern w:val="0"/>
          <w:sz w:val="28"/>
          <w:szCs w:val="28"/>
          <w:lang w:val="en-US" w:eastAsia="zh-CN" w:bidi="ar-SA"/>
          <w14:ligatures w14:val="none"/>
        </w:rPr>
        <w:t>仓库管理及物料调度功能</w:t>
      </w:r>
    </w:p>
    <w:p w14:paraId="591E15F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实现样品瓶的自动暂存和检测出库，以及检测过程所有物料的自动出库调度。检测过程中耗材和试剂的实验实时监控和缺料报警，以及自动补料调度。</w:t>
      </w:r>
    </w:p>
    <w:p w14:paraId="4F830B4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76215" cy="2828290"/>
            <wp:effectExtent l="0" t="0" r="6985" b="16510"/>
            <wp:docPr id="6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2"/>
                    <pic:cNvPicPr>
                      <a:picLocks noChangeAspect="1"/>
                    </pic:cNvPicPr>
                  </pic:nvPicPr>
                  <pic:blipFill>
                    <a:blip r:embed="rId10"/>
                    <a:stretch>
                      <a:fillRect/>
                    </a:stretch>
                  </pic:blipFill>
                  <pic:spPr>
                    <a:xfrm>
                      <a:off x="0" y="0"/>
                      <a:ext cx="5276215" cy="2828290"/>
                    </a:xfrm>
                    <a:prstGeom prst="rect">
                      <a:avLst/>
                    </a:prstGeom>
                    <a:noFill/>
                    <a:ln>
                      <a:noFill/>
                    </a:ln>
                  </pic:spPr>
                </pic:pic>
              </a:graphicData>
            </a:graphic>
          </wp:inline>
        </w:drawing>
      </w:r>
    </w:p>
    <w:p w14:paraId="4E330D9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图3-4-3 仓库管理</w:t>
      </w:r>
    </w:p>
    <w:p w14:paraId="2C4A370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实现样品瓶空瓶清洗后的分拣分区入库和采气任务执行的自动出库。</w:t>
      </w:r>
    </w:p>
    <w:p w14:paraId="64DD63B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91455" cy="2843530"/>
            <wp:effectExtent l="0" t="0" r="17145" b="127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1"/>
                    <a:stretch>
                      <a:fillRect/>
                    </a:stretch>
                  </pic:blipFill>
                  <pic:spPr>
                    <a:xfrm>
                      <a:off x="0" y="0"/>
                      <a:ext cx="5291455" cy="2843530"/>
                    </a:xfrm>
                    <a:prstGeom prst="rect">
                      <a:avLst/>
                    </a:prstGeom>
                    <a:noFill/>
                    <a:ln>
                      <a:noFill/>
                    </a:ln>
                  </pic:spPr>
                </pic:pic>
              </a:graphicData>
            </a:graphic>
          </wp:inline>
        </w:drawing>
      </w:r>
    </w:p>
    <w:p w14:paraId="412EF24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图3-4-4 入库操作</w:t>
      </w:r>
    </w:p>
    <w:p w14:paraId="5F2FE0D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4.检测标准库和自动化实验流程库功能</w:t>
      </w:r>
    </w:p>
    <w:p w14:paraId="38FDE08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实现各检项检测和判定标准的电子库和数字化管理，包括标准基础资料、对应检项、检测限和最大最小限值，并在检测报告自动完成各检项的结果判定和预警。</w:t>
      </w:r>
    </w:p>
    <w:p w14:paraId="6868B19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91455" cy="2830195"/>
            <wp:effectExtent l="0" t="0" r="17145" b="1460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12"/>
                    <a:stretch>
                      <a:fillRect/>
                    </a:stretch>
                  </pic:blipFill>
                  <pic:spPr>
                    <a:xfrm>
                      <a:off x="0" y="0"/>
                      <a:ext cx="5291455" cy="2830195"/>
                    </a:xfrm>
                    <a:prstGeom prst="rect">
                      <a:avLst/>
                    </a:prstGeom>
                    <a:noFill/>
                    <a:ln>
                      <a:noFill/>
                    </a:ln>
                  </pic:spPr>
                </pic:pic>
              </a:graphicData>
            </a:graphic>
          </wp:inline>
        </w:drawing>
      </w:r>
    </w:p>
    <w:p w14:paraId="039F627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图3-4-5 标准库</w:t>
      </w:r>
    </w:p>
    <w:p w14:paraId="68B5EDB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实现各检测标准的前处理和检测流程电子化和标准化，并将检测流程和自动化设备执行流程进行自动化执行逻辑封装，确保所有检测项目的前处理和检测均能追溯至检测标准和执行设备。</w:t>
      </w:r>
    </w:p>
    <w:p w14:paraId="3B93544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4795520" cy="2163445"/>
            <wp:effectExtent l="12700" t="12700" r="17780" b="33655"/>
            <wp:docPr id="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pic:cNvPicPr>
                      <a:picLocks noChangeAspect="1"/>
                    </pic:cNvPicPr>
                  </pic:nvPicPr>
                  <pic:blipFill>
                    <a:blip r:embed="rId13"/>
                    <a:stretch>
                      <a:fillRect/>
                    </a:stretch>
                  </pic:blipFill>
                  <pic:spPr>
                    <a:xfrm>
                      <a:off x="0" y="0"/>
                      <a:ext cx="4795520" cy="2163445"/>
                    </a:xfrm>
                    <a:prstGeom prst="rect">
                      <a:avLst/>
                    </a:prstGeom>
                    <a:ln>
                      <a:solidFill>
                        <a:schemeClr val="tx1"/>
                      </a:solidFill>
                    </a:ln>
                  </pic:spPr>
                </pic:pic>
              </a:graphicData>
            </a:graphic>
          </wp:inline>
        </w:drawing>
      </w:r>
    </w:p>
    <w:p w14:paraId="5B602D5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图3-4-6 实验流程</w:t>
      </w:r>
    </w:p>
    <w:p w14:paraId="5974B0B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5.样品管理</w:t>
      </w:r>
    </w:p>
    <w:p w14:paraId="4EC5938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样品管理是智慧实验室管理系统的核心模块之一，旨在规范实验室样品从采样准备到最终处理的全生命周期管理，实现样品信息的可追溯、流程的标准化、操作的数字化，降低人工管理误差，提升实验室样品管理效率和合规性。</w:t>
      </w:r>
    </w:p>
    <w:p w14:paraId="4C22AC63">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样品管理模块覆盖采样前（标准/计划）- 采样中（登记）- 采样后（领用 /归还/退样/处理） 的全生命周期，实现样品信息全过程可追溯、流程标准化，每个核心功能均包含 “申请 - 审批 - 确认 - 记录” 的闭环流程，兼顾合规性和操作便捷性，另外样品台账、记录查询、报表等辅助功能在提升模块实用性的同时亦能满足实验室日常管理和数据统计需求。</w:t>
      </w:r>
    </w:p>
    <w:p w14:paraId="42BDA78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75580" cy="2809875"/>
            <wp:effectExtent l="0" t="0" r="7620" b="9525"/>
            <wp:docPr id="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
                    <pic:cNvPicPr>
                      <a:picLocks noChangeAspect="1"/>
                    </pic:cNvPicPr>
                  </pic:nvPicPr>
                  <pic:blipFill>
                    <a:blip r:embed="rId14"/>
                    <a:stretch>
                      <a:fillRect/>
                    </a:stretch>
                  </pic:blipFill>
                  <pic:spPr>
                    <a:xfrm>
                      <a:off x="0" y="0"/>
                      <a:ext cx="5275580" cy="2809875"/>
                    </a:xfrm>
                    <a:prstGeom prst="rect">
                      <a:avLst/>
                    </a:prstGeom>
                    <a:noFill/>
                    <a:ln>
                      <a:noFill/>
                    </a:ln>
                  </pic:spPr>
                </pic:pic>
              </a:graphicData>
            </a:graphic>
          </wp:inline>
        </w:drawing>
      </w:r>
    </w:p>
    <w:p w14:paraId="1214BF7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图3-4-7 采样管理</w:t>
      </w:r>
    </w:p>
    <w:p w14:paraId="3299D66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76215" cy="1999615"/>
            <wp:effectExtent l="0" t="0" r="6985" b="6985"/>
            <wp:docPr id="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5"/>
                    <pic:cNvPicPr>
                      <a:picLocks noChangeAspect="1"/>
                    </pic:cNvPicPr>
                  </pic:nvPicPr>
                  <pic:blipFill>
                    <a:blip r:embed="rId15"/>
                    <a:stretch>
                      <a:fillRect/>
                    </a:stretch>
                  </pic:blipFill>
                  <pic:spPr>
                    <a:xfrm>
                      <a:off x="0" y="0"/>
                      <a:ext cx="5276215" cy="1999615"/>
                    </a:xfrm>
                    <a:prstGeom prst="rect">
                      <a:avLst/>
                    </a:prstGeom>
                    <a:noFill/>
                    <a:ln>
                      <a:noFill/>
                    </a:ln>
                  </pic:spPr>
                </pic:pic>
              </a:graphicData>
            </a:graphic>
          </wp:inline>
        </w:drawing>
      </w:r>
    </w:p>
    <w:p w14:paraId="37CC74E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图3-4-8 来样登记</w:t>
      </w:r>
    </w:p>
    <w:p w14:paraId="408828D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6.实验室设备管理</w:t>
      </w:r>
    </w:p>
    <w:p w14:paraId="620408F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自动化实验室所有物流运输设备、仓储设备、分拣设备、分样设备、前处理设备和检测设备的电子台账管理。同时，每一份检测报告的设备使用记录均能进行正反向追溯。在运维管理方面，建立设备的维护和保养机制、故障记录和故障处理机制，自动提醒设备工程师对设备进行维护和保养，故障发生报警和自动恢复运行，确保检测工作的稳定运行。</w:t>
      </w:r>
    </w:p>
    <w:p w14:paraId="57B34AE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16525" cy="1407160"/>
            <wp:effectExtent l="0" t="0" r="15875" b="15240"/>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16"/>
                    <a:stretch>
                      <a:fillRect/>
                    </a:stretch>
                  </pic:blipFill>
                  <pic:spPr>
                    <a:xfrm>
                      <a:off x="0" y="0"/>
                      <a:ext cx="5216525" cy="1407160"/>
                    </a:xfrm>
                    <a:prstGeom prst="rect">
                      <a:avLst/>
                    </a:prstGeom>
                    <a:noFill/>
                    <a:ln>
                      <a:noFill/>
                    </a:ln>
                  </pic:spPr>
                </pic:pic>
              </a:graphicData>
            </a:graphic>
          </wp:inline>
        </w:drawing>
      </w:r>
    </w:p>
    <w:p w14:paraId="1E8F124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图3-4-9 设备台账</w:t>
      </w:r>
    </w:p>
    <w:p w14:paraId="45D5460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32400" cy="1374775"/>
            <wp:effectExtent l="0" t="0" r="0" b="22225"/>
            <wp:docPr id="4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1"/>
                    <pic:cNvPicPr>
                      <a:picLocks noChangeAspect="1"/>
                    </pic:cNvPicPr>
                  </pic:nvPicPr>
                  <pic:blipFill>
                    <a:blip r:embed="rId17"/>
                    <a:stretch>
                      <a:fillRect/>
                    </a:stretch>
                  </pic:blipFill>
                  <pic:spPr>
                    <a:xfrm>
                      <a:off x="0" y="0"/>
                      <a:ext cx="5232400" cy="1374775"/>
                    </a:xfrm>
                    <a:prstGeom prst="rect">
                      <a:avLst/>
                    </a:prstGeom>
                    <a:noFill/>
                    <a:ln>
                      <a:noFill/>
                    </a:ln>
                  </pic:spPr>
                </pic:pic>
              </a:graphicData>
            </a:graphic>
          </wp:inline>
        </w:drawing>
      </w:r>
    </w:p>
    <w:p w14:paraId="30D0BD0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图3-4-10 设备保养</w:t>
      </w:r>
    </w:p>
    <w:p w14:paraId="2DFF178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drawing>
          <wp:inline distT="0" distB="0" distL="114300" distR="114300">
            <wp:extent cx="5213350" cy="2936240"/>
            <wp:effectExtent l="0" t="0" r="19050" b="10160"/>
            <wp:docPr id="4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5"/>
                    <pic:cNvPicPr>
                      <a:picLocks noChangeAspect="1"/>
                    </pic:cNvPicPr>
                  </pic:nvPicPr>
                  <pic:blipFill>
                    <a:blip r:embed="rId18"/>
                    <a:stretch>
                      <a:fillRect/>
                    </a:stretch>
                  </pic:blipFill>
                  <pic:spPr>
                    <a:xfrm>
                      <a:off x="0" y="0"/>
                      <a:ext cx="5213350" cy="2936240"/>
                    </a:xfrm>
                    <a:prstGeom prst="rect">
                      <a:avLst/>
                    </a:prstGeom>
                    <a:noFill/>
                    <a:ln>
                      <a:noFill/>
                    </a:ln>
                  </pic:spPr>
                </pic:pic>
              </a:graphicData>
            </a:graphic>
          </wp:inline>
        </w:drawing>
      </w:r>
    </w:p>
    <w:p w14:paraId="4361A38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jc w:val="center"/>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图3-4-11 维修管理</w:t>
      </w:r>
    </w:p>
    <w:p w14:paraId="687A797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（二）数据管理功能</w:t>
      </w:r>
    </w:p>
    <w:p w14:paraId="403E032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智慧实验室管理系统实现高效、精准、安全的数据实时采集、计算、存储、分析、报告生成和反馈，推动数据流动与信息共享。</w:t>
      </w:r>
    </w:p>
    <w:p w14:paraId="2C99FEF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实验数据抓取与传输。系统可与 LIMS 对接，自动获取 LIMS 系统中的样品信息列表和任务信息列表，也可自行创建样品信息、生成实验任务，将检测任务下达分配至各自动化分析模块及机器人系统。分析完成后，自动读取样品分析分析结果和报告，经确认报出的数据可自动回传至LIMS。</w:t>
      </w:r>
    </w:p>
    <w:p w14:paraId="4AC956A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与实验室通风控制系统、有毒有害监测设备对接，自动控制通风系统启停，将通风开关、有害物质含量、检测任务关联，实现智能控制和自动报警。</w:t>
      </w:r>
    </w:p>
    <w:p w14:paraId="33F982F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各类检测设备配备数据处理软件，实现检测参数记录、结果计算、报告生成等功能，实现数据高精度计算和结果输出，人工模式下该功能可正常使用。</w:t>
      </w:r>
    </w:p>
    <w:p w14:paraId="03F880EE">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系统实时自动从检测设备（流动注射仪、光谱仪、滴定、分光光度等单元）采集数据。多通道并行采集数据，确保高通量检测的实时性；数据传输过程中自动校验，保障数据质量。</w:t>
      </w:r>
    </w:p>
    <w:p w14:paraId="6E6C95B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备数据清洗功能，对采集的数据进行规范处理，包括数据完整性校验、冗余数据清理等。按照分析标准制定专业算法，验证数据准确性和规范性。具备数据审查流程，按照质控样结果自动校验数据，具备数据人工核验流程，必要时选配。</w:t>
      </w:r>
    </w:p>
    <w:p w14:paraId="4481240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备实时数据存储和查询：将采集到的数据分类存储于数据库中。提供统一查询方式，可以对实验室的设备/仪器的运行数据、状态、检查结果、环境数据等根据时间条件进行查询，具体包括：支持数据存储自定义功能，用户可以配置采集数据是否记录历史；支持查询功能，用户可以对保存的历史数进行查询；支持分析结果按检测项目、样品编号、时间、设备编号等多维度展示，支持大批量数据的高效管理与快速检索。支持统计和趋势查询；支持智慧实验室管控系统对数据的查询；支持多条件模糊查询。</w:t>
      </w:r>
    </w:p>
    <w:p w14:paraId="7BBDF44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（三）数据智能监测分析功能 </w:t>
      </w:r>
    </w:p>
    <w:p w14:paraId="5F0013B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具备样品智能分析预警功能，基于历史数据，建立水质上下游、指标关联性知识库。</w:t>
      </w:r>
    </w:p>
    <w:p w14:paraId="1C2AFDF3">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能够针对各项水质检测结果，设定水质指标阈值，开展动态趋势分析，能够自动抓取上、下游关联样品监测数据，判断水质异常情况，推断可能出现的设备故障、管线内漏、药剂不足等工况异常。</w:t>
      </w:r>
    </w:p>
    <w:p w14:paraId="07BC647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自动生成水质异常、工况异常告警信息，推送至中央控制系统，由质检人员及时反馈生产单位工艺操作人员，帮助及时优化调整工艺参数、预防设备故障并提高产品质量。</w:t>
      </w:r>
    </w:p>
    <w:p w14:paraId="6BC8105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（四）报表和统计功能</w:t>
      </w:r>
    </w:p>
    <w:p w14:paraId="205D547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实现各类报表和报告格式的定制化，实现对检测任务、设备参数、设备运行事件以及资源使用情况等重要系统数据的统计汇总：</w:t>
      </w:r>
    </w:p>
    <w:p w14:paraId="552469F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支持对仪器、自动化设备等使用情况统计与分析；</w:t>
      </w:r>
    </w:p>
    <w:p w14:paraId="4CC1E3E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支持统计仪器的检测次数按时间（年、月、日）统计与分析；</w:t>
      </w:r>
    </w:p>
    <w:p w14:paraId="25BC1287">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支持对实验室检测数据结果进行统计与分析；</w:t>
      </w:r>
    </w:p>
    <w:p w14:paraId="3CA0EDC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支持对实验室试剂的添加、使用、回收量进行统计与分析；</w:t>
      </w:r>
    </w:p>
    <w:p w14:paraId="6177A26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支持按照设定的判异准则判断异常数据，进行统计与分析；</w:t>
      </w:r>
    </w:p>
    <w:p w14:paraId="29AB89B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支持以规范模板查看和导出原始记录、结果报告、标定报告等。</w:t>
      </w:r>
    </w:p>
    <w:p w14:paraId="7622AFA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（五）报告定制功能 </w:t>
      </w:r>
    </w:p>
    <w:p w14:paraId="0F0885D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支持报告模板定制，满足不同场景（如质量监督、生产过程监控及环保监管等）需求，自动获取报告各项数据，一键生成生成检测报告。</w:t>
      </w:r>
    </w:p>
    <w:p w14:paraId="49DC8FA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（六）数据导出功能 </w:t>
      </w:r>
    </w:p>
    <w:p w14:paraId="6952CE8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系统能够自动调用公司WPS、金山PDF等专用软件。支持数据、报告及报表一键导出Word、Excel、Pdf等格式。</w:t>
      </w:r>
    </w:p>
    <w:p w14:paraId="5B79D90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（七）角色和权限管理功能</w:t>
      </w:r>
    </w:p>
    <w:p w14:paraId="17CEEAF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具有权限分级控制功能，自定义角色和权限分配。可制定管理员、技术员和化验人员等不同人员角色，根据权限和密钥登入平台，控制人员对各模块使用权；</w:t>
      </w:r>
    </w:p>
    <w:p w14:paraId="089413C6">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系统涉及到的数据，必须严格按照权限级别进行控制，防止数据在传输、储存过程中泄露，保证数据安全。</w:t>
      </w:r>
    </w:p>
    <w:p w14:paraId="2A9F0AE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（八）报警管理功能</w:t>
      </w:r>
    </w:p>
    <w:p w14:paraId="32D6D78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 xml:space="preserve">系统具有报警管理功能，可以展示实时报警和历史报警，功能包括: </w:t>
      </w:r>
    </w:p>
    <w:p w14:paraId="3D66E00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支持增加、删除报警；</w:t>
      </w:r>
    </w:p>
    <w:p w14:paraId="6EDA4E1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支持对报警的类型、报警的规则进行配置；</w:t>
      </w:r>
    </w:p>
    <w:p w14:paraId="53BE2D7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可对报警进行实时显示，当报警发生时，可以在系统界面上实时显示当前报警；</w:t>
      </w:r>
    </w:p>
    <w:p w14:paraId="4B962A59">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支持对历史报警进行查询；</w:t>
      </w:r>
    </w:p>
    <w:p w14:paraId="113833A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支持按报警时间、报警类型、报警等级、优先级等信息；</w:t>
      </w:r>
    </w:p>
    <w:p w14:paraId="19542C3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支持报警通知，支持通过多种通知方法将报警信息通知到指定用户，通知方法系统可配；</w:t>
      </w:r>
    </w:p>
    <w:p w14:paraId="5DE8993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支持中央控制台对报警的查询和管理。</w:t>
      </w:r>
    </w:p>
    <w:p w14:paraId="1F59D57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（九）数据安全功能</w:t>
      </w:r>
    </w:p>
    <w:p w14:paraId="5C530E04">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1.</w:t>
      </w:r>
      <w:r>
        <w:rPr>
          <w:rFonts w:hint="eastAsia" w:ascii="仿宋" w:hAnsi="仿宋" w:eastAsia="仿宋" w:cs="宋体"/>
          <w:b w:val="0"/>
          <w:bCs w:val="0"/>
          <w:color w:val="auto"/>
          <w:kern w:val="0"/>
          <w:sz w:val="28"/>
          <w:szCs w:val="28"/>
          <w:lang w:val="en-US" w:eastAsia="zh-CN" w:bidi="ar-SA"/>
          <w14:ligatures w14:val="none"/>
        </w:rPr>
        <w:t>系统可保证网络、使用操作方面均达到可靠及稳定的相关技术要求，关键数据采用冗余技术和故障处理技术，保障数据传输的高可靠性和系统运行安全；</w:t>
      </w:r>
    </w:p>
    <w:p w14:paraId="1B47F24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2.</w:t>
      </w:r>
      <w:r>
        <w:rPr>
          <w:rFonts w:hint="eastAsia" w:ascii="仿宋" w:hAnsi="仿宋" w:eastAsia="仿宋" w:cs="宋体"/>
          <w:b w:val="0"/>
          <w:bCs w:val="0"/>
          <w:color w:val="auto"/>
          <w:kern w:val="0"/>
          <w:sz w:val="28"/>
          <w:szCs w:val="28"/>
          <w:lang w:val="en-US" w:eastAsia="zh-CN" w:bidi="ar-SA"/>
          <w14:ligatures w14:val="none"/>
        </w:rPr>
        <w:t>系统涉及到的数据，严格按照权限级别进行控制，防止数据在传输、储存过程中泄露，保证数据安全。</w:t>
      </w:r>
    </w:p>
    <w:p w14:paraId="448C41BC">
      <w:pPr>
        <w:pStyle w:val="5"/>
        <w:ind w:left="0" w:leftChars="0" w:firstLine="0" w:firstLineChars="0"/>
        <w:rPr>
          <w:rFonts w:hint="default" w:ascii="仿宋" w:hAnsi="仿宋" w:eastAsia="仿宋" w:cs="宋体"/>
          <w:b w:val="0"/>
          <w:bCs w:val="0"/>
          <w:color w:val="auto"/>
          <w:kern w:val="0"/>
          <w:sz w:val="28"/>
          <w:szCs w:val="28"/>
          <w:lang w:val="en-US" w:eastAsia="zh-CN" w:bidi="ar-SA"/>
          <w14:ligatures w14:val="none"/>
        </w:rPr>
      </w:pPr>
      <w:bookmarkStart w:id="18" w:name="_Toc770323287"/>
      <w:r>
        <w:rPr>
          <w:rFonts w:hint="eastAsia" w:ascii="仿宋" w:hAnsi="仿宋" w:eastAsia="仿宋" w:cs="宋体"/>
          <w:b w:val="0"/>
          <w:bCs w:val="0"/>
          <w:color w:val="auto"/>
          <w:kern w:val="0"/>
          <w:sz w:val="28"/>
          <w:szCs w:val="28"/>
          <w:lang w:val="en-US" w:eastAsia="zh-CN" w:bidi="ar-SA"/>
          <w14:ligatures w14:val="none"/>
        </w:rPr>
        <w:t>3.</w:t>
      </w:r>
      <w:r>
        <w:rPr>
          <w:rFonts w:hint="default" w:ascii="仿宋" w:hAnsi="仿宋" w:eastAsia="仿宋" w:cs="宋体"/>
          <w:b w:val="0"/>
          <w:bCs w:val="0"/>
          <w:color w:val="auto"/>
          <w:kern w:val="0"/>
          <w:sz w:val="28"/>
          <w:szCs w:val="28"/>
          <w:lang w:val="en-US" w:eastAsia="zh-CN" w:bidi="ar-SA"/>
          <w14:ligatures w14:val="none"/>
        </w:rPr>
        <w:t>4</w:t>
      </w:r>
      <w:r>
        <w:rPr>
          <w:rFonts w:hint="eastAsia" w:ascii="仿宋" w:hAnsi="仿宋" w:eastAsia="仿宋" w:cs="宋体"/>
          <w:b w:val="0"/>
          <w:bCs w:val="0"/>
          <w:color w:val="auto"/>
          <w:kern w:val="0"/>
          <w:sz w:val="28"/>
          <w:szCs w:val="28"/>
          <w:lang w:val="en-US" w:eastAsia="zh-CN" w:bidi="ar-SA"/>
          <w14:ligatures w14:val="none"/>
        </w:rPr>
        <w:t>.2 系统技术指标</w:t>
      </w:r>
      <w:bookmarkEnd w:id="18"/>
    </w:p>
    <w:p w14:paraId="38BC91B0">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default"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（一）系统开放和集成指标</w:t>
      </w:r>
    </w:p>
    <w:p w14:paraId="7002CA65">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支持RESTFUL API、HTTPS和通用通讯协议，可跟实验室、LIMS或工厂信息化系统进行集成开发和数据对接互通，实现检测任务下达和分析数据上传。</w:t>
      </w:r>
    </w:p>
    <w:p w14:paraId="74102768">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（二）安全性指标</w:t>
      </w:r>
    </w:p>
    <w:p w14:paraId="493DFA61">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系统为模块化结构，兼顾容错性（各类逻辑错误能正常返回并释放资源，给出提示，不应引起系统崩溃），具有良好的可扩充性和可维护性，便于编辑、修改和维护；</w:t>
      </w:r>
    </w:p>
    <w:p w14:paraId="73B9293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系统具有日志记录功能，对操作日志、运行日志等分类记录，具备统计分析功能，通过日志分析对系统性能降低、设备异常等提前警告；</w:t>
      </w:r>
    </w:p>
    <w:p w14:paraId="45527FE2">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系统架构易分析，易升级，易测试，稳定性，业务流程可重组；</w:t>
      </w:r>
    </w:p>
    <w:p w14:paraId="29CC0E2C">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关键功能采用冗余设置和故障自动切换技术，保障系统的高可靠性和运行安全；</w:t>
      </w:r>
    </w:p>
    <w:p w14:paraId="63B6CCE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（三）可靠性指标</w:t>
      </w:r>
    </w:p>
    <w:p w14:paraId="472F568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1.</w:t>
      </w:r>
      <w:r>
        <w:rPr>
          <w:rFonts w:hint="eastAsia" w:ascii="仿宋" w:hAnsi="仿宋" w:eastAsia="仿宋" w:cs="宋体"/>
          <w:b w:val="0"/>
          <w:bCs w:val="0"/>
          <w:color w:val="auto"/>
          <w:kern w:val="0"/>
          <w:sz w:val="28"/>
          <w:szCs w:val="28"/>
          <w:lang w:val="en-US" w:eastAsia="zh-CN" w:bidi="ar-SA"/>
          <w14:ligatures w14:val="none"/>
        </w:rPr>
        <w:t>系统是成熟稳定的系统，在行业有实施成功过的案例，灵活适配实验室实际的业务需求，全年整体性故障累计时间不超过72小时；</w:t>
      </w:r>
    </w:p>
    <w:p w14:paraId="50C7224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2.</w:t>
      </w:r>
      <w:r>
        <w:rPr>
          <w:rFonts w:hint="eastAsia" w:ascii="仿宋" w:hAnsi="仿宋" w:eastAsia="仿宋" w:cs="宋体"/>
          <w:b w:val="0"/>
          <w:bCs w:val="0"/>
          <w:color w:val="auto"/>
          <w:kern w:val="0"/>
          <w:sz w:val="28"/>
          <w:szCs w:val="28"/>
          <w:lang w:val="en-US" w:eastAsia="zh-CN" w:bidi="ar-SA"/>
          <w14:ligatures w14:val="none"/>
        </w:rPr>
        <w:t>系统有效配套实验室的物理布局，满足实际业务需求，具备集中-分散控制模式，可视化便捷操作、运行流畅等条件。</w:t>
      </w:r>
    </w:p>
    <w:p w14:paraId="6833814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（四）可扩展性指标</w:t>
      </w:r>
    </w:p>
    <w:p w14:paraId="59D81F3D">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1.</w:t>
      </w:r>
      <w:r>
        <w:rPr>
          <w:rFonts w:hint="eastAsia" w:ascii="仿宋" w:hAnsi="仿宋" w:eastAsia="仿宋" w:cs="宋体"/>
          <w:b w:val="0"/>
          <w:bCs w:val="0"/>
          <w:color w:val="auto"/>
          <w:kern w:val="0"/>
          <w:sz w:val="28"/>
          <w:szCs w:val="28"/>
          <w:lang w:val="en-US" w:eastAsia="zh-CN" w:bidi="ar-SA"/>
          <w14:ligatures w14:val="none"/>
        </w:rPr>
        <w:t>系统在安全稳定基础上兼顾定制化特点，根据实验室实际业务流程和实验室人员操作需求完成定制化开发；</w:t>
      </w:r>
    </w:p>
    <w:p w14:paraId="1067A46B">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default" w:ascii="仿宋" w:hAnsi="仿宋" w:eastAsia="仿宋" w:cs="宋体"/>
          <w:b w:val="0"/>
          <w:bCs w:val="0"/>
          <w:color w:val="auto"/>
          <w:kern w:val="0"/>
          <w:sz w:val="28"/>
          <w:szCs w:val="28"/>
          <w:lang w:val="en-US" w:eastAsia="zh-CN" w:bidi="ar-SA"/>
          <w14:ligatures w14:val="none"/>
        </w:rPr>
        <w:t>2.</w:t>
      </w:r>
      <w:r>
        <w:rPr>
          <w:rFonts w:hint="eastAsia" w:ascii="仿宋" w:hAnsi="仿宋" w:eastAsia="仿宋" w:cs="宋体"/>
          <w:b w:val="0"/>
          <w:bCs w:val="0"/>
          <w:color w:val="auto"/>
          <w:kern w:val="0"/>
          <w:sz w:val="28"/>
          <w:szCs w:val="28"/>
          <w:lang w:val="en-US" w:eastAsia="zh-CN" w:bidi="ar-SA"/>
          <w14:ligatures w14:val="none"/>
        </w:rPr>
        <w:t>系统设计满足当前业务模式的需要，同时又要在可预见的情况下，兼顾未来项目扩展的要求，系统升级操作应简便。</w:t>
      </w:r>
    </w:p>
    <w:p w14:paraId="136EF75F">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（五）日志记录指标</w:t>
      </w:r>
    </w:p>
    <w:p w14:paraId="3A7BE59A">
      <w:pPr>
        <w:keepNext w:val="0"/>
        <w:keepLines w:val="0"/>
        <w:pageBreakBefore w:val="0"/>
        <w:widowControl/>
        <w:kinsoku w:val="0"/>
        <w:wordWrap/>
        <w:overflowPunct/>
        <w:topLinePunct w:val="0"/>
        <w:autoSpaceDE w:val="0"/>
        <w:autoSpaceDN w:val="0"/>
        <w:bidi w:val="0"/>
        <w:adjustRightInd w:val="0"/>
        <w:snapToGrid w:val="0"/>
        <w:spacing w:line="360" w:lineRule="auto"/>
        <w:ind w:firstLine="560" w:firstLineChars="200"/>
        <w:textAlignment w:val="baseline"/>
        <w:rPr>
          <w:rFonts w:hint="eastAsia" w:ascii="仿宋" w:hAnsi="仿宋" w:eastAsia="仿宋" w:cs="宋体"/>
          <w:b w:val="0"/>
          <w:bCs w:val="0"/>
          <w:color w:val="auto"/>
          <w:kern w:val="0"/>
          <w:sz w:val="28"/>
          <w:szCs w:val="28"/>
          <w:lang w:val="en-US" w:eastAsia="zh-CN" w:bidi="ar-SA"/>
          <w14:ligatures w14:val="none"/>
        </w:rPr>
      </w:pPr>
      <w:r>
        <w:rPr>
          <w:rFonts w:hint="eastAsia" w:ascii="仿宋" w:hAnsi="仿宋" w:eastAsia="仿宋" w:cs="宋体"/>
          <w:b w:val="0"/>
          <w:bCs w:val="0"/>
          <w:color w:val="auto"/>
          <w:kern w:val="0"/>
          <w:sz w:val="28"/>
          <w:szCs w:val="28"/>
          <w:lang w:val="en-US" w:eastAsia="zh-CN" w:bidi="ar-SA"/>
          <w14:ligatures w14:val="none"/>
        </w:rPr>
        <w:t>系统有完整的操作日志记录，对功能、参数调整等重要操作记录操作时间、动作、操作人等信息，对系统、功能、操作等故障易于分析，易于测试。用户可设置日志保存时间，超过时间能够自动清理日志记录数据。</w:t>
      </w:r>
    </w:p>
    <w:p w14:paraId="1A34C1EB">
      <w:pPr>
        <w:pStyle w:val="4"/>
        <w:bidi w:val="0"/>
        <w:spacing w:line="240" w:lineRule="auto"/>
        <w:rPr>
          <w:rFonts w:hint="default" w:ascii="仿宋" w:hAnsi="仿宋" w:eastAsia="仿宋" w:cs="仿宋"/>
          <w:color w:val="auto"/>
          <w:sz w:val="30"/>
          <w:szCs w:val="30"/>
          <w:lang w:val="en-US" w:eastAsia="zh-CN"/>
        </w:rPr>
      </w:pPr>
      <w:bookmarkStart w:id="19" w:name="_Toc1792060493"/>
      <w:r>
        <w:rPr>
          <w:rFonts w:hint="eastAsia" w:ascii="仿宋" w:hAnsi="仿宋" w:eastAsia="仿宋" w:cs="仿宋"/>
          <w:color w:val="auto"/>
          <w:sz w:val="30"/>
          <w:szCs w:val="30"/>
          <w:lang w:val="en-US" w:eastAsia="zh-CN"/>
        </w:rPr>
        <w:t>3.5 实验室环境要求</w:t>
      </w:r>
      <w:bookmarkEnd w:id="19"/>
    </w:p>
    <w:p w14:paraId="762E2441">
      <w:pPr>
        <w:pStyle w:val="5"/>
        <w:ind w:firstLine="482"/>
        <w:rPr>
          <w:rFonts w:hint="eastAsia" w:ascii="仿宋" w:hAnsi="仿宋" w:eastAsia="仿宋" w:cs="宋体"/>
          <w:b/>
          <w:bCs/>
          <w:color w:val="auto"/>
          <w:kern w:val="0"/>
          <w:sz w:val="28"/>
          <w:szCs w:val="28"/>
          <w:lang w:val="en-US" w:eastAsia="zh-CN" w:bidi="ar-SA"/>
          <w14:ligatures w14:val="none"/>
        </w:rPr>
      </w:pPr>
      <w:bookmarkStart w:id="20" w:name="_Toc702556676"/>
      <w:r>
        <w:rPr>
          <w:rFonts w:hint="eastAsia" w:ascii="仿宋" w:hAnsi="仿宋" w:eastAsia="仿宋" w:cs="宋体"/>
          <w:b/>
          <w:bCs/>
          <w:color w:val="auto"/>
          <w:kern w:val="0"/>
          <w:sz w:val="28"/>
          <w:szCs w:val="28"/>
          <w:lang w:val="en-US" w:eastAsia="zh-CN" w:bidi="ar-SA"/>
          <w14:ligatures w14:val="none"/>
        </w:rPr>
        <w:t>3.5.1 管道排风系统要求</w:t>
      </w:r>
      <w:bookmarkEnd w:id="20"/>
    </w:p>
    <w:p w14:paraId="1FCB534A">
      <w:pPr>
        <w:spacing w:before="240"/>
        <w:ind w:left="630" w:leftChars="300" w:firstLine="560" w:firstLineChars="200"/>
        <w:rPr>
          <w:rFonts w:hint="default"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要求实验室具备通风系统，满足整个实验执行过程在通风环境下完成，满足实验过程产生废气排放要求，并能够不间断置换局部空气。</w:t>
      </w:r>
    </w:p>
    <w:p w14:paraId="57E26860">
      <w:pPr>
        <w:rPr>
          <w:rFonts w:hint="default"/>
          <w:lang w:val="en-US" w:eastAsia="zh-CN"/>
        </w:rPr>
      </w:pPr>
    </w:p>
    <w:p w14:paraId="495D0CE1">
      <w:pPr>
        <w:pStyle w:val="5"/>
        <w:ind w:firstLine="482"/>
        <w:rPr>
          <w:rFonts w:hint="eastAsia" w:ascii="仿宋" w:hAnsi="仿宋" w:eastAsia="仿宋" w:cs="宋体"/>
          <w:b/>
          <w:bCs/>
          <w:color w:val="auto"/>
          <w:kern w:val="0"/>
          <w:sz w:val="28"/>
          <w:szCs w:val="28"/>
          <w:lang w:val="en-US" w:eastAsia="zh-CN" w:bidi="ar-SA"/>
          <w14:ligatures w14:val="none"/>
        </w:rPr>
      </w:pPr>
      <w:bookmarkStart w:id="21" w:name="_Toc1004962326"/>
      <w:r>
        <w:rPr>
          <w:rFonts w:hint="eastAsia" w:ascii="仿宋" w:hAnsi="仿宋" w:eastAsia="仿宋" w:cs="宋体"/>
          <w:b/>
          <w:bCs/>
          <w:color w:val="auto"/>
          <w:kern w:val="0"/>
          <w:sz w:val="28"/>
          <w:szCs w:val="28"/>
          <w:lang w:val="en-US" w:eastAsia="zh-CN" w:bidi="ar-SA"/>
          <w14:ligatures w14:val="none"/>
        </w:rPr>
        <w:t>3.5.2 气路分布系统要求</w:t>
      </w:r>
      <w:bookmarkEnd w:id="21"/>
    </w:p>
    <w:p w14:paraId="4FCD6E44">
      <w:pPr>
        <w:spacing w:before="240"/>
        <w:ind w:left="630" w:leftChars="300" w:firstLine="560" w:firstLineChars="200"/>
        <w:rPr>
          <w:rFonts w:hint="default" w:ascii="仿宋" w:hAnsi="仿宋" w:eastAsia="仿宋" w:cs="宋体"/>
          <w:color w:val="auto"/>
          <w:kern w:val="0"/>
          <w:sz w:val="28"/>
          <w:szCs w:val="28"/>
          <w:lang w:val="en-US" w:eastAsia="zh-CN"/>
          <w14:ligatures w14:val="none"/>
        </w:rPr>
      </w:pPr>
      <w:r>
        <w:rPr>
          <w:rFonts w:hint="eastAsia" w:ascii="仿宋" w:hAnsi="仿宋" w:eastAsia="仿宋" w:cs="宋体"/>
          <w:color w:val="auto"/>
          <w:kern w:val="0"/>
          <w:sz w:val="28"/>
          <w:szCs w:val="28"/>
          <w:lang w:val="en-US" w:eastAsia="zh-CN"/>
          <w14:ligatures w14:val="none"/>
        </w:rPr>
        <w:t>若实验室具备压缩空气管路供应，根据实际情况，可能涉及改造或对接。若无压缩空气管路供应，我方可配备空气压缩机，满足气动设备的压缩空气使用要求。</w:t>
      </w:r>
    </w:p>
    <w:p w14:paraId="336BE01D">
      <w:pPr>
        <w:rPr>
          <w:rFonts w:hint="default"/>
          <w:lang w:val="en-US" w:eastAsia="zh-CN"/>
        </w:rPr>
      </w:pPr>
    </w:p>
    <w:p w14:paraId="4B75F3C4">
      <w:pPr>
        <w:pStyle w:val="5"/>
        <w:ind w:firstLine="482"/>
        <w:rPr>
          <w:rFonts w:hint="default" w:ascii="仿宋" w:hAnsi="仿宋" w:eastAsia="仿宋" w:cs="宋体"/>
          <w:b/>
          <w:bCs/>
          <w:color w:val="auto"/>
          <w:kern w:val="0"/>
          <w:sz w:val="28"/>
          <w:szCs w:val="28"/>
          <w:lang w:val="en-US" w:eastAsia="zh-CN" w:bidi="ar-SA"/>
          <w14:ligatures w14:val="none"/>
        </w:rPr>
      </w:pPr>
      <w:bookmarkStart w:id="22" w:name="_Toc442929427"/>
      <w:r>
        <w:rPr>
          <w:rFonts w:hint="eastAsia" w:ascii="仿宋" w:hAnsi="仿宋" w:eastAsia="仿宋" w:cs="宋体"/>
          <w:b/>
          <w:bCs/>
          <w:color w:val="auto"/>
          <w:kern w:val="0"/>
          <w:sz w:val="28"/>
          <w:szCs w:val="28"/>
          <w:lang w:val="en-US" w:eastAsia="zh-CN" w:bidi="ar-SA"/>
          <w14:ligatures w14:val="none"/>
        </w:rPr>
        <w:t>3.5.3 供电系统要求</w:t>
      </w:r>
      <w:bookmarkEnd w:id="22"/>
    </w:p>
    <w:p w14:paraId="45449DBB">
      <w:pPr>
        <w:spacing w:before="240"/>
        <w:ind w:left="630" w:leftChars="300" w:firstLine="560" w:firstLineChars="200"/>
        <w:rPr>
          <w:rFonts w:hint="default" w:ascii="仿宋" w:hAnsi="仿宋" w:eastAsia="仿宋" w:cs="宋体"/>
          <w:color w:val="auto"/>
          <w:kern w:val="0"/>
          <w:sz w:val="28"/>
          <w:szCs w:val="28"/>
          <w:lang w:val="en-US" w:eastAsia="zh-CN"/>
          <w14:ligatures w14:val="none"/>
        </w:rPr>
      </w:pPr>
      <w:r>
        <w:rPr>
          <w:rFonts w:hint="default" w:ascii="仿宋" w:hAnsi="仿宋" w:eastAsia="仿宋" w:cs="宋体"/>
          <w:color w:val="auto"/>
          <w:kern w:val="0"/>
          <w:sz w:val="28"/>
          <w:szCs w:val="28"/>
          <w:lang w:val="en-US" w:eastAsia="zh-CN"/>
          <w14:ligatures w14:val="none"/>
        </w:rPr>
        <w:t>需实验室提供以下供电接口</w:t>
      </w:r>
      <w:r>
        <w:rPr>
          <w:rFonts w:hint="eastAsia" w:ascii="仿宋" w:hAnsi="仿宋" w:eastAsia="仿宋" w:cs="宋体"/>
          <w:color w:val="auto"/>
          <w:kern w:val="0"/>
          <w:sz w:val="28"/>
          <w:szCs w:val="28"/>
          <w:lang w:val="en-US" w:eastAsia="zh-CN"/>
          <w14:ligatures w14:val="none"/>
        </w:rPr>
        <w:t>：</w:t>
      </w:r>
    </w:p>
    <w:p w14:paraId="51F0DCBE">
      <w:pPr>
        <w:spacing w:before="240"/>
        <w:ind w:left="630" w:leftChars="300" w:firstLine="560" w:firstLineChars="200"/>
        <w:rPr>
          <w:rFonts w:hint="default" w:ascii="仿宋" w:hAnsi="仿宋" w:eastAsia="仿宋" w:cs="宋体"/>
          <w:color w:val="auto"/>
          <w:kern w:val="0"/>
          <w:sz w:val="28"/>
          <w:szCs w:val="28"/>
          <w:lang w:val="en-US" w:eastAsia="zh-CN"/>
          <w14:ligatures w14:val="none"/>
        </w:rPr>
      </w:pPr>
      <w:r>
        <w:rPr>
          <w:rFonts w:hint="default" w:ascii="仿宋" w:hAnsi="仿宋" w:eastAsia="仿宋" w:cs="宋体"/>
          <w:color w:val="auto"/>
          <w:kern w:val="0"/>
          <w:sz w:val="28"/>
          <w:szCs w:val="28"/>
          <w:lang w:val="en-US" w:eastAsia="zh-CN"/>
          <w14:ligatures w14:val="none"/>
        </w:rPr>
        <w:t>主供电：1 个三相五线制 380V/16A工业插座（含接地，接地电阻≤4Ω），满足伺服电机、地轨、大功率加热模块等设备需求；</w:t>
      </w:r>
    </w:p>
    <w:p w14:paraId="292515A6">
      <w:pPr>
        <w:spacing w:before="240"/>
        <w:ind w:left="630" w:leftChars="300" w:firstLine="560" w:firstLineChars="200"/>
        <w:rPr>
          <w:rFonts w:hint="default" w:ascii="仿宋" w:hAnsi="仿宋" w:eastAsia="仿宋" w:cs="宋体"/>
          <w:color w:val="auto"/>
          <w:kern w:val="0"/>
          <w:sz w:val="28"/>
          <w:szCs w:val="28"/>
          <w:lang w:val="en-US" w:eastAsia="zh-CN"/>
          <w14:ligatures w14:val="none"/>
        </w:rPr>
      </w:pPr>
      <w:r>
        <w:rPr>
          <w:rFonts w:hint="default" w:ascii="仿宋" w:hAnsi="仿宋" w:eastAsia="仿宋" w:cs="宋体"/>
          <w:color w:val="auto"/>
          <w:kern w:val="0"/>
          <w:sz w:val="28"/>
          <w:szCs w:val="28"/>
          <w:lang w:val="en-US" w:eastAsia="zh-CN"/>
          <w14:ligatures w14:val="none"/>
        </w:rPr>
        <w:t>辅助供电：2-3 个单相三线制 220V/10A国标插座（含接地），满足控制器、交换机、传感器、小型泵体等低压设备需求；</w:t>
      </w:r>
    </w:p>
    <w:p w14:paraId="7276A13B">
      <w:pPr>
        <w:spacing w:before="240"/>
        <w:ind w:left="630" w:leftChars="300" w:firstLine="560" w:firstLineChars="200"/>
        <w:rPr>
          <w:rFonts w:hint="eastAsia"/>
          <w:lang w:val="en-US" w:eastAsia="zh-CN"/>
        </w:rPr>
      </w:pPr>
      <w:r>
        <w:rPr>
          <w:rFonts w:hint="default" w:ascii="仿宋" w:hAnsi="仿宋" w:eastAsia="仿宋" w:cs="宋体"/>
          <w:color w:val="auto"/>
          <w:kern w:val="0"/>
          <w:sz w:val="28"/>
          <w:szCs w:val="28"/>
          <w:lang w:val="en-US" w:eastAsia="zh-CN"/>
          <w14:ligatures w14:val="none"/>
        </w:rPr>
        <w:t>基础保障：供电接口需为实验室专用回路（独立于办公用电，避免跳闸干扰），电压波动≤±5%，无频繁断电、浪涌问题。</w:t>
      </w:r>
    </w:p>
    <w:p w14:paraId="3F97FFAA">
      <w:pPr>
        <w:pStyle w:val="3"/>
        <w:numPr>
          <w:ilvl w:val="0"/>
          <w:numId w:val="3"/>
        </w:numPr>
        <w:bidi w:val="0"/>
        <w:rPr>
          <w:rFonts w:hint="default" w:ascii="仿宋" w:hAnsi="仿宋" w:eastAsia="仿宋" w:cs="仿宋"/>
          <w:b/>
          <w:sz w:val="36"/>
          <w:szCs w:val="36"/>
          <w:lang w:val="en-US" w:eastAsia="zh-CN"/>
        </w:rPr>
      </w:pPr>
      <w:bookmarkStart w:id="23" w:name="_Toc1136559087"/>
      <w:r>
        <w:rPr>
          <w:rFonts w:hint="eastAsia" w:ascii="仿宋" w:hAnsi="仿宋" w:eastAsia="仿宋" w:cs="仿宋"/>
          <w:b/>
          <w:sz w:val="36"/>
          <w:szCs w:val="36"/>
          <w:lang w:val="en-US" w:eastAsia="zh-CN"/>
        </w:rPr>
        <w:t>项目实施和管理方案</w:t>
      </w:r>
      <w:bookmarkEnd w:id="23"/>
    </w:p>
    <w:p w14:paraId="0D7010C6">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兽残专项自动化检测项目落地，以标准化实施、精细化管理、全流程把控为核心，按90 日历天规划建设周期，明确项目全周期组织架构、阶段任务、管控要点及保障措施，确保系统适配实验室场地与检测流程，实现无缝衔接、平稳落地及高效运行。</w:t>
      </w:r>
    </w:p>
    <w:p w14:paraId="68F7768A">
      <w:pPr>
        <w:pStyle w:val="4"/>
        <w:bidi w:val="0"/>
        <w:spacing w:line="240" w:lineRule="auto"/>
        <w:rPr>
          <w:rFonts w:hint="eastAsia" w:ascii="仿宋" w:hAnsi="仿宋" w:eastAsia="仿宋" w:cs="仿宋"/>
          <w:sz w:val="30"/>
          <w:szCs w:val="30"/>
          <w:lang w:val="en-US" w:eastAsia="zh-CN"/>
        </w:rPr>
      </w:pPr>
      <w:bookmarkStart w:id="24" w:name="_Toc281535144"/>
      <w:r>
        <w:rPr>
          <w:rFonts w:hint="eastAsia" w:ascii="仿宋" w:hAnsi="仿宋" w:eastAsia="仿宋" w:cs="仿宋"/>
          <w:sz w:val="30"/>
          <w:szCs w:val="30"/>
          <w:lang w:val="en-US" w:eastAsia="zh-CN"/>
        </w:rPr>
        <w:t>4.1项目组织架构与职责</w:t>
      </w:r>
      <w:bookmarkEnd w:id="24"/>
    </w:p>
    <w:p w14:paraId="78097E0F">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实行项目经理负责制，组建乙方核心执行团队 + 甲方对接团队双轨协作体系，明确权责、高效联动，保障项目推进无壁垒：</w:t>
      </w:r>
    </w:p>
    <w:p w14:paraId="78FA0E2E">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乙方项目经理：统筹全流程，负责进度把控、资源调配、问题协调，对接甲方需求，出具周/月报，确保按工期推进；</w:t>
      </w:r>
    </w:p>
    <w:p w14:paraId="45ED15CC">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乙方技术团队：含机械、电气、软件、检测工程师，负责模块生产、现场安装、系统调试、人员培训，解决技术难题；</w:t>
      </w:r>
    </w:p>
    <w:p w14:paraId="27950B8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乙方质控团队：全环节核验技术参数、验收成果，出具质控报告，确保符合国标及方案要求；</w:t>
      </w:r>
    </w:p>
    <w:p w14:paraId="1F8A370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甲方对接小组：由实验室负责人、检测骨干组成，负责需求确认、现场配合、阶段验收，协调场地、水电等基础资源，推进内部备案。</w:t>
      </w:r>
    </w:p>
    <w:p w14:paraId="047DA9F3">
      <w:pPr>
        <w:pStyle w:val="4"/>
        <w:bidi w:val="0"/>
        <w:spacing w:line="240" w:lineRule="auto"/>
        <w:rPr>
          <w:rFonts w:hint="eastAsia" w:ascii="仿宋" w:hAnsi="仿宋" w:eastAsia="仿宋" w:cs="仿宋"/>
          <w:sz w:val="30"/>
          <w:szCs w:val="30"/>
          <w:lang w:val="en-US" w:eastAsia="zh-CN"/>
        </w:rPr>
      </w:pPr>
      <w:bookmarkStart w:id="25" w:name="_Toc854690867"/>
      <w:r>
        <w:rPr>
          <w:rFonts w:hint="eastAsia" w:ascii="仿宋" w:hAnsi="仿宋" w:eastAsia="仿宋" w:cs="仿宋"/>
          <w:sz w:val="30"/>
          <w:szCs w:val="30"/>
          <w:lang w:val="en-US" w:eastAsia="zh-CN"/>
        </w:rPr>
        <w:t>4.2 项目实施核心阶段（90日历天）</w:t>
      </w:r>
      <w:bookmarkEnd w:id="25"/>
    </w:p>
    <w:p w14:paraId="3CC30123">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分 6 个阶段推进，各阶段明确任务节点、交付物、验收标准，实行 “节点验收通过后方可进入下一阶段”，严控工期与质量，各阶段工期合理分配缓冲期，适配实验室日常检测节奏，减少运营干扰。</w:t>
      </w:r>
    </w:p>
    <w:p w14:paraId="74FCB856">
      <w:pPr>
        <w:bidi w:val="0"/>
        <w:ind w:firstLine="560" w:firstLineChars="200"/>
        <w:outlineLvl w:val="2"/>
        <w:rPr>
          <w:rFonts w:hint="eastAsia" w:ascii="仿宋" w:hAnsi="仿宋" w:eastAsia="仿宋" w:cs="仿宋"/>
          <w:sz w:val="28"/>
          <w:szCs w:val="28"/>
          <w:lang w:val="en-US" w:eastAsia="zh-CN"/>
        </w:rPr>
      </w:pPr>
      <w:bookmarkStart w:id="26" w:name="_Toc271286886"/>
      <w:r>
        <w:rPr>
          <w:rFonts w:hint="eastAsia" w:ascii="仿宋" w:hAnsi="仿宋" w:eastAsia="仿宋" w:cs="仿宋"/>
          <w:sz w:val="28"/>
          <w:szCs w:val="28"/>
          <w:lang w:val="en-US" w:eastAsia="zh-CN"/>
        </w:rPr>
        <w:t>1. 调研细化与方案确认（12日历天）</w:t>
      </w:r>
      <w:bookmarkEnd w:id="26"/>
    </w:p>
    <w:p w14:paraId="350041C2">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核心任务：乙方现场勘察场地尺寸、水电 / 通风 / 接地条件；与甲方深度对接检测流程、样品通量、操作习惯等个性化需求，优化系统布局与模块配置，组织方案评审。</w:t>
      </w:r>
    </w:p>
    <w:p w14:paraId="7760007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交付物：细化版设计方案、场地布局 CAD 图、技术参数确认单、基础资源需求清单；</w:t>
      </w:r>
    </w:p>
    <w:p w14:paraId="0384AC80">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管控：甲乙双方签字确认所有细节，锁定需求，避免后期变更。</w:t>
      </w:r>
    </w:p>
    <w:p w14:paraId="5C003D82">
      <w:pPr>
        <w:bidi w:val="0"/>
        <w:ind w:firstLine="560" w:firstLineChars="200"/>
        <w:outlineLvl w:val="2"/>
        <w:rPr>
          <w:rFonts w:hint="eastAsia" w:ascii="仿宋" w:hAnsi="仿宋" w:eastAsia="仿宋" w:cs="仿宋"/>
          <w:sz w:val="28"/>
          <w:szCs w:val="28"/>
          <w:lang w:val="en-US" w:eastAsia="zh-CN"/>
        </w:rPr>
      </w:pPr>
      <w:bookmarkStart w:id="27" w:name="_Toc410910421"/>
      <w:r>
        <w:rPr>
          <w:rFonts w:hint="eastAsia" w:ascii="仿宋" w:hAnsi="仿宋" w:eastAsia="仿宋" w:cs="仿宋"/>
          <w:sz w:val="28"/>
          <w:szCs w:val="28"/>
          <w:lang w:val="en-US" w:eastAsia="zh-CN"/>
        </w:rPr>
        <w:t>2. 模块生产与工厂预装调试（35日历天）</w:t>
      </w:r>
      <w:bookmarkEnd w:id="27"/>
    </w:p>
    <w:p w14:paraId="640DE644">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核心任务：按确认方案开展 14 大功能模块标准化生产、核心部件集成；完成单模块调试、多模块联动预装测试，核验机械、电气、软件系统运行稳定性，确保出厂达标。</w:t>
      </w:r>
    </w:p>
    <w:p w14:paraId="41C7B6F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交付物：各功能模块成品、工厂调试报告、设备检测合格证、核心部件质量证明；</w:t>
      </w:r>
    </w:p>
    <w:p w14:paraId="3ADEDD9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管控：质控团队全程跟进，不合格项立即返工，所有模块出厂前完成 3 次模拟测试。</w:t>
      </w:r>
    </w:p>
    <w:p w14:paraId="724BC343">
      <w:pPr>
        <w:bidi w:val="0"/>
        <w:ind w:firstLine="560" w:firstLineChars="200"/>
        <w:outlineLvl w:val="2"/>
        <w:rPr>
          <w:rFonts w:hint="eastAsia" w:ascii="仿宋" w:hAnsi="仿宋" w:eastAsia="仿宋" w:cs="仿宋"/>
          <w:sz w:val="28"/>
          <w:szCs w:val="28"/>
          <w:lang w:val="en-US" w:eastAsia="zh-CN"/>
        </w:rPr>
      </w:pPr>
      <w:bookmarkStart w:id="28" w:name="_Toc2011520642"/>
      <w:r>
        <w:rPr>
          <w:rFonts w:hint="eastAsia" w:ascii="仿宋" w:hAnsi="仿宋" w:eastAsia="仿宋" w:cs="仿宋"/>
          <w:sz w:val="28"/>
          <w:szCs w:val="28"/>
          <w:lang w:val="en-US" w:eastAsia="zh-CN"/>
        </w:rPr>
        <w:t>3. 现场基础施工与复核（10日历天）</w:t>
      </w:r>
      <w:bookmarkEnd w:id="28"/>
    </w:p>
    <w:p w14:paraId="6F596D2B">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核心任务：甲方按需求清单完成场地清理、水电改造、防护设施搭建等基础施工；乙方技术团队现场逐项复核，确认施工成果匹配设备安装要求。</w:t>
      </w:r>
    </w:p>
    <w:p w14:paraId="45595CD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交付物：现场施工完成报告、水电 / 场地适配核验单；</w:t>
      </w:r>
    </w:p>
    <w:p w14:paraId="45D1E2A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管控：乙方全程提供技术指导，避免二次改造，确保与后续安装环节无缝衔接。</w:t>
      </w:r>
    </w:p>
    <w:p w14:paraId="7C1BEF2C">
      <w:pPr>
        <w:bidi w:val="0"/>
        <w:ind w:firstLine="560" w:firstLineChars="200"/>
        <w:outlineLvl w:val="2"/>
        <w:rPr>
          <w:rFonts w:hint="eastAsia" w:ascii="仿宋" w:hAnsi="仿宋" w:eastAsia="仿宋" w:cs="仿宋"/>
          <w:sz w:val="28"/>
          <w:szCs w:val="28"/>
          <w:lang w:val="en-US" w:eastAsia="zh-CN"/>
        </w:rPr>
      </w:pPr>
      <w:bookmarkStart w:id="29" w:name="_Toc1939859020"/>
      <w:r>
        <w:rPr>
          <w:rFonts w:hint="eastAsia" w:ascii="仿宋" w:hAnsi="仿宋" w:eastAsia="仿宋" w:cs="仿宋"/>
          <w:sz w:val="28"/>
          <w:szCs w:val="28"/>
          <w:lang w:val="en-US" w:eastAsia="zh-CN"/>
        </w:rPr>
        <w:t>4. 现场安装与模块拼接（15 日历天）</w:t>
      </w:r>
      <w:bookmarkEnd w:id="29"/>
    </w:p>
    <w:p w14:paraId="06F4BA9B">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核心任务：完成模块卸货、精准定位、线路连接、物理拼接，实现自动化物流平台与各模块的联动适配，完成现场安全防护设置与线路规整。</w:t>
      </w:r>
    </w:p>
    <w:p w14:paraId="2E4F36FF">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交付物：设备安装完成报告、模块拼接验收单、现场安全检查报告；</w:t>
      </w:r>
    </w:p>
    <w:p w14:paraId="4EC5DFB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管控：遵循实验室安全规范，避开检测高峰期施工，每日清理施工场地，减少对实验室日常运营的影响。</w:t>
      </w:r>
    </w:p>
    <w:p w14:paraId="32FBE721">
      <w:pPr>
        <w:bidi w:val="0"/>
        <w:ind w:firstLine="560" w:firstLineChars="200"/>
        <w:outlineLvl w:val="2"/>
        <w:rPr>
          <w:rFonts w:hint="eastAsia" w:ascii="仿宋" w:hAnsi="仿宋" w:eastAsia="仿宋" w:cs="仿宋"/>
          <w:sz w:val="28"/>
          <w:szCs w:val="28"/>
          <w:lang w:val="en-US" w:eastAsia="zh-CN"/>
        </w:rPr>
      </w:pPr>
      <w:bookmarkStart w:id="30" w:name="_Toc113820386"/>
      <w:r>
        <w:rPr>
          <w:rFonts w:hint="eastAsia" w:ascii="仿宋" w:hAnsi="仿宋" w:eastAsia="仿宋" w:cs="仿宋"/>
          <w:sz w:val="28"/>
          <w:szCs w:val="28"/>
          <w:lang w:val="en-US" w:eastAsia="zh-CN"/>
        </w:rPr>
        <w:t>5. 系统调试与人员培训（13 日历天）</w:t>
      </w:r>
      <w:bookmarkEnd w:id="30"/>
    </w:p>
    <w:p w14:paraId="05E5E31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核心任务：分三步调试 —— 单模块参数校准→全系统联动调试→核心检测场景（大兽残筛查、硝基呋喃检测）模拟调试；同步开展分层实操培训，覆盖操作、维护、故障排查全内容，培训后组织考核。</w:t>
      </w:r>
    </w:p>
    <w:p w14:paraId="0F2BF8C5">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交付物：系统调试合格报告、操作 / 维护手册、人员培训合格证、模拟检测数据报告；</w:t>
      </w:r>
    </w:p>
    <w:p w14:paraId="3403347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管控：调试完成后连续开展 5 次模拟检测，确保流程顺畅、数据精准，甲方人员考核通过率 100% 方可进入下一阶段。</w:t>
      </w:r>
    </w:p>
    <w:p w14:paraId="7CA72B83">
      <w:pPr>
        <w:bidi w:val="0"/>
        <w:ind w:firstLine="560" w:firstLineChars="200"/>
        <w:outlineLvl w:val="2"/>
        <w:rPr>
          <w:rFonts w:hint="eastAsia" w:ascii="仿宋" w:hAnsi="仿宋" w:eastAsia="仿宋" w:cs="仿宋"/>
          <w:sz w:val="28"/>
          <w:szCs w:val="28"/>
          <w:lang w:val="en-US" w:eastAsia="zh-CN"/>
        </w:rPr>
      </w:pPr>
      <w:bookmarkStart w:id="31" w:name="_Toc1718781672"/>
      <w:r>
        <w:rPr>
          <w:rFonts w:hint="eastAsia" w:ascii="仿宋" w:hAnsi="仿宋" w:eastAsia="仿宋" w:cs="仿宋"/>
          <w:sz w:val="28"/>
          <w:szCs w:val="28"/>
          <w:lang w:val="en-US" w:eastAsia="zh-CN"/>
        </w:rPr>
        <w:t>6. 项目验收与交付归档（5 日历天）</w:t>
      </w:r>
      <w:bookmarkEnd w:id="31"/>
    </w:p>
    <w:p w14:paraId="67381DD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核心任务：甲乙双方按验收标准开展全流程验收（设备外观、技术参数、联动运行、检测效率等）；完成设备移交、全套资料归档，签订售后服务协议，处理遗留问题。</w:t>
      </w:r>
    </w:p>
    <w:p w14:paraId="1D6E8A6E">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交付物：项目验收报告、设备移交清单、全流程技术资料（纸质 + 电子版）、售后服务协议；</w:t>
      </w:r>
    </w:p>
    <w:p w14:paraId="55C8B1F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管控：验收不合格项限期整改，整改完成后重新验收，确保项目无遗留问题交付。</w:t>
      </w:r>
    </w:p>
    <w:p w14:paraId="6765CEA8">
      <w:pPr>
        <w:pStyle w:val="2"/>
        <w:rPr>
          <w:rFonts w:hint="eastAsia"/>
          <w:lang w:val="en-US" w:eastAsia="zh-CN"/>
        </w:rPr>
      </w:pPr>
    </w:p>
    <w:p w14:paraId="029208D9">
      <w:pPr>
        <w:pStyle w:val="4"/>
        <w:bidi w:val="0"/>
        <w:spacing w:line="240" w:lineRule="auto"/>
        <w:rPr>
          <w:rFonts w:hint="eastAsia" w:ascii="仿宋" w:hAnsi="仿宋" w:eastAsia="仿宋" w:cs="仿宋"/>
          <w:sz w:val="30"/>
          <w:szCs w:val="30"/>
          <w:lang w:val="en-US" w:eastAsia="zh-CN"/>
        </w:rPr>
      </w:pPr>
      <w:bookmarkStart w:id="32" w:name="_Toc1761025507"/>
      <w:r>
        <w:rPr>
          <w:rFonts w:hint="eastAsia" w:ascii="仿宋" w:hAnsi="仿宋" w:eastAsia="仿宋" w:cs="仿宋"/>
          <w:sz w:val="30"/>
          <w:szCs w:val="30"/>
          <w:lang w:val="en-US" w:eastAsia="zh-CN"/>
        </w:rPr>
        <w:t>4.3 项目核心管理措施</w:t>
      </w:r>
      <w:bookmarkEnd w:id="32"/>
    </w:p>
    <w:p w14:paraId="0A140879">
      <w:pPr>
        <w:bidi w:val="0"/>
        <w:ind w:firstLine="560" w:firstLineChars="200"/>
        <w:outlineLvl w:val="2"/>
        <w:rPr>
          <w:rFonts w:hint="eastAsia" w:ascii="仿宋" w:hAnsi="仿宋" w:eastAsia="仿宋" w:cs="仿宋"/>
          <w:sz w:val="28"/>
          <w:szCs w:val="28"/>
          <w:lang w:val="en-US" w:eastAsia="zh-CN"/>
        </w:rPr>
      </w:pPr>
      <w:bookmarkStart w:id="33" w:name="_Toc936073195"/>
      <w:r>
        <w:rPr>
          <w:rFonts w:hint="eastAsia" w:ascii="仿宋" w:hAnsi="仿宋" w:eastAsia="仿宋" w:cs="仿宋"/>
          <w:sz w:val="28"/>
          <w:szCs w:val="28"/>
          <w:lang w:val="en-US" w:eastAsia="zh-CN"/>
        </w:rPr>
        <w:t>1. 进度管理</w:t>
      </w:r>
      <w:bookmarkEnd w:id="33"/>
    </w:p>
    <w:p w14:paraId="534379A7">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建立三级进度管控体系，制定总工期甘特图，分解至各阶段日 / 周计划；项目经理每日召开内部碰头会，每周组织甲乙双方协调会，提交进度报告，明确完成情况、下周计划及待协调问题；若遇不可抗力滞后，立即制定赶工方案，调剂资源确保总工期不变。</w:t>
      </w:r>
    </w:p>
    <w:p w14:paraId="1DE95A2D">
      <w:pPr>
        <w:bidi w:val="0"/>
        <w:ind w:firstLine="560" w:firstLineChars="200"/>
        <w:outlineLvl w:val="2"/>
        <w:rPr>
          <w:rFonts w:hint="eastAsia" w:ascii="仿宋" w:hAnsi="仿宋" w:eastAsia="仿宋" w:cs="仿宋"/>
          <w:sz w:val="28"/>
          <w:szCs w:val="28"/>
          <w:lang w:val="en-US" w:eastAsia="zh-CN"/>
        </w:rPr>
      </w:pPr>
      <w:bookmarkStart w:id="34" w:name="_Toc116990443"/>
      <w:r>
        <w:rPr>
          <w:rFonts w:hint="eastAsia" w:ascii="仿宋" w:hAnsi="仿宋" w:eastAsia="仿宋" w:cs="仿宋"/>
          <w:sz w:val="28"/>
          <w:szCs w:val="28"/>
          <w:lang w:val="en-US" w:eastAsia="zh-CN"/>
        </w:rPr>
        <w:t>2. 质量管理</w:t>
      </w:r>
      <w:bookmarkEnd w:id="34"/>
    </w:p>
    <w:p w14:paraId="6543A8F1">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实行全流程质控追溯，从核心部件采购、模块生产到现场安装、调试，每环节设置质控节点，所有检测数据、验收报告留存归档；严格遵循国家相关标准及方案技术指标，确保系统运行稳定性、检测精准性达标。</w:t>
      </w:r>
    </w:p>
    <w:p w14:paraId="6D192428">
      <w:pPr>
        <w:bidi w:val="0"/>
        <w:ind w:firstLine="560" w:firstLineChars="200"/>
        <w:outlineLvl w:val="2"/>
        <w:rPr>
          <w:rFonts w:hint="eastAsia" w:ascii="仿宋" w:hAnsi="仿宋" w:eastAsia="仿宋" w:cs="仿宋"/>
          <w:sz w:val="28"/>
          <w:szCs w:val="28"/>
          <w:lang w:val="en-US" w:eastAsia="zh-CN"/>
        </w:rPr>
      </w:pPr>
      <w:bookmarkStart w:id="35" w:name="_Toc1310838496"/>
      <w:r>
        <w:rPr>
          <w:rFonts w:hint="eastAsia" w:ascii="仿宋" w:hAnsi="仿宋" w:eastAsia="仿宋" w:cs="仿宋"/>
          <w:sz w:val="28"/>
          <w:szCs w:val="28"/>
          <w:lang w:val="en-US" w:eastAsia="zh-CN"/>
        </w:rPr>
        <w:t>3. 沟通管理</w:t>
      </w:r>
      <w:bookmarkEnd w:id="35"/>
    </w:p>
    <w:p w14:paraId="37F34C0A">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建立固定沟通机制，专属沟通群实现技术问题、需求对接实时响应；乙方现场团队每日与甲方对接小组复盘工作，每周召开正式协调会，同步进展、解决协作问题，确保信息对称。</w:t>
      </w:r>
    </w:p>
    <w:p w14:paraId="417A0205">
      <w:pPr>
        <w:bidi w:val="0"/>
        <w:ind w:firstLine="560" w:firstLineChars="200"/>
        <w:outlineLvl w:val="2"/>
        <w:rPr>
          <w:rFonts w:hint="eastAsia" w:ascii="仿宋" w:hAnsi="仿宋" w:eastAsia="仿宋" w:cs="仿宋"/>
          <w:sz w:val="28"/>
          <w:szCs w:val="28"/>
          <w:lang w:val="en-US" w:eastAsia="zh-CN"/>
        </w:rPr>
      </w:pPr>
      <w:bookmarkStart w:id="36" w:name="_Toc227867699"/>
      <w:r>
        <w:rPr>
          <w:rFonts w:hint="eastAsia" w:ascii="仿宋" w:hAnsi="仿宋" w:eastAsia="仿宋" w:cs="仿宋"/>
          <w:sz w:val="28"/>
          <w:szCs w:val="28"/>
          <w:lang w:val="en-US" w:eastAsia="zh-CN"/>
        </w:rPr>
        <w:t>4. 安全管理</w:t>
      </w:r>
      <w:bookmarkEnd w:id="36"/>
    </w:p>
    <w:p w14:paraId="7B9EF04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严格遵守实验室安全管理规定，施工 / 安装 / 调试全程设置安全警示，规范用电、动火操作；设备做好接地、防漏电、应急停机等防护，软件系统设置分级操作权限，确保实验室人员、设备及检测样品安全。</w:t>
      </w:r>
    </w:p>
    <w:p w14:paraId="750F824C">
      <w:pPr>
        <w:bidi w:val="0"/>
        <w:ind w:firstLine="560" w:firstLineChars="200"/>
        <w:outlineLvl w:val="2"/>
        <w:rPr>
          <w:rFonts w:hint="eastAsia" w:ascii="仿宋" w:hAnsi="仿宋" w:eastAsia="仿宋" w:cs="仿宋"/>
          <w:sz w:val="28"/>
          <w:szCs w:val="28"/>
          <w:lang w:val="en-US" w:eastAsia="zh-CN"/>
        </w:rPr>
      </w:pPr>
      <w:bookmarkStart w:id="37" w:name="_Toc809074492"/>
      <w:r>
        <w:rPr>
          <w:rFonts w:hint="eastAsia" w:ascii="仿宋" w:hAnsi="仿宋" w:eastAsia="仿宋" w:cs="仿宋"/>
          <w:sz w:val="28"/>
          <w:szCs w:val="28"/>
          <w:lang w:val="en-US" w:eastAsia="zh-CN"/>
        </w:rPr>
        <w:t>5. 变更管理</w:t>
      </w:r>
      <w:bookmarkEnd w:id="37"/>
    </w:p>
    <w:p w14:paraId="2EC533A8">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项目实施中，甲方若需变更需求，需以书面形式提交申请，乙方评估变更对工期、成本、技术的影响，出具变更方案及费用明细，双方签字确认后执行，未确认前不得擅自变更，避免工期延误。</w:t>
      </w:r>
    </w:p>
    <w:p w14:paraId="4576AEFF">
      <w:pPr>
        <w:pStyle w:val="4"/>
        <w:bidi w:val="0"/>
        <w:spacing w:line="240" w:lineRule="auto"/>
        <w:rPr>
          <w:rFonts w:hint="eastAsia" w:ascii="仿宋" w:hAnsi="仿宋" w:eastAsia="仿宋" w:cs="仿宋"/>
          <w:sz w:val="30"/>
          <w:szCs w:val="30"/>
          <w:lang w:val="en-US" w:eastAsia="zh-CN"/>
        </w:rPr>
      </w:pPr>
      <w:bookmarkStart w:id="38" w:name="_Toc248534240"/>
      <w:r>
        <w:rPr>
          <w:rFonts w:hint="eastAsia" w:ascii="仿宋" w:hAnsi="仿宋" w:eastAsia="仿宋" w:cs="仿宋"/>
          <w:sz w:val="30"/>
          <w:szCs w:val="30"/>
          <w:lang w:val="en-US" w:eastAsia="zh-CN"/>
        </w:rPr>
        <w:t>4.4 项目保障措施</w:t>
      </w:r>
      <w:bookmarkEnd w:id="38"/>
    </w:p>
    <w:p w14:paraId="2FCE792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资源保障：乙方调配资深工程师、专用施工设备及原厂核心部件，确保生产、安装、调试资源充足；甲方协调场地、水电、专人对接，配合各阶段工作推进。</w:t>
      </w:r>
    </w:p>
    <w:p w14:paraId="6BC9EC99">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技术保障：成立技术攻坚小组，针对实施中的技术难题快速响应；提供 7×24 小时远程技术支持，现场问题 4 小时内给出解决方案。</w:t>
      </w:r>
    </w:p>
    <w:p w14:paraId="27F8432D">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售后前置：售后服务工程师全程参与调试阶段，熟悉系统配置与现场情况，为后期质保、维护奠定基础，实现交付后售后响应无缝衔接。</w:t>
      </w:r>
    </w:p>
    <w:p w14:paraId="79B0DCE4">
      <w:pPr>
        <w:bidi w:val="0"/>
        <w:ind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文档保障：全流程规范归档项目资料，包括设计方案、检测报告、验收文件、操作手册等，实现资料完整、可追溯，为甲方后期设备维护、备案提供支撑。</w:t>
      </w:r>
    </w:p>
    <w:p w14:paraId="372A99D1">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69B431B9">
      <w:pPr>
        <w:pStyle w:val="3"/>
        <w:numPr>
          <w:ilvl w:val="0"/>
          <w:numId w:val="3"/>
        </w:numPr>
        <w:bidi w:val="0"/>
        <w:rPr>
          <w:rFonts w:hint="default" w:ascii="仿宋" w:hAnsi="仿宋" w:eastAsia="仿宋" w:cs="仿宋"/>
          <w:b/>
          <w:sz w:val="36"/>
          <w:szCs w:val="36"/>
          <w:lang w:val="en-US" w:eastAsia="zh-CN"/>
        </w:rPr>
      </w:pPr>
      <w:bookmarkStart w:id="39" w:name="_Toc259278265"/>
      <w:r>
        <w:rPr>
          <w:rFonts w:hint="eastAsia" w:ascii="仿宋" w:hAnsi="仿宋" w:eastAsia="仿宋" w:cs="仿宋"/>
          <w:b/>
          <w:sz w:val="36"/>
          <w:szCs w:val="36"/>
          <w:lang w:val="en-US" w:eastAsia="zh-CN"/>
        </w:rPr>
        <w:t>项目预算报价</w:t>
      </w:r>
      <w:bookmarkEnd w:id="39"/>
    </w:p>
    <w:p w14:paraId="3A1A1E6D">
      <w:pPr>
        <w:bidi w:val="0"/>
        <w:ind w:firstLine="560" w:firstLineChars="200"/>
        <w:rPr>
          <w:rFonts w:hint="default"/>
          <w:lang w:val="en-US" w:eastAsia="zh-CN"/>
        </w:rPr>
      </w:pPr>
      <w:r>
        <w:rPr>
          <w:rFonts w:hint="eastAsia" w:ascii="仿宋" w:hAnsi="仿宋" w:eastAsia="仿宋" w:cs="仿宋"/>
          <w:color w:val="FF0000"/>
          <w:sz w:val="28"/>
          <w:szCs w:val="28"/>
          <w:lang w:val="en-US" w:eastAsia="zh-CN"/>
        </w:rPr>
        <w:t>注意：此报价不含与GC分析仪器的软件对接和GC自动化进样改造；</w:t>
      </w:r>
    </w:p>
    <w:p w14:paraId="293D2843">
      <w:pPr>
        <w:jc w:val="center"/>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预算报价表</w:t>
      </w:r>
    </w:p>
    <w:tbl>
      <w:tblPr>
        <w:tblStyle w:val="14"/>
        <w:tblW w:w="9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3427"/>
        <w:gridCol w:w="1038"/>
        <w:gridCol w:w="2050"/>
        <w:gridCol w:w="2131"/>
      </w:tblGrid>
      <w:tr w14:paraId="1DE0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top w:val="single" w:color="auto" w:sz="4" w:space="0"/>
              <w:left w:val="single" w:color="auto" w:sz="12" w:space="0"/>
              <w:right w:val="single" w:color="auto" w:sz="4" w:space="0"/>
            </w:tcBorders>
            <w:noWrap w:val="0"/>
            <w:vAlign w:val="center"/>
          </w:tcPr>
          <w:p w14:paraId="28F207A6">
            <w:pPr>
              <w:widowControl/>
              <w:spacing w:line="300" w:lineRule="atLeast"/>
              <w:ind w:left="-42" w:leftChars="-20" w:right="-42" w:rightChars="-20" w:firstLine="0" w:firstLineChars="0"/>
              <w:jc w:val="center"/>
              <w:rPr>
                <w:rFonts w:hint="eastAsia" w:ascii="仿宋" w:hAnsi="仿宋" w:eastAsia="仿宋" w:cs="仿宋"/>
                <w:w w:val="80"/>
                <w:kern w:val="0"/>
                <w:sz w:val="32"/>
                <w:szCs w:val="32"/>
                <w:lang w:bidi="ar"/>
              </w:rPr>
            </w:pPr>
            <w:r>
              <w:rPr>
                <w:rFonts w:hint="eastAsia" w:ascii="仿宋" w:hAnsi="仿宋" w:eastAsia="仿宋" w:cs="仿宋"/>
                <w:w w:val="80"/>
                <w:kern w:val="0"/>
                <w:sz w:val="32"/>
                <w:szCs w:val="32"/>
                <w:lang w:bidi="ar"/>
              </w:rPr>
              <w:t>序号</w:t>
            </w:r>
          </w:p>
        </w:tc>
        <w:tc>
          <w:tcPr>
            <w:tcW w:w="3427" w:type="dxa"/>
            <w:tcBorders>
              <w:top w:val="single" w:color="auto" w:sz="4" w:space="0"/>
              <w:left w:val="single" w:color="auto" w:sz="4" w:space="0"/>
              <w:right w:val="single" w:color="auto" w:sz="4" w:space="0"/>
            </w:tcBorders>
            <w:noWrap w:val="0"/>
            <w:vAlign w:val="center"/>
          </w:tcPr>
          <w:p w14:paraId="31F805F6">
            <w:pPr>
              <w:widowControl/>
              <w:spacing w:line="300" w:lineRule="atLeast"/>
              <w:ind w:left="-42" w:leftChars="-20" w:right="-42" w:rightChars="-20" w:firstLine="0" w:firstLineChars="0"/>
              <w:jc w:val="center"/>
              <w:rPr>
                <w:rFonts w:hint="eastAsia" w:ascii="仿宋" w:hAnsi="仿宋" w:eastAsia="仿宋" w:cs="仿宋"/>
                <w:w w:val="80"/>
                <w:kern w:val="0"/>
                <w:sz w:val="32"/>
                <w:szCs w:val="32"/>
                <w:lang w:bidi="ar"/>
              </w:rPr>
            </w:pPr>
            <w:r>
              <w:rPr>
                <w:rFonts w:hint="eastAsia" w:ascii="仿宋" w:hAnsi="仿宋" w:eastAsia="仿宋" w:cs="仿宋"/>
                <w:w w:val="80"/>
                <w:kern w:val="0"/>
                <w:sz w:val="32"/>
                <w:szCs w:val="32"/>
                <w:lang w:bidi="ar"/>
              </w:rPr>
              <w:t>费用名称</w:t>
            </w:r>
          </w:p>
        </w:tc>
        <w:tc>
          <w:tcPr>
            <w:tcW w:w="1038" w:type="dxa"/>
            <w:tcBorders>
              <w:top w:val="single" w:color="auto" w:sz="4" w:space="0"/>
              <w:left w:val="single" w:color="auto" w:sz="4" w:space="0"/>
              <w:right w:val="single" w:color="auto" w:sz="4" w:space="0"/>
            </w:tcBorders>
            <w:noWrap w:val="0"/>
            <w:vAlign w:val="center"/>
          </w:tcPr>
          <w:p w14:paraId="3EBDC2B4">
            <w:pPr>
              <w:widowControl/>
              <w:spacing w:line="300" w:lineRule="atLeast"/>
              <w:ind w:left="-42" w:leftChars="-20" w:right="-42" w:rightChars="-20" w:firstLine="0" w:firstLineChars="0"/>
              <w:jc w:val="center"/>
              <w:rPr>
                <w:rFonts w:hint="eastAsia" w:ascii="仿宋" w:hAnsi="仿宋" w:eastAsia="仿宋" w:cs="仿宋"/>
                <w:w w:val="80"/>
                <w:kern w:val="0"/>
                <w:sz w:val="32"/>
                <w:szCs w:val="32"/>
                <w:lang w:val="en-US" w:eastAsia="zh-CN" w:bidi="ar"/>
              </w:rPr>
            </w:pPr>
            <w:r>
              <w:rPr>
                <w:rFonts w:hint="eastAsia" w:ascii="仿宋" w:hAnsi="仿宋" w:eastAsia="仿宋" w:cs="仿宋"/>
                <w:w w:val="80"/>
                <w:kern w:val="0"/>
                <w:sz w:val="32"/>
                <w:szCs w:val="32"/>
                <w:lang w:val="en-US" w:eastAsia="zh-CN" w:bidi="ar"/>
              </w:rPr>
              <w:t>数量</w:t>
            </w:r>
          </w:p>
        </w:tc>
        <w:tc>
          <w:tcPr>
            <w:tcW w:w="2050" w:type="dxa"/>
            <w:tcBorders>
              <w:top w:val="single" w:color="auto" w:sz="4" w:space="0"/>
              <w:left w:val="single" w:color="auto" w:sz="4" w:space="0"/>
              <w:right w:val="single" w:color="auto" w:sz="4" w:space="0"/>
            </w:tcBorders>
            <w:noWrap w:val="0"/>
            <w:vAlign w:val="center"/>
          </w:tcPr>
          <w:p w14:paraId="481607F7">
            <w:pPr>
              <w:widowControl/>
              <w:spacing w:line="300" w:lineRule="atLeast"/>
              <w:ind w:left="-42" w:leftChars="-20" w:right="-42" w:rightChars="-20" w:firstLine="0" w:firstLineChars="0"/>
              <w:jc w:val="center"/>
              <w:rPr>
                <w:rFonts w:hint="eastAsia" w:ascii="仿宋" w:hAnsi="仿宋" w:eastAsia="仿宋" w:cs="仿宋"/>
                <w:w w:val="80"/>
                <w:kern w:val="0"/>
                <w:sz w:val="32"/>
                <w:szCs w:val="32"/>
                <w:lang w:val="en-US" w:eastAsia="zh-CN" w:bidi="ar"/>
              </w:rPr>
            </w:pPr>
            <w:r>
              <w:rPr>
                <w:rFonts w:hint="eastAsia" w:ascii="仿宋" w:hAnsi="仿宋" w:eastAsia="仿宋" w:cs="仿宋"/>
                <w:w w:val="80"/>
                <w:kern w:val="0"/>
                <w:sz w:val="32"/>
                <w:szCs w:val="32"/>
                <w:lang w:val="en-US" w:eastAsia="zh-CN" w:bidi="ar"/>
              </w:rPr>
              <w:t>单价（万元）</w:t>
            </w:r>
          </w:p>
        </w:tc>
        <w:tc>
          <w:tcPr>
            <w:tcW w:w="2131" w:type="dxa"/>
            <w:tcBorders>
              <w:top w:val="single" w:color="auto" w:sz="4" w:space="0"/>
              <w:left w:val="single" w:color="auto" w:sz="4" w:space="0"/>
              <w:right w:val="single" w:color="auto" w:sz="12" w:space="0"/>
            </w:tcBorders>
            <w:noWrap w:val="0"/>
            <w:vAlign w:val="center"/>
          </w:tcPr>
          <w:p w14:paraId="1DFCBE51">
            <w:pPr>
              <w:widowControl/>
              <w:spacing w:line="300" w:lineRule="atLeast"/>
              <w:ind w:left="-42" w:leftChars="-20" w:right="-42" w:rightChars="-20" w:firstLine="0" w:firstLineChars="0"/>
              <w:jc w:val="center"/>
              <w:rPr>
                <w:rFonts w:hint="eastAsia" w:ascii="仿宋" w:hAnsi="仿宋" w:eastAsia="仿宋" w:cs="仿宋"/>
                <w:w w:val="80"/>
                <w:kern w:val="0"/>
                <w:sz w:val="32"/>
                <w:szCs w:val="32"/>
                <w:lang w:bidi="ar"/>
              </w:rPr>
            </w:pPr>
            <w:r>
              <w:rPr>
                <w:rFonts w:hint="eastAsia" w:ascii="仿宋" w:hAnsi="仿宋" w:eastAsia="仿宋" w:cs="仿宋"/>
                <w:w w:val="80"/>
                <w:kern w:val="0"/>
                <w:sz w:val="32"/>
                <w:szCs w:val="32"/>
                <w:lang w:bidi="ar"/>
              </w:rPr>
              <w:t>合   计</w:t>
            </w:r>
            <w:r>
              <w:rPr>
                <w:rFonts w:hint="eastAsia" w:ascii="仿宋" w:hAnsi="仿宋" w:eastAsia="仿宋" w:cs="仿宋"/>
                <w:w w:val="80"/>
                <w:kern w:val="0"/>
                <w:sz w:val="32"/>
                <w:szCs w:val="32"/>
                <w:lang w:val="en-US" w:eastAsia="zh-CN" w:bidi="ar"/>
              </w:rPr>
              <w:t>（万元）</w:t>
            </w:r>
          </w:p>
        </w:tc>
      </w:tr>
      <w:tr w14:paraId="4D07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0E7D4890">
            <w:pPr>
              <w:widowControl/>
              <w:spacing w:line="300" w:lineRule="atLeast"/>
              <w:ind w:left="-42" w:leftChars="-20" w:right="-42" w:rightChars="-20" w:firstLine="0" w:firstLineChars="0"/>
              <w:jc w:val="center"/>
              <w:rPr>
                <w:rFonts w:hint="eastAsia" w:ascii="仿宋" w:hAnsi="仿宋" w:eastAsia="仿宋" w:cs="仿宋"/>
                <w:color w:val="0000FF"/>
                <w:w w:val="80"/>
                <w:kern w:val="0"/>
                <w:sz w:val="32"/>
                <w:szCs w:val="32"/>
                <w:lang w:bidi="ar"/>
              </w:rPr>
            </w:pPr>
            <w:r>
              <w:rPr>
                <w:rFonts w:hint="eastAsia" w:ascii="仿宋" w:hAnsi="仿宋" w:eastAsia="仿宋" w:cs="仿宋"/>
                <w:color w:val="0000FF"/>
                <w:w w:val="80"/>
                <w:kern w:val="0"/>
                <w:sz w:val="32"/>
                <w:szCs w:val="32"/>
                <w:lang w:val="en-US" w:eastAsia="zh-CN" w:bidi="ar"/>
              </w:rPr>
              <w:t>一</w:t>
            </w:r>
          </w:p>
        </w:tc>
        <w:tc>
          <w:tcPr>
            <w:tcW w:w="3427" w:type="dxa"/>
            <w:tcBorders>
              <w:left w:val="single" w:color="auto" w:sz="4" w:space="0"/>
              <w:right w:val="single" w:color="auto" w:sz="4" w:space="0"/>
            </w:tcBorders>
            <w:noWrap w:val="0"/>
            <w:vAlign w:val="center"/>
          </w:tcPr>
          <w:p w14:paraId="2B6E02D2">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全自动萃取工站</w:t>
            </w:r>
          </w:p>
        </w:tc>
        <w:tc>
          <w:tcPr>
            <w:tcW w:w="1038" w:type="dxa"/>
            <w:tcBorders>
              <w:left w:val="single" w:color="auto" w:sz="4" w:space="0"/>
              <w:right w:val="single" w:color="auto" w:sz="4" w:space="0"/>
            </w:tcBorders>
            <w:noWrap w:val="0"/>
            <w:vAlign w:val="center"/>
          </w:tcPr>
          <w:p w14:paraId="47857BD0">
            <w:pPr>
              <w:widowControl/>
              <w:spacing w:line="300" w:lineRule="atLeast"/>
              <w:ind w:left="-42" w:leftChars="-20" w:right="-42" w:rightChars="-20" w:firstLine="0" w:firstLineChars="0"/>
              <w:jc w:val="center"/>
              <w:rPr>
                <w:rFonts w:hint="eastAsia" w:ascii="仿宋" w:hAnsi="仿宋" w:eastAsia="仿宋" w:cs="仿宋"/>
                <w:color w:val="0000FF"/>
                <w:w w:val="80"/>
                <w:kern w:val="0"/>
                <w:sz w:val="32"/>
                <w:szCs w:val="32"/>
                <w:lang w:val="en-US" w:bidi="ar"/>
              </w:rPr>
            </w:pPr>
            <w:r>
              <w:rPr>
                <w:rFonts w:hint="eastAsia" w:ascii="仿宋" w:hAnsi="仿宋" w:eastAsia="仿宋" w:cs="仿宋"/>
                <w:color w:val="0000FF"/>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06F4A1D3">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60</w:t>
            </w:r>
          </w:p>
        </w:tc>
        <w:tc>
          <w:tcPr>
            <w:tcW w:w="2131" w:type="dxa"/>
            <w:tcBorders>
              <w:left w:val="single" w:color="auto" w:sz="4" w:space="0"/>
              <w:right w:val="single" w:color="auto" w:sz="12" w:space="0"/>
            </w:tcBorders>
            <w:shd w:val="clear" w:color="auto" w:fill="auto"/>
            <w:noWrap w:val="0"/>
            <w:vAlign w:val="center"/>
          </w:tcPr>
          <w:p w14:paraId="234FE384">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14:ligatures w14:val="standardContextual"/>
              </w:rPr>
              <w:t>60</w:t>
            </w:r>
          </w:p>
        </w:tc>
      </w:tr>
      <w:tr w14:paraId="0D4D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1A908AAF">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bidi="ar"/>
              </w:rPr>
            </w:pPr>
            <w:r>
              <w:rPr>
                <w:rFonts w:hint="eastAsia" w:ascii="仿宋" w:hAnsi="仿宋" w:eastAsia="仿宋" w:cs="仿宋"/>
                <w:color w:val="auto"/>
                <w:w w:val="80"/>
                <w:kern w:val="0"/>
                <w:sz w:val="32"/>
                <w:szCs w:val="32"/>
                <w:lang w:val="en-US" w:eastAsia="zh-CN" w:bidi="ar"/>
              </w:rPr>
              <w:t>1</w:t>
            </w:r>
          </w:p>
        </w:tc>
        <w:tc>
          <w:tcPr>
            <w:tcW w:w="3427" w:type="dxa"/>
            <w:tcBorders>
              <w:left w:val="single" w:color="auto" w:sz="4" w:space="0"/>
              <w:right w:val="single" w:color="auto" w:sz="4" w:space="0"/>
            </w:tcBorders>
            <w:noWrap w:val="0"/>
            <w:vAlign w:val="center"/>
          </w:tcPr>
          <w:p w14:paraId="750D744A">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扫码识别模块</w:t>
            </w:r>
          </w:p>
        </w:tc>
        <w:tc>
          <w:tcPr>
            <w:tcW w:w="1038" w:type="dxa"/>
            <w:tcBorders>
              <w:left w:val="single" w:color="auto" w:sz="4" w:space="0"/>
              <w:right w:val="single" w:color="auto" w:sz="4" w:space="0"/>
            </w:tcBorders>
            <w:noWrap w:val="0"/>
            <w:vAlign w:val="center"/>
          </w:tcPr>
          <w:p w14:paraId="23D31356">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12E81FFB">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43EF929D">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r>
      <w:tr w14:paraId="6B8D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2993F1C0">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2</w:t>
            </w:r>
          </w:p>
        </w:tc>
        <w:tc>
          <w:tcPr>
            <w:tcW w:w="3427" w:type="dxa"/>
            <w:tcBorders>
              <w:left w:val="single" w:color="auto" w:sz="4" w:space="0"/>
              <w:right w:val="single" w:color="auto" w:sz="4" w:space="0"/>
            </w:tcBorders>
            <w:noWrap w:val="0"/>
            <w:vAlign w:val="center"/>
          </w:tcPr>
          <w:p w14:paraId="66E4B007">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面包瓶拔塞加液模块</w:t>
            </w:r>
          </w:p>
        </w:tc>
        <w:tc>
          <w:tcPr>
            <w:tcW w:w="1038" w:type="dxa"/>
            <w:tcBorders>
              <w:left w:val="single" w:color="auto" w:sz="4" w:space="0"/>
              <w:right w:val="single" w:color="auto" w:sz="4" w:space="0"/>
            </w:tcBorders>
            <w:noWrap w:val="0"/>
            <w:vAlign w:val="center"/>
          </w:tcPr>
          <w:p w14:paraId="18D3AF15">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1E2CCBE9">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bidi="ar"/>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0D3A2808">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bidi="ar"/>
              </w:rPr>
            </w:pPr>
            <w:r>
              <w:rPr>
                <w:rFonts w:hint="eastAsia" w:ascii="仿宋" w:hAnsi="仿宋" w:eastAsia="仿宋" w:cs="仿宋"/>
                <w:color w:val="auto"/>
                <w:w w:val="80"/>
                <w:kern w:val="0"/>
                <w:sz w:val="32"/>
                <w:szCs w:val="32"/>
                <w:lang w:val="en-US" w:eastAsia="zh-CN" w:bidi="ar"/>
              </w:rPr>
              <w:t>--</w:t>
            </w:r>
          </w:p>
        </w:tc>
      </w:tr>
      <w:tr w14:paraId="23AE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040E5164">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3</w:t>
            </w:r>
          </w:p>
        </w:tc>
        <w:tc>
          <w:tcPr>
            <w:tcW w:w="3427" w:type="dxa"/>
            <w:tcBorders>
              <w:left w:val="single" w:color="auto" w:sz="4" w:space="0"/>
              <w:right w:val="single" w:color="auto" w:sz="4" w:space="0"/>
            </w:tcBorders>
            <w:noWrap w:val="0"/>
            <w:vAlign w:val="center"/>
          </w:tcPr>
          <w:p w14:paraId="58DB7121">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振摇提取模块</w:t>
            </w:r>
          </w:p>
        </w:tc>
        <w:tc>
          <w:tcPr>
            <w:tcW w:w="1038" w:type="dxa"/>
            <w:tcBorders>
              <w:left w:val="single" w:color="auto" w:sz="4" w:space="0"/>
              <w:right w:val="single" w:color="auto" w:sz="4" w:space="0"/>
            </w:tcBorders>
            <w:noWrap w:val="0"/>
            <w:vAlign w:val="center"/>
          </w:tcPr>
          <w:p w14:paraId="73C7606A">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798B85CA">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bidi="ar"/>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164A88E3">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bidi="ar"/>
              </w:rPr>
            </w:pPr>
            <w:r>
              <w:rPr>
                <w:rFonts w:hint="eastAsia" w:ascii="仿宋" w:hAnsi="仿宋" w:eastAsia="仿宋" w:cs="仿宋"/>
                <w:color w:val="auto"/>
                <w:w w:val="80"/>
                <w:kern w:val="0"/>
                <w:sz w:val="32"/>
                <w:szCs w:val="32"/>
                <w:lang w:val="en-US" w:eastAsia="zh-CN" w:bidi="ar"/>
              </w:rPr>
              <w:t>--</w:t>
            </w:r>
          </w:p>
        </w:tc>
      </w:tr>
      <w:tr w14:paraId="021D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43DBE67F">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4</w:t>
            </w:r>
          </w:p>
        </w:tc>
        <w:tc>
          <w:tcPr>
            <w:tcW w:w="3427" w:type="dxa"/>
            <w:tcBorders>
              <w:left w:val="single" w:color="auto" w:sz="4" w:space="0"/>
              <w:right w:val="single" w:color="auto" w:sz="4" w:space="0"/>
            </w:tcBorders>
            <w:noWrap w:val="0"/>
            <w:vAlign w:val="center"/>
          </w:tcPr>
          <w:p w14:paraId="1A9DF429">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过滤分装模块</w:t>
            </w:r>
          </w:p>
        </w:tc>
        <w:tc>
          <w:tcPr>
            <w:tcW w:w="1038" w:type="dxa"/>
            <w:tcBorders>
              <w:left w:val="single" w:color="auto" w:sz="4" w:space="0"/>
              <w:right w:val="single" w:color="auto" w:sz="4" w:space="0"/>
            </w:tcBorders>
            <w:noWrap w:val="0"/>
            <w:vAlign w:val="center"/>
          </w:tcPr>
          <w:p w14:paraId="23F95763">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36E2CD3C">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1103742F">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bidi="ar"/>
              </w:rPr>
            </w:pPr>
            <w:r>
              <w:rPr>
                <w:rFonts w:hint="eastAsia" w:ascii="仿宋" w:hAnsi="仿宋" w:eastAsia="仿宋" w:cs="仿宋"/>
                <w:color w:val="auto"/>
                <w:w w:val="80"/>
                <w:kern w:val="0"/>
                <w:sz w:val="32"/>
                <w:szCs w:val="32"/>
                <w:lang w:val="en-US" w:eastAsia="zh-CN" w:bidi="ar"/>
              </w:rPr>
              <w:t>--</w:t>
            </w:r>
          </w:p>
        </w:tc>
      </w:tr>
      <w:tr w14:paraId="55C0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16E28EE3">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5</w:t>
            </w:r>
          </w:p>
        </w:tc>
        <w:tc>
          <w:tcPr>
            <w:tcW w:w="3427" w:type="dxa"/>
            <w:tcBorders>
              <w:left w:val="single" w:color="auto" w:sz="4" w:space="0"/>
              <w:right w:val="single" w:color="auto" w:sz="4" w:space="0"/>
            </w:tcBorders>
            <w:noWrap w:val="0"/>
            <w:vAlign w:val="center"/>
          </w:tcPr>
          <w:p w14:paraId="1E3BA3AF">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中转输出模块</w:t>
            </w:r>
          </w:p>
        </w:tc>
        <w:tc>
          <w:tcPr>
            <w:tcW w:w="1038" w:type="dxa"/>
            <w:tcBorders>
              <w:left w:val="single" w:color="auto" w:sz="4" w:space="0"/>
              <w:right w:val="single" w:color="auto" w:sz="4" w:space="0"/>
            </w:tcBorders>
            <w:noWrap w:val="0"/>
            <w:vAlign w:val="center"/>
          </w:tcPr>
          <w:p w14:paraId="5C41038D">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0823AA7C">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3E2334AD">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bidi="ar"/>
              </w:rPr>
            </w:pPr>
            <w:r>
              <w:rPr>
                <w:rFonts w:hint="eastAsia" w:ascii="仿宋" w:hAnsi="仿宋" w:eastAsia="仿宋" w:cs="仿宋"/>
                <w:color w:val="auto"/>
                <w:w w:val="80"/>
                <w:kern w:val="0"/>
                <w:sz w:val="32"/>
                <w:szCs w:val="32"/>
                <w:lang w:val="en-US" w:eastAsia="zh-CN" w:bidi="ar"/>
              </w:rPr>
              <w:t>--</w:t>
            </w:r>
          </w:p>
        </w:tc>
      </w:tr>
      <w:tr w14:paraId="22B3F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6D32158F">
            <w:pPr>
              <w:widowControl/>
              <w:spacing w:line="300" w:lineRule="atLeast"/>
              <w:ind w:left="-42" w:leftChars="-20" w:right="-42" w:rightChars="-20" w:firstLine="0" w:firstLineChars="0"/>
              <w:jc w:val="center"/>
              <w:rPr>
                <w:rFonts w:hint="eastAsia" w:ascii="仿宋" w:hAnsi="仿宋" w:eastAsia="仿宋" w:cs="仿宋"/>
                <w:color w:val="0000FF"/>
                <w:w w:val="80"/>
                <w:kern w:val="0"/>
                <w:sz w:val="32"/>
                <w:szCs w:val="32"/>
                <w:lang w:bidi="ar"/>
              </w:rPr>
            </w:pPr>
            <w:r>
              <w:rPr>
                <w:rFonts w:hint="eastAsia" w:ascii="仿宋" w:hAnsi="仿宋" w:eastAsia="仿宋" w:cs="仿宋"/>
                <w:color w:val="0000FF"/>
                <w:w w:val="80"/>
                <w:kern w:val="0"/>
                <w:sz w:val="32"/>
                <w:szCs w:val="32"/>
                <w:lang w:val="en-US" w:eastAsia="zh-CN" w:bidi="ar"/>
              </w:rPr>
              <w:t>二</w:t>
            </w:r>
          </w:p>
        </w:tc>
        <w:tc>
          <w:tcPr>
            <w:tcW w:w="3427" w:type="dxa"/>
            <w:tcBorders>
              <w:left w:val="single" w:color="auto" w:sz="4" w:space="0"/>
              <w:right w:val="single" w:color="auto" w:sz="4" w:space="0"/>
            </w:tcBorders>
            <w:noWrap w:val="0"/>
            <w:vAlign w:val="center"/>
          </w:tcPr>
          <w:p w14:paraId="118E17A1">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全自动GC检测工站</w:t>
            </w:r>
          </w:p>
        </w:tc>
        <w:tc>
          <w:tcPr>
            <w:tcW w:w="1038" w:type="dxa"/>
            <w:tcBorders>
              <w:left w:val="single" w:color="auto" w:sz="4" w:space="0"/>
              <w:right w:val="single" w:color="auto" w:sz="4" w:space="0"/>
            </w:tcBorders>
            <w:noWrap w:val="0"/>
            <w:vAlign w:val="center"/>
          </w:tcPr>
          <w:p w14:paraId="5A30431B">
            <w:pPr>
              <w:widowControl/>
              <w:spacing w:line="300" w:lineRule="atLeast"/>
              <w:ind w:left="-42" w:leftChars="-20" w:right="-42" w:rightChars="-20" w:firstLine="0" w:firstLineChars="0"/>
              <w:jc w:val="center"/>
              <w:rPr>
                <w:rFonts w:hint="eastAsia"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1</w:t>
            </w:r>
          </w:p>
        </w:tc>
        <w:tc>
          <w:tcPr>
            <w:tcW w:w="2050" w:type="dxa"/>
            <w:tcBorders>
              <w:left w:val="single" w:color="auto" w:sz="4" w:space="0"/>
              <w:right w:val="single" w:color="auto" w:sz="4" w:space="0"/>
            </w:tcBorders>
            <w:noWrap w:val="0"/>
            <w:vAlign w:val="center"/>
          </w:tcPr>
          <w:p w14:paraId="192E3079">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bidi="ar"/>
              </w:rPr>
            </w:pPr>
            <w:r>
              <w:rPr>
                <w:rFonts w:hint="eastAsia" w:ascii="仿宋" w:hAnsi="仿宋" w:eastAsia="仿宋" w:cs="仿宋"/>
                <w:color w:val="0000FF"/>
                <w:w w:val="80"/>
                <w:kern w:val="0"/>
                <w:sz w:val="32"/>
                <w:szCs w:val="32"/>
                <w:lang w:val="en-US" w:eastAsia="zh-CN" w:bidi="ar"/>
              </w:rPr>
              <w:t>30</w:t>
            </w:r>
          </w:p>
        </w:tc>
        <w:tc>
          <w:tcPr>
            <w:tcW w:w="2131" w:type="dxa"/>
            <w:tcBorders>
              <w:left w:val="single" w:color="auto" w:sz="4" w:space="0"/>
              <w:right w:val="single" w:color="auto" w:sz="12" w:space="0"/>
            </w:tcBorders>
            <w:shd w:val="clear" w:color="auto" w:fill="auto"/>
            <w:noWrap w:val="0"/>
            <w:vAlign w:val="center"/>
          </w:tcPr>
          <w:p w14:paraId="05C9BFB8">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rPr>
              <w:t>30</w:t>
            </w:r>
          </w:p>
        </w:tc>
      </w:tr>
      <w:tr w14:paraId="2D43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1B2C1DDF">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bidi="ar"/>
              </w:rPr>
            </w:pPr>
            <w:r>
              <w:rPr>
                <w:rFonts w:hint="eastAsia" w:ascii="仿宋" w:hAnsi="仿宋" w:eastAsia="仿宋" w:cs="仿宋"/>
                <w:color w:val="auto"/>
                <w:w w:val="80"/>
                <w:kern w:val="0"/>
                <w:sz w:val="32"/>
                <w:szCs w:val="32"/>
                <w:lang w:val="en-US" w:eastAsia="zh-CN" w:bidi="ar"/>
              </w:rPr>
              <w:t>1</w:t>
            </w:r>
          </w:p>
        </w:tc>
        <w:tc>
          <w:tcPr>
            <w:tcW w:w="3427" w:type="dxa"/>
            <w:tcBorders>
              <w:left w:val="single" w:color="auto" w:sz="4" w:space="0"/>
              <w:right w:val="single" w:color="auto" w:sz="4" w:space="0"/>
            </w:tcBorders>
            <w:noWrap w:val="0"/>
            <w:vAlign w:val="center"/>
          </w:tcPr>
          <w:p w14:paraId="746DDF45">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固定六轴机械臂、</w:t>
            </w:r>
          </w:p>
        </w:tc>
        <w:tc>
          <w:tcPr>
            <w:tcW w:w="1038" w:type="dxa"/>
            <w:tcBorders>
              <w:left w:val="single" w:color="auto" w:sz="4" w:space="0"/>
              <w:right w:val="single" w:color="auto" w:sz="4" w:space="0"/>
            </w:tcBorders>
            <w:noWrap w:val="0"/>
            <w:vAlign w:val="center"/>
          </w:tcPr>
          <w:p w14:paraId="286FD4A0">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shd w:val="clear"/>
            <w:noWrap w:val="0"/>
            <w:vAlign w:val="center"/>
          </w:tcPr>
          <w:p w14:paraId="4C18B5E6">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7D6E75D9">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r>
      <w:tr w14:paraId="4A61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25BE58D4">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bidi="ar"/>
              </w:rPr>
            </w:pPr>
            <w:r>
              <w:rPr>
                <w:rFonts w:hint="eastAsia" w:ascii="仿宋" w:hAnsi="仿宋" w:eastAsia="仿宋" w:cs="仿宋"/>
                <w:color w:val="auto"/>
                <w:w w:val="80"/>
                <w:kern w:val="0"/>
                <w:sz w:val="32"/>
                <w:szCs w:val="32"/>
                <w:lang w:val="en-US" w:eastAsia="zh-CN" w:bidi="ar"/>
              </w:rPr>
              <w:t>2</w:t>
            </w:r>
          </w:p>
        </w:tc>
        <w:tc>
          <w:tcPr>
            <w:tcW w:w="3427" w:type="dxa"/>
            <w:tcBorders>
              <w:left w:val="single" w:color="auto" w:sz="4" w:space="0"/>
              <w:right w:val="single" w:color="auto" w:sz="4" w:space="0"/>
            </w:tcBorders>
            <w:noWrap w:val="0"/>
            <w:vAlign w:val="center"/>
          </w:tcPr>
          <w:p w14:paraId="337CB4A4">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GC自动进样对接</w:t>
            </w:r>
          </w:p>
        </w:tc>
        <w:tc>
          <w:tcPr>
            <w:tcW w:w="1038" w:type="dxa"/>
            <w:tcBorders>
              <w:left w:val="single" w:color="auto" w:sz="4" w:space="0"/>
              <w:right w:val="single" w:color="auto" w:sz="4" w:space="0"/>
            </w:tcBorders>
            <w:noWrap w:val="0"/>
            <w:vAlign w:val="center"/>
          </w:tcPr>
          <w:p w14:paraId="0A482A29">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shd w:val="clear"/>
            <w:noWrap w:val="0"/>
            <w:vAlign w:val="center"/>
          </w:tcPr>
          <w:p w14:paraId="60FE5F7F">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40FF6C57">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r>
      <w:tr w14:paraId="0C63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noWrap w:val="0"/>
            <w:vAlign w:val="center"/>
          </w:tcPr>
          <w:p w14:paraId="24BA2313">
            <w:pPr>
              <w:widowControl/>
              <w:spacing w:line="300" w:lineRule="atLeast"/>
              <w:ind w:left="-42" w:leftChars="-20" w:right="-42" w:rightChars="-20" w:firstLine="0" w:firstLineChars="0"/>
              <w:jc w:val="center"/>
              <w:rPr>
                <w:rFonts w:hint="eastAsia" w:ascii="仿宋" w:hAnsi="仿宋" w:eastAsia="仿宋" w:cs="仿宋"/>
                <w:color w:val="auto"/>
                <w:w w:val="80"/>
                <w:kern w:val="0"/>
                <w:sz w:val="32"/>
                <w:szCs w:val="32"/>
                <w:lang w:bidi="ar"/>
              </w:rPr>
            </w:pPr>
            <w:r>
              <w:rPr>
                <w:rFonts w:hint="eastAsia" w:ascii="仿宋" w:hAnsi="仿宋" w:eastAsia="仿宋" w:cs="仿宋"/>
                <w:color w:val="auto"/>
                <w:w w:val="80"/>
                <w:kern w:val="0"/>
                <w:sz w:val="32"/>
                <w:szCs w:val="32"/>
                <w:lang w:val="en-US" w:eastAsia="zh-CN" w:bidi="ar"/>
              </w:rPr>
              <w:t>3</w:t>
            </w:r>
          </w:p>
        </w:tc>
        <w:tc>
          <w:tcPr>
            <w:tcW w:w="3427" w:type="dxa"/>
            <w:tcBorders>
              <w:left w:val="single" w:color="auto" w:sz="4" w:space="0"/>
              <w:right w:val="single" w:color="auto" w:sz="4" w:space="0"/>
            </w:tcBorders>
            <w:noWrap w:val="0"/>
            <w:vAlign w:val="center"/>
          </w:tcPr>
          <w:p w14:paraId="410D5AE2">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宋体"/>
                <w:color w:val="auto"/>
                <w:kern w:val="0"/>
                <w:sz w:val="28"/>
                <w:szCs w:val="28"/>
                <w:lang w:val="en-US" w:eastAsia="zh-CN" w:bidi="ar-SA"/>
                <w14:ligatures w14:val="none"/>
              </w:rPr>
              <w:t>LIMS 对接</w:t>
            </w:r>
          </w:p>
        </w:tc>
        <w:tc>
          <w:tcPr>
            <w:tcW w:w="1038" w:type="dxa"/>
            <w:tcBorders>
              <w:left w:val="single" w:color="auto" w:sz="4" w:space="0"/>
              <w:right w:val="single" w:color="auto" w:sz="4" w:space="0"/>
            </w:tcBorders>
            <w:noWrap w:val="0"/>
            <w:vAlign w:val="center"/>
          </w:tcPr>
          <w:p w14:paraId="1D2A96C9">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rPr>
            </w:pPr>
            <w:r>
              <w:rPr>
                <w:rFonts w:hint="eastAsia" w:ascii="仿宋" w:hAnsi="仿宋" w:eastAsia="仿宋" w:cs="仿宋"/>
                <w:color w:val="auto"/>
                <w:w w:val="80"/>
                <w:kern w:val="0"/>
                <w:sz w:val="32"/>
                <w:szCs w:val="32"/>
                <w:lang w:val="en-US" w:eastAsia="zh-CN" w:bidi="ar"/>
              </w:rPr>
              <w:t>1</w:t>
            </w:r>
          </w:p>
        </w:tc>
        <w:tc>
          <w:tcPr>
            <w:tcW w:w="2050" w:type="dxa"/>
            <w:tcBorders>
              <w:left w:val="single" w:color="auto" w:sz="4" w:space="0"/>
              <w:right w:val="single" w:color="auto" w:sz="4" w:space="0"/>
            </w:tcBorders>
            <w:shd w:val="clear"/>
            <w:noWrap w:val="0"/>
            <w:vAlign w:val="center"/>
          </w:tcPr>
          <w:p w14:paraId="0E2BE40A">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c>
          <w:tcPr>
            <w:tcW w:w="2131" w:type="dxa"/>
            <w:tcBorders>
              <w:left w:val="single" w:color="auto" w:sz="4" w:space="0"/>
              <w:right w:val="single" w:color="auto" w:sz="12" w:space="0"/>
            </w:tcBorders>
            <w:shd w:val="clear" w:color="auto" w:fill="auto"/>
            <w:noWrap w:val="0"/>
            <w:vAlign w:val="center"/>
          </w:tcPr>
          <w:p w14:paraId="65691FF8">
            <w:pPr>
              <w:widowControl/>
              <w:spacing w:line="300" w:lineRule="atLeast"/>
              <w:ind w:left="-42" w:leftChars="-20" w:right="-42" w:rightChars="-20" w:firstLine="0" w:firstLineChars="0"/>
              <w:jc w:val="center"/>
              <w:rPr>
                <w:rFonts w:hint="default" w:ascii="仿宋" w:hAnsi="仿宋" w:eastAsia="仿宋" w:cs="仿宋"/>
                <w:color w:val="auto"/>
                <w:w w:val="80"/>
                <w:kern w:val="0"/>
                <w:sz w:val="32"/>
                <w:szCs w:val="32"/>
                <w:lang w:val="en-US" w:eastAsia="zh-CN" w:bidi="ar"/>
                <w14:ligatures w14:val="standardContextual"/>
              </w:rPr>
            </w:pPr>
            <w:r>
              <w:rPr>
                <w:rFonts w:hint="eastAsia" w:ascii="仿宋" w:hAnsi="仿宋" w:eastAsia="仿宋" w:cs="仿宋"/>
                <w:color w:val="auto"/>
                <w:w w:val="80"/>
                <w:kern w:val="0"/>
                <w:sz w:val="32"/>
                <w:szCs w:val="32"/>
                <w:lang w:val="en-US" w:eastAsia="zh-CN" w:bidi="ar"/>
              </w:rPr>
              <w:t>--</w:t>
            </w:r>
          </w:p>
        </w:tc>
      </w:tr>
      <w:tr w14:paraId="13040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shd w:val="clear"/>
            <w:noWrap w:val="0"/>
            <w:vAlign w:val="center"/>
          </w:tcPr>
          <w:p w14:paraId="34C24131">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14:ligatures w14:val="standardContextual"/>
              </w:rPr>
              <w:t>三</w:t>
            </w:r>
          </w:p>
        </w:tc>
        <w:tc>
          <w:tcPr>
            <w:tcW w:w="3427" w:type="dxa"/>
            <w:tcBorders>
              <w:left w:val="single" w:color="auto" w:sz="4" w:space="0"/>
              <w:right w:val="single" w:color="auto" w:sz="4" w:space="0"/>
            </w:tcBorders>
            <w:shd w:val="clear"/>
            <w:noWrap w:val="0"/>
            <w:vAlign w:val="center"/>
          </w:tcPr>
          <w:p w14:paraId="66D51F61">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rPr>
              <w:t>中央控制和调度系统</w:t>
            </w:r>
          </w:p>
        </w:tc>
        <w:tc>
          <w:tcPr>
            <w:tcW w:w="1038" w:type="dxa"/>
            <w:tcBorders>
              <w:left w:val="single" w:color="auto" w:sz="4" w:space="0"/>
              <w:right w:val="single" w:color="auto" w:sz="4" w:space="0"/>
            </w:tcBorders>
            <w:shd w:val="clear"/>
            <w:noWrap w:val="0"/>
            <w:vAlign w:val="center"/>
          </w:tcPr>
          <w:p w14:paraId="525300B6">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rPr>
              <w:t>1</w:t>
            </w:r>
          </w:p>
        </w:tc>
        <w:tc>
          <w:tcPr>
            <w:tcW w:w="2050" w:type="dxa"/>
            <w:tcBorders>
              <w:left w:val="single" w:color="auto" w:sz="4" w:space="0"/>
              <w:right w:val="single" w:color="auto" w:sz="4" w:space="0"/>
            </w:tcBorders>
            <w:shd w:val="clear" w:color="auto" w:fill="auto"/>
            <w:noWrap w:val="0"/>
            <w:vAlign w:val="center"/>
          </w:tcPr>
          <w:p w14:paraId="50E097EE">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30</w:t>
            </w:r>
          </w:p>
        </w:tc>
        <w:tc>
          <w:tcPr>
            <w:tcW w:w="2131" w:type="dxa"/>
            <w:tcBorders>
              <w:left w:val="single" w:color="auto" w:sz="4" w:space="0"/>
              <w:right w:val="single" w:color="auto" w:sz="12" w:space="0"/>
            </w:tcBorders>
            <w:shd w:val="clear" w:color="auto" w:fill="auto"/>
            <w:noWrap w:val="0"/>
            <w:vAlign w:val="center"/>
          </w:tcPr>
          <w:p w14:paraId="666718DB">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30</w:t>
            </w:r>
          </w:p>
        </w:tc>
      </w:tr>
      <w:tr w14:paraId="79E3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right w:val="single" w:color="auto" w:sz="4" w:space="0"/>
            </w:tcBorders>
            <w:shd w:val="clear" w:color="auto" w:fill="auto"/>
            <w:noWrap w:val="0"/>
            <w:vAlign w:val="center"/>
          </w:tcPr>
          <w:p w14:paraId="2A5981C5">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14:ligatures w14:val="standardContextual"/>
              </w:rPr>
              <w:t>四</w:t>
            </w:r>
          </w:p>
        </w:tc>
        <w:tc>
          <w:tcPr>
            <w:tcW w:w="3427" w:type="dxa"/>
            <w:tcBorders>
              <w:left w:val="single" w:color="auto" w:sz="4" w:space="0"/>
              <w:right w:val="single" w:color="auto" w:sz="4" w:space="0"/>
            </w:tcBorders>
            <w:shd w:val="clear" w:color="auto" w:fill="auto"/>
            <w:noWrap w:val="0"/>
            <w:vAlign w:val="center"/>
          </w:tcPr>
          <w:p w14:paraId="11A27933">
            <w:pPr>
              <w:widowControl/>
              <w:spacing w:line="300" w:lineRule="atLeast"/>
              <w:ind w:right="-42" w:rightChars="-20" w:firstLine="512" w:firstLineChars="200"/>
              <w:jc w:val="both"/>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14:ligatures w14:val="standardContextual"/>
              </w:rPr>
              <w:t>网络和电信系统</w:t>
            </w:r>
          </w:p>
        </w:tc>
        <w:tc>
          <w:tcPr>
            <w:tcW w:w="1038" w:type="dxa"/>
            <w:tcBorders>
              <w:left w:val="single" w:color="auto" w:sz="4" w:space="0"/>
              <w:right w:val="single" w:color="auto" w:sz="4" w:space="0"/>
            </w:tcBorders>
            <w:shd w:val="clear" w:color="auto" w:fill="auto"/>
            <w:noWrap w:val="0"/>
            <w:vAlign w:val="center"/>
          </w:tcPr>
          <w:p w14:paraId="7EBEE539">
            <w:pPr>
              <w:widowControl/>
              <w:spacing w:line="300" w:lineRule="atLeast"/>
              <w:ind w:left="-42" w:leftChars="-20" w:right="-42" w:rightChars="-20" w:firstLine="0" w:firstLineChars="0"/>
              <w:jc w:val="center"/>
              <w:rPr>
                <w:rFonts w:hint="default" w:ascii="仿宋" w:hAnsi="仿宋" w:eastAsia="仿宋" w:cs="仿宋"/>
                <w:color w:val="0000FF"/>
                <w:w w:val="80"/>
                <w:kern w:val="0"/>
                <w:sz w:val="32"/>
                <w:szCs w:val="32"/>
                <w:lang w:val="en-US" w:eastAsia="zh-CN" w:bidi="ar"/>
                <w14:ligatures w14:val="standardContextual"/>
              </w:rPr>
            </w:pPr>
            <w:r>
              <w:rPr>
                <w:rFonts w:hint="eastAsia" w:ascii="仿宋" w:hAnsi="仿宋" w:eastAsia="仿宋" w:cs="仿宋"/>
                <w:color w:val="0000FF"/>
                <w:w w:val="80"/>
                <w:kern w:val="0"/>
                <w:sz w:val="32"/>
                <w:szCs w:val="32"/>
                <w:lang w:val="en-US" w:eastAsia="zh-CN" w:bidi="ar"/>
              </w:rPr>
              <w:t>1</w:t>
            </w:r>
          </w:p>
        </w:tc>
        <w:tc>
          <w:tcPr>
            <w:tcW w:w="2050" w:type="dxa"/>
            <w:tcBorders>
              <w:left w:val="single" w:color="auto" w:sz="4" w:space="0"/>
              <w:right w:val="single" w:color="auto" w:sz="4" w:space="0"/>
            </w:tcBorders>
            <w:shd w:val="clear" w:color="auto" w:fill="auto"/>
            <w:noWrap w:val="0"/>
            <w:vAlign w:val="center"/>
          </w:tcPr>
          <w:p w14:paraId="162C1D86">
            <w:pPr>
              <w:widowControl/>
              <w:spacing w:line="300" w:lineRule="atLeast"/>
              <w:ind w:left="-42" w:leftChars="-20" w:right="-42" w:rightChars="-20" w:firstLine="0" w:firstLineChars="0"/>
              <w:jc w:val="center"/>
              <w:rPr>
                <w:rFonts w:hint="eastAsia"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5</w:t>
            </w:r>
          </w:p>
        </w:tc>
        <w:tc>
          <w:tcPr>
            <w:tcW w:w="2131" w:type="dxa"/>
            <w:tcBorders>
              <w:left w:val="single" w:color="auto" w:sz="4" w:space="0"/>
              <w:right w:val="single" w:color="auto" w:sz="12" w:space="0"/>
            </w:tcBorders>
            <w:shd w:val="clear" w:color="auto" w:fill="auto"/>
            <w:noWrap w:val="0"/>
            <w:vAlign w:val="center"/>
          </w:tcPr>
          <w:p w14:paraId="5E2A3A99">
            <w:pPr>
              <w:widowControl/>
              <w:spacing w:line="300" w:lineRule="atLeast"/>
              <w:ind w:left="-42" w:leftChars="-20" w:right="-42" w:rightChars="-20" w:firstLine="0" w:firstLineChars="0"/>
              <w:jc w:val="center"/>
              <w:rPr>
                <w:rFonts w:hint="eastAsia"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5</w:t>
            </w:r>
          </w:p>
        </w:tc>
      </w:tr>
      <w:tr w14:paraId="1305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780" w:type="dxa"/>
            <w:tcBorders>
              <w:left w:val="single" w:color="auto" w:sz="12" w:space="0"/>
              <w:bottom w:val="single" w:color="auto" w:sz="12" w:space="0"/>
              <w:right w:val="single" w:color="auto" w:sz="4" w:space="0"/>
            </w:tcBorders>
            <w:noWrap w:val="0"/>
            <w:vAlign w:val="center"/>
          </w:tcPr>
          <w:p w14:paraId="1A7CA63B">
            <w:pPr>
              <w:jc w:val="center"/>
              <w:rPr>
                <w:rFonts w:hint="eastAsia" w:ascii="仿宋" w:hAnsi="仿宋" w:eastAsia="仿宋" w:cs="仿宋"/>
                <w:color w:val="0000FF"/>
                <w:w w:val="80"/>
                <w:kern w:val="0"/>
                <w:sz w:val="32"/>
                <w:szCs w:val="32"/>
                <w:lang w:val="en-US" w:eastAsia="zh-CN" w:bidi="ar"/>
              </w:rPr>
            </w:pPr>
          </w:p>
        </w:tc>
        <w:tc>
          <w:tcPr>
            <w:tcW w:w="3427" w:type="dxa"/>
            <w:tcBorders>
              <w:left w:val="single" w:color="auto" w:sz="4" w:space="0"/>
              <w:bottom w:val="single" w:color="auto" w:sz="12" w:space="0"/>
              <w:right w:val="single" w:color="auto" w:sz="4" w:space="0"/>
            </w:tcBorders>
            <w:noWrap w:val="0"/>
            <w:vAlign w:val="center"/>
          </w:tcPr>
          <w:p w14:paraId="517AEEA1">
            <w:pPr>
              <w:keepNext w:val="0"/>
              <w:keepLines w:val="0"/>
              <w:widowControl/>
              <w:suppressLineNumbers w:val="0"/>
              <w:ind w:left="0" w:leftChars="0" w:firstLine="0" w:firstLineChars="0"/>
              <w:jc w:val="center"/>
              <w:textAlignment w:val="center"/>
              <w:rPr>
                <w:rFonts w:hint="eastAsia" w:ascii="仿宋" w:hAnsi="仿宋" w:eastAsia="仿宋" w:cs="仿宋"/>
                <w:color w:val="0000FF"/>
                <w:w w:val="80"/>
                <w:kern w:val="0"/>
                <w:sz w:val="32"/>
                <w:szCs w:val="32"/>
                <w:lang w:val="en-US" w:eastAsia="zh-CN" w:bidi="ar"/>
              </w:rPr>
            </w:pPr>
          </w:p>
        </w:tc>
        <w:tc>
          <w:tcPr>
            <w:tcW w:w="1038" w:type="dxa"/>
            <w:tcBorders>
              <w:left w:val="single" w:color="auto" w:sz="4" w:space="0"/>
              <w:bottom w:val="single" w:color="auto" w:sz="12" w:space="0"/>
              <w:right w:val="single" w:color="auto" w:sz="4" w:space="0"/>
            </w:tcBorders>
            <w:noWrap w:val="0"/>
            <w:vAlign w:val="center"/>
          </w:tcPr>
          <w:p w14:paraId="38CDBA8E">
            <w:pPr>
              <w:keepNext w:val="0"/>
              <w:keepLines w:val="0"/>
              <w:widowControl/>
              <w:suppressLineNumbers w:val="0"/>
              <w:ind w:left="0" w:leftChars="0" w:firstLine="0" w:firstLineChars="0"/>
              <w:jc w:val="center"/>
              <w:textAlignment w:val="center"/>
              <w:rPr>
                <w:rFonts w:hint="eastAsia" w:ascii="仿宋" w:hAnsi="仿宋" w:eastAsia="仿宋" w:cs="仿宋"/>
                <w:color w:val="0000FF"/>
                <w:w w:val="80"/>
                <w:kern w:val="0"/>
                <w:sz w:val="32"/>
                <w:szCs w:val="32"/>
                <w:lang w:val="en-US" w:eastAsia="zh-CN" w:bidi="ar"/>
              </w:rPr>
            </w:pPr>
          </w:p>
        </w:tc>
        <w:tc>
          <w:tcPr>
            <w:tcW w:w="2050" w:type="dxa"/>
            <w:tcBorders>
              <w:left w:val="single" w:color="auto" w:sz="4" w:space="0"/>
              <w:bottom w:val="single" w:color="auto" w:sz="12" w:space="0"/>
              <w:right w:val="single" w:color="auto" w:sz="4" w:space="0"/>
            </w:tcBorders>
            <w:noWrap w:val="0"/>
            <w:vAlign w:val="center"/>
          </w:tcPr>
          <w:p w14:paraId="08077D34">
            <w:pPr>
              <w:keepNext w:val="0"/>
              <w:keepLines w:val="0"/>
              <w:widowControl/>
              <w:suppressLineNumbers w:val="0"/>
              <w:ind w:left="0" w:leftChars="0" w:firstLine="0" w:firstLineChars="0"/>
              <w:jc w:val="center"/>
              <w:textAlignment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合    计</w:t>
            </w:r>
          </w:p>
        </w:tc>
        <w:tc>
          <w:tcPr>
            <w:tcW w:w="2131" w:type="dxa"/>
            <w:tcBorders>
              <w:left w:val="single" w:color="auto" w:sz="4" w:space="0"/>
              <w:bottom w:val="single" w:color="auto" w:sz="12" w:space="0"/>
              <w:right w:val="single" w:color="auto" w:sz="12" w:space="0"/>
            </w:tcBorders>
            <w:noWrap w:val="0"/>
            <w:vAlign w:val="center"/>
          </w:tcPr>
          <w:p w14:paraId="5B760A80">
            <w:pPr>
              <w:keepNext w:val="0"/>
              <w:keepLines w:val="0"/>
              <w:widowControl/>
              <w:suppressLineNumbers w:val="0"/>
              <w:ind w:left="0" w:leftChars="0" w:firstLine="0" w:firstLineChars="0"/>
              <w:jc w:val="center"/>
              <w:textAlignment w:val="center"/>
              <w:rPr>
                <w:rFonts w:hint="default" w:ascii="仿宋" w:hAnsi="仿宋" w:eastAsia="仿宋" w:cs="仿宋"/>
                <w:color w:val="0000FF"/>
                <w:w w:val="80"/>
                <w:kern w:val="0"/>
                <w:sz w:val="32"/>
                <w:szCs w:val="32"/>
                <w:lang w:val="en-US" w:eastAsia="zh-CN" w:bidi="ar"/>
              </w:rPr>
            </w:pPr>
            <w:r>
              <w:rPr>
                <w:rFonts w:hint="eastAsia" w:ascii="仿宋" w:hAnsi="仿宋" w:eastAsia="仿宋" w:cs="仿宋"/>
                <w:color w:val="0000FF"/>
                <w:w w:val="80"/>
                <w:kern w:val="0"/>
                <w:sz w:val="32"/>
                <w:szCs w:val="32"/>
                <w:lang w:val="en-US" w:eastAsia="zh-CN" w:bidi="ar"/>
              </w:rPr>
              <w:t>125</w:t>
            </w:r>
          </w:p>
        </w:tc>
      </w:tr>
    </w:tbl>
    <w:p w14:paraId="4F608800">
      <w:pPr>
        <w:bidi w:val="0"/>
        <w:rPr>
          <w:rFonts w:hint="eastAsia" w:ascii="仿宋" w:hAnsi="仿宋" w:eastAsia="仿宋" w:cs="仿宋"/>
          <w:sz w:val="28"/>
          <w:szCs w:val="28"/>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00"/>
    <w:family w:val="modern"/>
    <w:pitch w:val="default"/>
    <w:sig w:usb0="00000000" w:usb1="00000000" w:usb2="00000016"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Wingdings">
    <w:panose1 w:val="05000000000000000000"/>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177F2">
    <w:pPr>
      <w:pStyle w:val="13"/>
      <w:jc w:val="left"/>
    </w:pPr>
    <w:r>
      <w:drawing>
        <wp:inline distT="0" distB="0" distL="0" distR="0">
          <wp:extent cx="1246505" cy="36449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1246505" cy="364490"/>
                  </a:xfrm>
                  <a:prstGeom prst="rect">
                    <a:avLst/>
                  </a:prstGeom>
                  <a:noFill/>
                  <a:ln w="9525">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6B319C"/>
    <w:multiLevelType w:val="singleLevel"/>
    <w:tmpl w:val="BF6B319C"/>
    <w:lvl w:ilvl="0" w:tentative="0">
      <w:start w:val="1"/>
      <w:numFmt w:val="decimal"/>
      <w:pStyle w:val="7"/>
      <w:lvlText w:val="%1."/>
      <w:lvlJc w:val="left"/>
      <w:pPr>
        <w:tabs>
          <w:tab w:val="left" w:pos="360"/>
        </w:tabs>
        <w:ind w:left="360" w:hanging="360"/>
      </w:pPr>
    </w:lvl>
  </w:abstractNum>
  <w:abstractNum w:abstractNumId="1">
    <w:nsid w:val="EBFE148B"/>
    <w:multiLevelType w:val="singleLevel"/>
    <w:tmpl w:val="EBFE148B"/>
    <w:lvl w:ilvl="0" w:tentative="0">
      <w:start w:val="1"/>
      <w:numFmt w:val="decimal"/>
      <w:pStyle w:val="12"/>
      <w:lvlText w:val="%1."/>
      <w:lvlJc w:val="left"/>
      <w:pPr>
        <w:tabs>
          <w:tab w:val="left" w:pos="2040"/>
        </w:tabs>
        <w:ind w:left="2040" w:hanging="360"/>
      </w:pPr>
    </w:lvl>
  </w:abstractNum>
  <w:abstractNum w:abstractNumId="2">
    <w:nsid w:val="365650EE"/>
    <w:multiLevelType w:val="multilevel"/>
    <w:tmpl w:val="365650EE"/>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U2MGU5NTc2ZDAzZDRhZWNjYTM0NDg4NzI4YmJkY2IifQ=="/>
    <w:docVar w:name="KSO_WPS_MARK_KEY" w:val="79dba704-0638-44e0-94b9-7fcd327d2e46"/>
  </w:docVars>
  <w:rsids>
    <w:rsidRoot w:val="009D46B5"/>
    <w:rsid w:val="0007789C"/>
    <w:rsid w:val="00077CD7"/>
    <w:rsid w:val="0008293A"/>
    <w:rsid w:val="00091CBF"/>
    <w:rsid w:val="00094DE7"/>
    <w:rsid w:val="000A0554"/>
    <w:rsid w:val="000B1DB2"/>
    <w:rsid w:val="000D6798"/>
    <w:rsid w:val="000E145F"/>
    <w:rsid w:val="000E1A25"/>
    <w:rsid w:val="000E33B1"/>
    <w:rsid w:val="000F31AC"/>
    <w:rsid w:val="000F37A9"/>
    <w:rsid w:val="001000C8"/>
    <w:rsid w:val="00100B04"/>
    <w:rsid w:val="00110029"/>
    <w:rsid w:val="00115BCE"/>
    <w:rsid w:val="0012113C"/>
    <w:rsid w:val="00121F8A"/>
    <w:rsid w:val="0012668F"/>
    <w:rsid w:val="00126D2D"/>
    <w:rsid w:val="0016376E"/>
    <w:rsid w:val="0017240D"/>
    <w:rsid w:val="001771DE"/>
    <w:rsid w:val="001933FC"/>
    <w:rsid w:val="00196036"/>
    <w:rsid w:val="001A55F6"/>
    <w:rsid w:val="001B5935"/>
    <w:rsid w:val="001B7AD2"/>
    <w:rsid w:val="001C16D2"/>
    <w:rsid w:val="001D7894"/>
    <w:rsid w:val="001F22B2"/>
    <w:rsid w:val="00210239"/>
    <w:rsid w:val="00230F7C"/>
    <w:rsid w:val="00243B77"/>
    <w:rsid w:val="00253A7F"/>
    <w:rsid w:val="00260A88"/>
    <w:rsid w:val="00262612"/>
    <w:rsid w:val="00263CBF"/>
    <w:rsid w:val="00266F3F"/>
    <w:rsid w:val="002876AE"/>
    <w:rsid w:val="002963B3"/>
    <w:rsid w:val="002A43C8"/>
    <w:rsid w:val="002B49E6"/>
    <w:rsid w:val="002B76CB"/>
    <w:rsid w:val="002D7DAA"/>
    <w:rsid w:val="002E24E7"/>
    <w:rsid w:val="002E2F5D"/>
    <w:rsid w:val="002E66D2"/>
    <w:rsid w:val="0030095F"/>
    <w:rsid w:val="00300A2F"/>
    <w:rsid w:val="00307027"/>
    <w:rsid w:val="003108A8"/>
    <w:rsid w:val="00312C97"/>
    <w:rsid w:val="00314B3B"/>
    <w:rsid w:val="00320A7B"/>
    <w:rsid w:val="003255C2"/>
    <w:rsid w:val="00332C60"/>
    <w:rsid w:val="00342A1F"/>
    <w:rsid w:val="00347206"/>
    <w:rsid w:val="00350C6B"/>
    <w:rsid w:val="00351B52"/>
    <w:rsid w:val="00361C3E"/>
    <w:rsid w:val="00374A32"/>
    <w:rsid w:val="00375CF5"/>
    <w:rsid w:val="0038702A"/>
    <w:rsid w:val="00387FC2"/>
    <w:rsid w:val="00396826"/>
    <w:rsid w:val="003A5F6F"/>
    <w:rsid w:val="003B01FC"/>
    <w:rsid w:val="003B5C15"/>
    <w:rsid w:val="003B768E"/>
    <w:rsid w:val="003C268F"/>
    <w:rsid w:val="003C31BC"/>
    <w:rsid w:val="003D50B4"/>
    <w:rsid w:val="003E4EB4"/>
    <w:rsid w:val="003F13DE"/>
    <w:rsid w:val="003F2AAF"/>
    <w:rsid w:val="00415E49"/>
    <w:rsid w:val="00433AAA"/>
    <w:rsid w:val="0043620E"/>
    <w:rsid w:val="00450D2F"/>
    <w:rsid w:val="0045473E"/>
    <w:rsid w:val="00455845"/>
    <w:rsid w:val="00463FBA"/>
    <w:rsid w:val="00465340"/>
    <w:rsid w:val="00470DF3"/>
    <w:rsid w:val="00473F34"/>
    <w:rsid w:val="004748A1"/>
    <w:rsid w:val="0049537C"/>
    <w:rsid w:val="00495E6C"/>
    <w:rsid w:val="004A30BD"/>
    <w:rsid w:val="004A4CC1"/>
    <w:rsid w:val="004B0E24"/>
    <w:rsid w:val="004C696B"/>
    <w:rsid w:val="004C6F66"/>
    <w:rsid w:val="004F29BB"/>
    <w:rsid w:val="0050333F"/>
    <w:rsid w:val="005176CF"/>
    <w:rsid w:val="00521A64"/>
    <w:rsid w:val="005251AA"/>
    <w:rsid w:val="005316DD"/>
    <w:rsid w:val="00545D1D"/>
    <w:rsid w:val="00546DB6"/>
    <w:rsid w:val="00551B2F"/>
    <w:rsid w:val="00553759"/>
    <w:rsid w:val="00554CB3"/>
    <w:rsid w:val="005825B1"/>
    <w:rsid w:val="0058424B"/>
    <w:rsid w:val="00591CE3"/>
    <w:rsid w:val="005D30B5"/>
    <w:rsid w:val="005F2A21"/>
    <w:rsid w:val="0061130E"/>
    <w:rsid w:val="006113A1"/>
    <w:rsid w:val="0063005E"/>
    <w:rsid w:val="006342C8"/>
    <w:rsid w:val="00635A42"/>
    <w:rsid w:val="006512FE"/>
    <w:rsid w:val="0065766A"/>
    <w:rsid w:val="00661421"/>
    <w:rsid w:val="00672929"/>
    <w:rsid w:val="00694014"/>
    <w:rsid w:val="0069631E"/>
    <w:rsid w:val="006B31A1"/>
    <w:rsid w:val="006C0C1D"/>
    <w:rsid w:val="006C3951"/>
    <w:rsid w:val="006C5CB8"/>
    <w:rsid w:val="006E771D"/>
    <w:rsid w:val="006F2701"/>
    <w:rsid w:val="006F356F"/>
    <w:rsid w:val="006F40C7"/>
    <w:rsid w:val="00716845"/>
    <w:rsid w:val="007208DF"/>
    <w:rsid w:val="00723346"/>
    <w:rsid w:val="00726F4D"/>
    <w:rsid w:val="00732983"/>
    <w:rsid w:val="00733711"/>
    <w:rsid w:val="00733E89"/>
    <w:rsid w:val="00737D30"/>
    <w:rsid w:val="007437B3"/>
    <w:rsid w:val="00794172"/>
    <w:rsid w:val="007A37E9"/>
    <w:rsid w:val="007A4900"/>
    <w:rsid w:val="007A7696"/>
    <w:rsid w:val="007B744A"/>
    <w:rsid w:val="007C53E5"/>
    <w:rsid w:val="007E2727"/>
    <w:rsid w:val="007E31A8"/>
    <w:rsid w:val="007E5603"/>
    <w:rsid w:val="007F5743"/>
    <w:rsid w:val="00810C4C"/>
    <w:rsid w:val="00834A64"/>
    <w:rsid w:val="00834C0F"/>
    <w:rsid w:val="00843979"/>
    <w:rsid w:val="008461AA"/>
    <w:rsid w:val="00850A51"/>
    <w:rsid w:val="008516C9"/>
    <w:rsid w:val="00863D4F"/>
    <w:rsid w:val="00873709"/>
    <w:rsid w:val="008918AA"/>
    <w:rsid w:val="008B0FCB"/>
    <w:rsid w:val="008E4F29"/>
    <w:rsid w:val="008E599A"/>
    <w:rsid w:val="008F3523"/>
    <w:rsid w:val="00900557"/>
    <w:rsid w:val="00917292"/>
    <w:rsid w:val="009308CA"/>
    <w:rsid w:val="0093760F"/>
    <w:rsid w:val="00952BA0"/>
    <w:rsid w:val="00954D4B"/>
    <w:rsid w:val="00967932"/>
    <w:rsid w:val="00981AF5"/>
    <w:rsid w:val="009902B6"/>
    <w:rsid w:val="009A13FE"/>
    <w:rsid w:val="009A2F70"/>
    <w:rsid w:val="009A7475"/>
    <w:rsid w:val="009A75E7"/>
    <w:rsid w:val="009B0804"/>
    <w:rsid w:val="009B1631"/>
    <w:rsid w:val="009C0B8F"/>
    <w:rsid w:val="009C5BD6"/>
    <w:rsid w:val="009C5F1A"/>
    <w:rsid w:val="009C69D3"/>
    <w:rsid w:val="009D46B5"/>
    <w:rsid w:val="009E51F7"/>
    <w:rsid w:val="009E6419"/>
    <w:rsid w:val="009F0F0F"/>
    <w:rsid w:val="00A36DC8"/>
    <w:rsid w:val="00A516D4"/>
    <w:rsid w:val="00A53D38"/>
    <w:rsid w:val="00A570F2"/>
    <w:rsid w:val="00A92AA3"/>
    <w:rsid w:val="00A94649"/>
    <w:rsid w:val="00AB263E"/>
    <w:rsid w:val="00AB5E1E"/>
    <w:rsid w:val="00AC1966"/>
    <w:rsid w:val="00AD242D"/>
    <w:rsid w:val="00AD3AFA"/>
    <w:rsid w:val="00AE2EAE"/>
    <w:rsid w:val="00AF1789"/>
    <w:rsid w:val="00AF510B"/>
    <w:rsid w:val="00B05097"/>
    <w:rsid w:val="00B21437"/>
    <w:rsid w:val="00B244E9"/>
    <w:rsid w:val="00B25455"/>
    <w:rsid w:val="00B475EB"/>
    <w:rsid w:val="00B507DD"/>
    <w:rsid w:val="00B53178"/>
    <w:rsid w:val="00B56A4B"/>
    <w:rsid w:val="00B729C5"/>
    <w:rsid w:val="00B80818"/>
    <w:rsid w:val="00B81BC1"/>
    <w:rsid w:val="00B8704B"/>
    <w:rsid w:val="00B96B7C"/>
    <w:rsid w:val="00B96F21"/>
    <w:rsid w:val="00BA1E0E"/>
    <w:rsid w:val="00BE4693"/>
    <w:rsid w:val="00BF02B0"/>
    <w:rsid w:val="00C07F7C"/>
    <w:rsid w:val="00C13F8A"/>
    <w:rsid w:val="00C23A4D"/>
    <w:rsid w:val="00C2402E"/>
    <w:rsid w:val="00C30261"/>
    <w:rsid w:val="00C478F5"/>
    <w:rsid w:val="00C50F06"/>
    <w:rsid w:val="00C7789B"/>
    <w:rsid w:val="00C8092B"/>
    <w:rsid w:val="00C95211"/>
    <w:rsid w:val="00C95E5A"/>
    <w:rsid w:val="00C96D93"/>
    <w:rsid w:val="00C97188"/>
    <w:rsid w:val="00CA7131"/>
    <w:rsid w:val="00CB595F"/>
    <w:rsid w:val="00CC78F1"/>
    <w:rsid w:val="00CF0AC7"/>
    <w:rsid w:val="00CF686F"/>
    <w:rsid w:val="00D14991"/>
    <w:rsid w:val="00D16A41"/>
    <w:rsid w:val="00D17893"/>
    <w:rsid w:val="00D20095"/>
    <w:rsid w:val="00D327F2"/>
    <w:rsid w:val="00D442B8"/>
    <w:rsid w:val="00D4430B"/>
    <w:rsid w:val="00D56788"/>
    <w:rsid w:val="00D74466"/>
    <w:rsid w:val="00D9563E"/>
    <w:rsid w:val="00DA063F"/>
    <w:rsid w:val="00DA1760"/>
    <w:rsid w:val="00DA7FA5"/>
    <w:rsid w:val="00DB33A9"/>
    <w:rsid w:val="00DB7518"/>
    <w:rsid w:val="00DC5E4D"/>
    <w:rsid w:val="00DD1E55"/>
    <w:rsid w:val="00DD4E17"/>
    <w:rsid w:val="00DD53D2"/>
    <w:rsid w:val="00DE6A55"/>
    <w:rsid w:val="00E036F1"/>
    <w:rsid w:val="00E101E0"/>
    <w:rsid w:val="00E15261"/>
    <w:rsid w:val="00E22DFF"/>
    <w:rsid w:val="00E3034A"/>
    <w:rsid w:val="00E459B6"/>
    <w:rsid w:val="00E46D70"/>
    <w:rsid w:val="00E60E02"/>
    <w:rsid w:val="00E74B1B"/>
    <w:rsid w:val="00E769B0"/>
    <w:rsid w:val="00E82894"/>
    <w:rsid w:val="00E94FDB"/>
    <w:rsid w:val="00EA2BB2"/>
    <w:rsid w:val="00EA5E39"/>
    <w:rsid w:val="00EB58F5"/>
    <w:rsid w:val="00EB6B6B"/>
    <w:rsid w:val="00EC1896"/>
    <w:rsid w:val="00EC3F00"/>
    <w:rsid w:val="00ED3C5B"/>
    <w:rsid w:val="00ED5FB2"/>
    <w:rsid w:val="00EE7199"/>
    <w:rsid w:val="00EF00AC"/>
    <w:rsid w:val="00F25EC1"/>
    <w:rsid w:val="00F507E6"/>
    <w:rsid w:val="00F54717"/>
    <w:rsid w:val="00F562F7"/>
    <w:rsid w:val="00F573E4"/>
    <w:rsid w:val="00F61A42"/>
    <w:rsid w:val="00F64EDB"/>
    <w:rsid w:val="00F82D42"/>
    <w:rsid w:val="00F86ED5"/>
    <w:rsid w:val="00F92E27"/>
    <w:rsid w:val="00FA19CB"/>
    <w:rsid w:val="00FA39C7"/>
    <w:rsid w:val="00FC2EE1"/>
    <w:rsid w:val="00FC66C9"/>
    <w:rsid w:val="00FD6597"/>
    <w:rsid w:val="026A3FC2"/>
    <w:rsid w:val="04096F7B"/>
    <w:rsid w:val="077F4330"/>
    <w:rsid w:val="07D5A20D"/>
    <w:rsid w:val="09FF4A26"/>
    <w:rsid w:val="0EED9947"/>
    <w:rsid w:val="16DDC665"/>
    <w:rsid w:val="1DE7A563"/>
    <w:rsid w:val="251876C1"/>
    <w:rsid w:val="2907142C"/>
    <w:rsid w:val="2A4603E2"/>
    <w:rsid w:val="2FDFEBA7"/>
    <w:rsid w:val="331E2630"/>
    <w:rsid w:val="33F77B55"/>
    <w:rsid w:val="33FE2062"/>
    <w:rsid w:val="365FD5DB"/>
    <w:rsid w:val="37FF7BD2"/>
    <w:rsid w:val="3891541D"/>
    <w:rsid w:val="38B63E1E"/>
    <w:rsid w:val="39E73E31"/>
    <w:rsid w:val="3ACF115E"/>
    <w:rsid w:val="3B53BF9E"/>
    <w:rsid w:val="3BFFF383"/>
    <w:rsid w:val="3EC7DB05"/>
    <w:rsid w:val="3EFB43E8"/>
    <w:rsid w:val="3F9F44AE"/>
    <w:rsid w:val="3FAE7731"/>
    <w:rsid w:val="3FFF1437"/>
    <w:rsid w:val="3FFFF505"/>
    <w:rsid w:val="48C7608A"/>
    <w:rsid w:val="4AE610E1"/>
    <w:rsid w:val="4D7FA988"/>
    <w:rsid w:val="4FBDE3A4"/>
    <w:rsid w:val="4FFF933C"/>
    <w:rsid w:val="53FDA048"/>
    <w:rsid w:val="55FF87B0"/>
    <w:rsid w:val="56D5765A"/>
    <w:rsid w:val="576FC179"/>
    <w:rsid w:val="59DD1AAD"/>
    <w:rsid w:val="5AE560C8"/>
    <w:rsid w:val="5B378049"/>
    <w:rsid w:val="5BEB978E"/>
    <w:rsid w:val="5D297428"/>
    <w:rsid w:val="5DBE1B76"/>
    <w:rsid w:val="5DBF2223"/>
    <w:rsid w:val="5F5EBF97"/>
    <w:rsid w:val="5F7F8D95"/>
    <w:rsid w:val="5FDE0B7D"/>
    <w:rsid w:val="61FF02AF"/>
    <w:rsid w:val="633EBCF8"/>
    <w:rsid w:val="64FF0FA1"/>
    <w:rsid w:val="66CFCDBC"/>
    <w:rsid w:val="67E90C4A"/>
    <w:rsid w:val="67FB1E87"/>
    <w:rsid w:val="6B3C63C0"/>
    <w:rsid w:val="6B752F77"/>
    <w:rsid w:val="6BDF28C2"/>
    <w:rsid w:val="6DFF7608"/>
    <w:rsid w:val="6DFFD1FD"/>
    <w:rsid w:val="6EFDC50D"/>
    <w:rsid w:val="6FAFE1CD"/>
    <w:rsid w:val="6FDFE39C"/>
    <w:rsid w:val="737664E5"/>
    <w:rsid w:val="7560757C"/>
    <w:rsid w:val="757C7B98"/>
    <w:rsid w:val="75EFCECE"/>
    <w:rsid w:val="75FD37A0"/>
    <w:rsid w:val="777B86C3"/>
    <w:rsid w:val="777FADF4"/>
    <w:rsid w:val="77E7A2D1"/>
    <w:rsid w:val="77F766C9"/>
    <w:rsid w:val="78583260"/>
    <w:rsid w:val="7B2FA66D"/>
    <w:rsid w:val="7B5F8828"/>
    <w:rsid w:val="7BFFEE93"/>
    <w:rsid w:val="7BFFEECF"/>
    <w:rsid w:val="7CBA1E02"/>
    <w:rsid w:val="7DB627E1"/>
    <w:rsid w:val="7DDED3F8"/>
    <w:rsid w:val="7DFFBFA2"/>
    <w:rsid w:val="7E36702C"/>
    <w:rsid w:val="7EDDA77D"/>
    <w:rsid w:val="7EFC5875"/>
    <w:rsid w:val="7F3FE4EB"/>
    <w:rsid w:val="7F5FECC4"/>
    <w:rsid w:val="7FBEB549"/>
    <w:rsid w:val="7FD90EE9"/>
    <w:rsid w:val="7FEF070F"/>
    <w:rsid w:val="7FEF82BC"/>
    <w:rsid w:val="7FEFFA34"/>
    <w:rsid w:val="7FF300B5"/>
    <w:rsid w:val="7FF389CA"/>
    <w:rsid w:val="7FFDEA8B"/>
    <w:rsid w:val="7FFE6341"/>
    <w:rsid w:val="7FFFB3C8"/>
    <w:rsid w:val="7FFFBF09"/>
    <w:rsid w:val="8A6D2FAF"/>
    <w:rsid w:val="9CFE675F"/>
    <w:rsid w:val="9FF51FF3"/>
    <w:rsid w:val="A7D67964"/>
    <w:rsid w:val="ADDFDCF6"/>
    <w:rsid w:val="AFD9A48F"/>
    <w:rsid w:val="AFFEC8AC"/>
    <w:rsid w:val="B6DE702D"/>
    <w:rsid w:val="B7B557DE"/>
    <w:rsid w:val="B8EF2007"/>
    <w:rsid w:val="BB293E85"/>
    <w:rsid w:val="BBEEC589"/>
    <w:rsid w:val="BBFB9087"/>
    <w:rsid w:val="BD2FD878"/>
    <w:rsid w:val="BD779B8A"/>
    <w:rsid w:val="BDDF2D7A"/>
    <w:rsid w:val="BDEB56F0"/>
    <w:rsid w:val="BEF748D9"/>
    <w:rsid w:val="BEFF53A5"/>
    <w:rsid w:val="BF5F9B50"/>
    <w:rsid w:val="BFBA9345"/>
    <w:rsid w:val="BFBF612C"/>
    <w:rsid w:val="BFEF108D"/>
    <w:rsid w:val="CBFFA518"/>
    <w:rsid w:val="CF970282"/>
    <w:rsid w:val="CFDBA183"/>
    <w:rsid w:val="D3FFC9E4"/>
    <w:rsid w:val="D56B6EC7"/>
    <w:rsid w:val="D5EFB917"/>
    <w:rsid w:val="D7AF695B"/>
    <w:rsid w:val="DBF38B55"/>
    <w:rsid w:val="DECBFA60"/>
    <w:rsid w:val="DEF7711A"/>
    <w:rsid w:val="DF6AD58F"/>
    <w:rsid w:val="E36BF1AA"/>
    <w:rsid w:val="E37EC727"/>
    <w:rsid w:val="E44F3510"/>
    <w:rsid w:val="E7B704A8"/>
    <w:rsid w:val="E897007B"/>
    <w:rsid w:val="EABF972B"/>
    <w:rsid w:val="EBFB2BBD"/>
    <w:rsid w:val="EBFE9B2A"/>
    <w:rsid w:val="EBFF6D07"/>
    <w:rsid w:val="EFB97CAE"/>
    <w:rsid w:val="EFBFA3F6"/>
    <w:rsid w:val="EFDE9705"/>
    <w:rsid w:val="EFF73117"/>
    <w:rsid w:val="F3B646CE"/>
    <w:rsid w:val="F3D3F6BF"/>
    <w:rsid w:val="F3EF524B"/>
    <w:rsid w:val="F55889A9"/>
    <w:rsid w:val="F5BFF10E"/>
    <w:rsid w:val="F5F7DA77"/>
    <w:rsid w:val="F7F7BA81"/>
    <w:rsid w:val="F7FD0C7D"/>
    <w:rsid w:val="F8FFC8B1"/>
    <w:rsid w:val="F97EF177"/>
    <w:rsid w:val="F9ADE452"/>
    <w:rsid w:val="F9EE74A7"/>
    <w:rsid w:val="F9EF0452"/>
    <w:rsid w:val="FB8EDC53"/>
    <w:rsid w:val="FDDB7F3D"/>
    <w:rsid w:val="FE5B1EFB"/>
    <w:rsid w:val="FEB701C6"/>
    <w:rsid w:val="FEDA2942"/>
    <w:rsid w:val="FEDBE785"/>
    <w:rsid w:val="FEEB5B7B"/>
    <w:rsid w:val="FEFF4F4B"/>
    <w:rsid w:val="FF4EC3F0"/>
    <w:rsid w:val="FF7A8B81"/>
    <w:rsid w:val="FF7B3BAC"/>
    <w:rsid w:val="FF7F36AA"/>
    <w:rsid w:val="FF7FF8CB"/>
    <w:rsid w:val="FFB9E76D"/>
    <w:rsid w:val="FFDE1105"/>
    <w:rsid w:val="FFEA7BF0"/>
    <w:rsid w:val="FFF17289"/>
    <w:rsid w:val="FFFAAE81"/>
    <w:rsid w:val="FFFDBFF1"/>
    <w:rsid w:val="FFFE55AD"/>
    <w:rsid w:val="FFFF9476"/>
    <w:rsid w:val="FFFFC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qFormat="1"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3">
    <w:name w:val="heading 1"/>
    <w:basedOn w:val="1"/>
    <w:next w:val="1"/>
    <w:link w:val="23"/>
    <w:qFormat/>
    <w:uiPriority w:val="9"/>
    <w:pPr>
      <w:keepNext/>
      <w:keepLines/>
      <w:spacing w:before="340" w:beforeLines="0" w:beforeAutospacing="0" w:after="330" w:afterLines="0" w:afterAutospacing="0" w:line="576" w:lineRule="auto"/>
      <w:outlineLvl w:val="0"/>
    </w:pPr>
    <w:rPr>
      <w:b/>
      <w:kern w:val="44"/>
      <w:sz w:val="44"/>
    </w:rPr>
  </w:style>
  <w:style w:type="paragraph" w:styleId="4">
    <w:name w:val="heading 2"/>
    <w:basedOn w:val="1"/>
    <w:next w:val="1"/>
    <w:link w:val="22"/>
    <w:qFormat/>
    <w:uiPriority w:val="9"/>
    <w:pPr>
      <w:widowControl/>
      <w:spacing w:before="100" w:beforeAutospacing="1" w:after="100" w:afterAutospacing="1"/>
      <w:jc w:val="left"/>
      <w:outlineLvl w:val="1"/>
    </w:pPr>
    <w:rPr>
      <w:rFonts w:ascii="宋体" w:hAnsi="宋体" w:eastAsia="宋体" w:cs="宋体"/>
      <w:b/>
      <w:bCs/>
      <w:kern w:val="0"/>
      <w:sz w:val="36"/>
      <w:szCs w:val="36"/>
      <w14:ligatures w14:val="none"/>
    </w:rPr>
  </w:style>
  <w:style w:type="paragraph" w:styleId="5">
    <w:name w:val="heading 3"/>
    <w:basedOn w:val="1"/>
    <w:next w:val="1"/>
    <w:qFormat/>
    <w:uiPriority w:val="0"/>
    <w:pPr>
      <w:keepNext/>
      <w:keepLines/>
      <w:spacing w:line="500" w:lineRule="exact"/>
      <w:ind w:firstLine="1041" w:firstLineChars="200"/>
      <w:jc w:val="left"/>
      <w:outlineLvl w:val="2"/>
    </w:pPr>
    <w:rPr>
      <w:rFonts w:ascii="Times New Roman" w:hAnsi="Times New Roman" w:eastAsia="宋体"/>
      <w:b/>
      <w:bCs/>
    </w:rPr>
  </w:style>
  <w:style w:type="paragraph" w:styleId="6">
    <w:name w:val="heading 4"/>
    <w:basedOn w:val="1"/>
    <w:next w:val="1"/>
    <w:qFormat/>
    <w:uiPriority w:val="0"/>
    <w:pPr>
      <w:keepNext/>
      <w:keepLines/>
      <w:spacing w:beforeLines="0" w:beforeAutospacing="0" w:afterLines="0" w:afterAutospacing="0" w:line="500" w:lineRule="exact"/>
      <w:outlineLvl w:val="3"/>
    </w:pPr>
    <w:rPr>
      <w:rFonts w:ascii="Arial" w:hAnsi="Aria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footer"/>
    <w:basedOn w:val="1"/>
    <w:next w:val="1"/>
    <w:link w:val="21"/>
    <w:unhideWhenUsed/>
    <w:qFormat/>
    <w:uiPriority w:val="99"/>
    <w:pPr>
      <w:tabs>
        <w:tab w:val="center" w:pos="4153"/>
        <w:tab w:val="right" w:pos="8306"/>
      </w:tabs>
      <w:snapToGrid w:val="0"/>
      <w:jc w:val="left"/>
    </w:pPr>
    <w:rPr>
      <w:sz w:val="18"/>
      <w:szCs w:val="18"/>
    </w:rPr>
  </w:style>
  <w:style w:type="paragraph" w:styleId="7">
    <w:name w:val="List Number"/>
    <w:basedOn w:val="1"/>
    <w:semiHidden/>
    <w:unhideWhenUsed/>
    <w:qFormat/>
    <w:uiPriority w:val="99"/>
    <w:pPr>
      <w:numPr>
        <w:ilvl w:val="0"/>
        <w:numId w:val="1"/>
      </w:numPr>
    </w:pPr>
  </w:style>
  <w:style w:type="paragraph" w:styleId="8">
    <w:name w:val="Body Text"/>
    <w:basedOn w:val="1"/>
    <w:link w:val="18"/>
    <w:qFormat/>
    <w:uiPriority w:val="0"/>
    <w:rPr>
      <w:rFonts w:eastAsia="Arial"/>
      <w14:ligatures w14:val="none"/>
    </w:rPr>
  </w:style>
  <w:style w:type="paragraph" w:styleId="9">
    <w:name w:val="Body Text Indent"/>
    <w:basedOn w:val="1"/>
    <w:next w:val="10"/>
    <w:qFormat/>
    <w:uiPriority w:val="0"/>
    <w:pPr>
      <w:ind w:firstLine="519" w:firstLineChars="200"/>
    </w:pPr>
  </w:style>
  <w:style w:type="paragraph" w:styleId="10">
    <w:name w:val="Body Text First Indent 2"/>
    <w:basedOn w:val="9"/>
    <w:next w:val="11"/>
    <w:unhideWhenUsed/>
    <w:qFormat/>
    <w:uiPriority w:val="99"/>
    <w:pPr>
      <w:ind w:firstLine="420" w:firstLineChars="200"/>
    </w:pPr>
  </w:style>
  <w:style w:type="paragraph" w:styleId="11">
    <w:name w:val="Plain Text"/>
    <w:basedOn w:val="1"/>
    <w:next w:val="12"/>
    <w:qFormat/>
    <w:uiPriority w:val="0"/>
    <w:rPr>
      <w:rFonts w:ascii="宋体" w:hAnsi="Courier New" w:cs="Courier New"/>
      <w:sz w:val="21"/>
      <w:szCs w:val="21"/>
    </w:rPr>
  </w:style>
  <w:style w:type="paragraph" w:styleId="12">
    <w:name w:val="List Number 5"/>
    <w:basedOn w:val="1"/>
    <w:next w:val="7"/>
    <w:semiHidden/>
    <w:unhideWhenUsed/>
    <w:qFormat/>
    <w:uiPriority w:val="99"/>
    <w:pPr>
      <w:numPr>
        <w:ilvl w:val="0"/>
        <w:numId w:val="2"/>
      </w:numPr>
    </w:pPr>
  </w:style>
  <w:style w:type="paragraph" w:styleId="13">
    <w:name w:val="header"/>
    <w:basedOn w:val="1"/>
    <w:next w:val="2"/>
    <w:link w:val="20"/>
    <w:unhideWhenUsed/>
    <w:qFormat/>
    <w:uiPriority w:val="99"/>
    <w:pPr>
      <w:tabs>
        <w:tab w:val="center" w:pos="4153"/>
        <w:tab w:val="right" w:pos="8306"/>
      </w:tabs>
      <w:snapToGrid w:val="0"/>
      <w:jc w:val="center"/>
    </w:pPr>
    <w:rPr>
      <w:sz w:val="18"/>
      <w:szCs w:val="18"/>
    </w:rPr>
  </w:style>
  <w:style w:type="character" w:styleId="16">
    <w:name w:val="Strong"/>
    <w:basedOn w:val="15"/>
    <w:qFormat/>
    <w:uiPriority w:val="22"/>
    <w:rPr>
      <w:b/>
    </w:rPr>
  </w:style>
  <w:style w:type="character" w:styleId="17">
    <w:name w:val="Hyperlink"/>
    <w:basedOn w:val="15"/>
    <w:semiHidden/>
    <w:unhideWhenUsed/>
    <w:qFormat/>
    <w:uiPriority w:val="99"/>
    <w:rPr>
      <w:color w:val="0000FF"/>
      <w:u w:val="single"/>
    </w:rPr>
  </w:style>
  <w:style w:type="character" w:customStyle="1" w:styleId="18">
    <w:name w:val="正文文本 字符"/>
    <w:basedOn w:val="15"/>
    <w:link w:val="8"/>
    <w:qFormat/>
    <w:uiPriority w:val="0"/>
    <w:rPr>
      <w:rFonts w:eastAsia="Arial"/>
      <w14:ligatures w14:val="none"/>
    </w:rPr>
  </w:style>
  <w:style w:type="paragraph" w:styleId="19">
    <w:name w:val="List Paragraph"/>
    <w:basedOn w:val="1"/>
    <w:qFormat/>
    <w:uiPriority w:val="34"/>
    <w:pPr>
      <w:ind w:firstLine="420" w:firstLineChars="200"/>
    </w:pPr>
  </w:style>
  <w:style w:type="character" w:customStyle="1" w:styleId="20">
    <w:name w:val="页眉 字符"/>
    <w:basedOn w:val="15"/>
    <w:link w:val="13"/>
    <w:qFormat/>
    <w:uiPriority w:val="99"/>
    <w:rPr>
      <w:sz w:val="18"/>
      <w:szCs w:val="18"/>
    </w:rPr>
  </w:style>
  <w:style w:type="character" w:customStyle="1" w:styleId="21">
    <w:name w:val="页脚 字符"/>
    <w:basedOn w:val="15"/>
    <w:link w:val="2"/>
    <w:qFormat/>
    <w:uiPriority w:val="99"/>
    <w:rPr>
      <w:sz w:val="18"/>
      <w:szCs w:val="18"/>
    </w:rPr>
  </w:style>
  <w:style w:type="character" w:customStyle="1" w:styleId="22">
    <w:name w:val="标题 2 字符"/>
    <w:basedOn w:val="15"/>
    <w:link w:val="4"/>
    <w:uiPriority w:val="9"/>
    <w:rPr>
      <w:rFonts w:ascii="宋体" w:hAnsi="宋体" w:cs="宋体"/>
      <w:b/>
      <w:bCs/>
      <w:sz w:val="36"/>
      <w:szCs w:val="36"/>
    </w:rPr>
  </w:style>
  <w:style w:type="character" w:customStyle="1" w:styleId="23">
    <w:name w:val="标题 1 Char"/>
    <w:link w:val="3"/>
    <w:qFormat/>
    <w:uiPriority w:val="0"/>
    <w:rPr>
      <w:b/>
      <w:kern w:val="44"/>
      <w:sz w:val="44"/>
    </w:rPr>
  </w:style>
  <w:style w:type="paragraph" w:customStyle="1" w:styleId="24">
    <w:name w:val="MZQ正文"/>
    <w:basedOn w:val="1"/>
    <w:qFormat/>
    <w:uiPriority w:val="0"/>
    <w:pPr>
      <w:widowControl w:val="0"/>
      <w:spacing w:line="480" w:lineRule="exact"/>
      <w:ind w:firstLine="200" w:firstLineChars="200"/>
      <w:jc w:val="both"/>
    </w:pPr>
    <w:rPr>
      <w:sz w:val="24"/>
    </w:rPr>
  </w:style>
  <w:style w:type="paragraph" w:customStyle="1" w:styleId="25">
    <w:name w:val="Default"/>
    <w:qFormat/>
    <w:uiPriority w:val="0"/>
    <w:pPr>
      <w:autoSpaceDE w:val="0"/>
      <w:autoSpaceDN w:val="0"/>
      <w:adjustRightInd w:val="0"/>
    </w:pPr>
    <w:rPr>
      <w:rFonts w:ascii="楷体" w:hAnsi="Calibri" w:eastAsia="楷体" w:cs="楷体"/>
      <w:color w:val="000000"/>
      <w:sz w:val="24"/>
      <w:szCs w:val="24"/>
      <w:lang w:val="en-US" w:eastAsia="zh-CN" w:bidi="ar-SA"/>
    </w:rPr>
  </w:style>
  <w:style w:type="paragraph" w:customStyle="1" w:styleId="26">
    <w:name w:val="WPSOffice手动目录 1"/>
    <w:uiPriority w:val="0"/>
    <w:pPr>
      <w:ind w:leftChars="0"/>
    </w:pPr>
    <w:rPr>
      <w:sz w:val="20"/>
      <w:szCs w:val="20"/>
    </w:rPr>
  </w:style>
  <w:style w:type="paragraph" w:customStyle="1" w:styleId="27">
    <w:name w:val="WPSOffice手动目录 2"/>
    <w:uiPriority w:val="0"/>
    <w:pPr>
      <w:ind w:leftChars="200"/>
    </w:pPr>
    <w:rPr>
      <w:sz w:val="20"/>
      <w:szCs w:val="20"/>
    </w:rPr>
  </w:style>
  <w:style w:type="paragraph" w:customStyle="1" w:styleId="28">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587</Words>
  <Characters>3351</Characters>
  <Lines>27</Lines>
  <Paragraphs>7</Paragraphs>
  <TotalTime>3</TotalTime>
  <ScaleCrop>false</ScaleCrop>
  <LinksUpToDate>false</LinksUpToDate>
  <CharactersWithSpaces>3931</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2025-03-28T01:46:00Z</dcterms:created>
  <dc:creator>liu han</dc:creator>
  <cp:lastModifiedBy>linxueping</cp:lastModifiedBy>
  <dcterms:modified xsi:type="dcterms:W3CDTF">2026-03-25T17:48:11Z</dcterms:modified>
  <cp:revision>304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C77F1287FB1167485BAFC36958C3B264_43</vt:lpwstr>
  </property>
</Properties>
</file>