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0C5C8F"/>
          <w:sz w:val="30"/>
          <w:szCs w:val="30"/>
        </w:rPr>
        <w:t xml:space="preserve">百泉聚兴（北京）科技有限公司</w:t>
      </w:r>
    </w:p>
    <w:p>
      <w:pPr>
        <w:spacing w:after="700" w:before="80"/>
        <w:jc w:val="center"/>
      </w:pPr>
      <w:r>
        <w:rPr>
          <w:color w:val="5B6B7E"/>
          <w:sz w:val="22"/>
          <w:szCs w:val="22"/>
        </w:rPr>
        <w:t xml:space="preserve">SmartLabOS 智能实验室自动化系统</w:t>
      </w:r>
    </w:p>
    <w:p>
      <w:pPr>
        <w:spacing w:after="60" w:before="200"/>
        <w:jc w:val="center"/>
      </w:pPr>
      <w:r>
        <w:rPr>
          <w:b/>
          <w:bCs/>
          <w:color w:val="0F1B2D"/>
          <w:sz w:val="40"/>
          <w:szCs w:val="40"/>
        </w:rPr>
        <w:t xml:space="preserve">成都市食品检验研究院</w:t>
      </w:r>
    </w:p>
    <w:p>
      <w:pPr>
        <w:spacing w:after="60"/>
        <w:jc w:val="center"/>
      </w:pPr>
      <w:r>
        <w:rPr>
          <w:b/>
          <w:bCs/>
          <w:color w:val="0F1B2D"/>
          <w:sz w:val="32"/>
          <w:szCs w:val="32"/>
        </w:rPr>
        <w:t xml:space="preserve">兽药残留专项自动化检测系统</w:t>
      </w:r>
    </w:p>
    <w:p>
      <w:pPr>
        <w:spacing w:after="500"/>
        <w:jc w:val="center"/>
      </w:pPr>
      <w:r>
        <w:rPr>
          <w:b/>
          <w:bCs/>
          <w:color w:val="0C5C8F"/>
          <w:sz w:val="48"/>
          <w:szCs w:val="48"/>
        </w:rPr>
        <w:t xml:space="preserve">详细设计方案</w:t>
      </w:r>
    </w:p>
    <w:p>
      <w:pPr>
        <w:spacing w:after="40"/>
        <w:jc w:val="center"/>
      </w:pPr>
      <w:r>
        <w:rPr>
          <w:color w:val="5B6B7E"/>
          <w:sz w:val="20"/>
          <w:szCs w:val="20"/>
        </w:rPr>
        <w:t xml:space="preserve">硝基呋喃 · 氯霉素 · 磺胺类 · 沙星类（喹诺酮）四类兽残 全流程自动化前处理</w:t>
      </w:r>
    </w:p>
    <w:p>
      <w:pPr>
        <w:spacing w:after="700"/>
        <w:jc w:val="center"/>
      </w:pPr>
      <w:r>
        <w:rPr>
          <w:color w:val="5B6B7E"/>
          <w:sz w:val="20"/>
          <w:szCs w:val="20"/>
        </w:rPr>
        <w:t xml:space="preserve">依据 GB 31658.17—2021 / GB/T 21981—2008</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tblGrid>
      <w:tr>
        <w:tc>
          <w:tcPr>
            <w:tcW w:type="dxa" w:w="2400"/>
            <w:tcBorders>
              <w:top w:val="single" w:color="C9D6E4" w:sz="4"/>
              <w:left w:val="single" w:color="C9D6E4" w:sz="4"/>
              <w:bottom w:val="single" w:color="C9D6E4" w:sz="4"/>
              <w:right w:val="single" w:color="C9D6E4" w:sz="4"/>
            </w:tcBorders>
            <w:shd w:fill="F1F6FB" w:val="clear"/>
            <w:tcMar>
              <w:top w:type="dxa" w:w="60"/>
              <w:left w:type="dxa" w:w="120"/>
              <w:bottom w:type="dxa" w:w="60"/>
              <w:right w:type="dxa" w:w="120"/>
            </w:tcMar>
          </w:tcPr>
          <w:p>
            <w:r>
              <w:rPr>
                <w:b/>
                <w:bCs/>
                <w:sz w:val="19"/>
                <w:szCs w:val="19"/>
              </w:rPr>
              <w:t xml:space="preserve">编制单位</w:t>
            </w:r>
          </w:p>
        </w:tc>
        <w:tc>
          <w:tcPr>
            <w:tcW w:type="dxa" w:w="3800"/>
            <w:tcBorders>
              <w:top w:val="single" w:color="C9D6E4" w:sz="4"/>
              <w:left w:val="single" w:color="C9D6E4" w:sz="4"/>
              <w:bottom w:val="single" w:color="C9D6E4" w:sz="4"/>
              <w:right w:val="single" w:color="C9D6E4" w:sz="4"/>
            </w:tcBorders>
            <w:shd w:fill="FFFFFF" w:val="clear"/>
            <w:tcMar>
              <w:top w:type="dxa" w:w="60"/>
              <w:left w:type="dxa" w:w="120"/>
              <w:bottom w:type="dxa" w:w="60"/>
              <w:right w:type="dxa" w:w="120"/>
            </w:tcMar>
          </w:tcPr>
          <w:p>
            <w:r>
              <w:rPr>
                <w:b w:val="false"/>
                <w:bCs w:val="false"/>
                <w:sz w:val="19"/>
                <w:szCs w:val="19"/>
              </w:rPr>
              <w:t xml:space="preserve">百泉聚兴（北京）科技有限公司</w:t>
            </w:r>
          </w:p>
        </w:tc>
      </w:tr>
      <w:tr>
        <w:tc>
          <w:tcPr>
            <w:tcW w:type="dxa" w:w="2400"/>
            <w:tcBorders>
              <w:top w:val="single" w:color="C9D6E4" w:sz="4"/>
              <w:left w:val="single" w:color="C9D6E4" w:sz="4"/>
              <w:bottom w:val="single" w:color="C9D6E4" w:sz="4"/>
              <w:right w:val="single" w:color="C9D6E4" w:sz="4"/>
            </w:tcBorders>
            <w:shd w:fill="F1F6FB" w:val="clear"/>
            <w:tcMar>
              <w:top w:type="dxa" w:w="60"/>
              <w:left w:type="dxa" w:w="120"/>
              <w:bottom w:type="dxa" w:w="60"/>
              <w:right w:type="dxa" w:w="120"/>
            </w:tcMar>
          </w:tcPr>
          <w:p>
            <w:r>
              <w:rPr>
                <w:b/>
                <w:bCs/>
                <w:sz w:val="19"/>
                <w:szCs w:val="19"/>
              </w:rPr>
              <w:t xml:space="preserve">文档类型</w:t>
            </w:r>
          </w:p>
        </w:tc>
        <w:tc>
          <w:tcPr>
            <w:tcW w:type="dxa" w:w="3800"/>
            <w:tcBorders>
              <w:top w:val="single" w:color="C9D6E4" w:sz="4"/>
              <w:left w:val="single" w:color="C9D6E4" w:sz="4"/>
              <w:bottom w:val="single" w:color="C9D6E4" w:sz="4"/>
              <w:right w:val="single" w:color="C9D6E4" w:sz="4"/>
            </w:tcBorders>
            <w:shd w:fill="FFFFFF" w:val="clear"/>
            <w:tcMar>
              <w:top w:type="dxa" w:w="60"/>
              <w:left w:type="dxa" w:w="120"/>
              <w:bottom w:type="dxa" w:w="60"/>
              <w:right w:type="dxa" w:w="120"/>
            </w:tcMar>
          </w:tcPr>
          <w:p>
            <w:r>
              <w:rPr>
                <w:b w:val="false"/>
                <w:bCs w:val="false"/>
                <w:sz w:val="19"/>
                <w:szCs w:val="19"/>
              </w:rPr>
              <w:t xml:space="preserve">详细设计方案（中标后 / 合同前 · 技术评审版）</w:t>
            </w:r>
          </w:p>
        </w:tc>
      </w:tr>
      <w:tr>
        <w:tc>
          <w:tcPr>
            <w:tcW w:type="dxa" w:w="2400"/>
            <w:tcBorders>
              <w:top w:val="single" w:color="C9D6E4" w:sz="4"/>
              <w:left w:val="single" w:color="C9D6E4" w:sz="4"/>
              <w:bottom w:val="single" w:color="C9D6E4" w:sz="4"/>
              <w:right w:val="single" w:color="C9D6E4" w:sz="4"/>
            </w:tcBorders>
            <w:shd w:fill="F1F6FB" w:val="clear"/>
            <w:tcMar>
              <w:top w:type="dxa" w:w="60"/>
              <w:left w:type="dxa" w:w="120"/>
              <w:bottom w:type="dxa" w:w="60"/>
              <w:right w:type="dxa" w:w="120"/>
            </w:tcMar>
          </w:tcPr>
          <w:p>
            <w:r>
              <w:rPr>
                <w:b/>
                <w:bCs/>
                <w:sz w:val="19"/>
                <w:szCs w:val="19"/>
              </w:rPr>
              <w:t xml:space="preserve">文档版本</w:t>
            </w:r>
          </w:p>
        </w:tc>
        <w:tc>
          <w:tcPr>
            <w:tcW w:type="dxa" w:w="3800"/>
            <w:tcBorders>
              <w:top w:val="single" w:color="C9D6E4" w:sz="4"/>
              <w:left w:val="single" w:color="C9D6E4" w:sz="4"/>
              <w:bottom w:val="single" w:color="C9D6E4" w:sz="4"/>
              <w:right w:val="single" w:color="C9D6E4" w:sz="4"/>
            </w:tcBorders>
            <w:shd w:fill="FFFFFF" w:val="clear"/>
            <w:tcMar>
              <w:top w:type="dxa" w:w="60"/>
              <w:left w:type="dxa" w:w="120"/>
              <w:bottom w:type="dxa" w:w="60"/>
              <w:right w:type="dxa" w:w="120"/>
            </w:tcMar>
          </w:tcPr>
          <w:p>
            <w:r>
              <w:rPr>
                <w:b w:val="false"/>
                <w:bCs w:val="false"/>
                <w:sz w:val="19"/>
                <w:szCs w:val="19"/>
              </w:rPr>
              <w:t xml:space="preserve">V1.0</w:t>
            </w:r>
          </w:p>
        </w:tc>
      </w:tr>
      <w:tr>
        <w:tc>
          <w:tcPr>
            <w:tcW w:type="dxa" w:w="2400"/>
            <w:tcBorders>
              <w:top w:val="single" w:color="C9D6E4" w:sz="4"/>
              <w:left w:val="single" w:color="C9D6E4" w:sz="4"/>
              <w:bottom w:val="single" w:color="C9D6E4" w:sz="4"/>
              <w:right w:val="single" w:color="C9D6E4" w:sz="4"/>
            </w:tcBorders>
            <w:shd w:fill="F1F6FB" w:val="clear"/>
            <w:tcMar>
              <w:top w:type="dxa" w:w="60"/>
              <w:left w:type="dxa" w:w="120"/>
              <w:bottom w:type="dxa" w:w="60"/>
              <w:right w:type="dxa" w:w="120"/>
            </w:tcMar>
          </w:tcPr>
          <w:p>
            <w:r>
              <w:rPr>
                <w:b/>
                <w:bCs/>
                <w:sz w:val="19"/>
                <w:szCs w:val="19"/>
              </w:rPr>
              <w:t xml:space="preserve">文档状态</w:t>
            </w:r>
          </w:p>
        </w:tc>
        <w:tc>
          <w:tcPr>
            <w:tcW w:type="dxa" w:w="3800"/>
            <w:tcBorders>
              <w:top w:val="single" w:color="C9D6E4" w:sz="4"/>
              <w:left w:val="single" w:color="C9D6E4" w:sz="4"/>
              <w:bottom w:val="single" w:color="C9D6E4" w:sz="4"/>
              <w:right w:val="single" w:color="C9D6E4" w:sz="4"/>
            </w:tcBorders>
            <w:shd w:fill="FFFFFF" w:val="clear"/>
            <w:tcMar>
              <w:top w:type="dxa" w:w="60"/>
              <w:left w:type="dxa" w:w="120"/>
              <w:bottom w:type="dxa" w:w="60"/>
              <w:right w:type="dxa" w:w="120"/>
            </w:tcMar>
          </w:tcPr>
          <w:p>
            <w:r>
              <w:rPr>
                <w:b w:val="false"/>
                <w:bCs w:val="false"/>
                <w:sz w:val="19"/>
                <w:szCs w:val="19"/>
              </w:rPr>
              <w:t xml:space="preserve">送审稿</w:t>
            </w:r>
          </w:p>
        </w:tc>
      </w:tr>
      <w:tr>
        <w:tc>
          <w:tcPr>
            <w:tcW w:type="dxa" w:w="2400"/>
            <w:tcBorders>
              <w:top w:val="single" w:color="C9D6E4" w:sz="4"/>
              <w:left w:val="single" w:color="C9D6E4" w:sz="4"/>
              <w:bottom w:val="single" w:color="C9D6E4" w:sz="4"/>
              <w:right w:val="single" w:color="C9D6E4" w:sz="4"/>
            </w:tcBorders>
            <w:shd w:fill="F1F6FB" w:val="clear"/>
            <w:tcMar>
              <w:top w:type="dxa" w:w="60"/>
              <w:left w:type="dxa" w:w="120"/>
              <w:bottom w:type="dxa" w:w="60"/>
              <w:right w:type="dxa" w:w="120"/>
            </w:tcMar>
          </w:tcPr>
          <w:p>
            <w:r>
              <w:rPr>
                <w:b/>
                <w:bCs/>
                <w:sz w:val="19"/>
                <w:szCs w:val="19"/>
              </w:rPr>
              <w:t xml:space="preserve">编制日期</w:t>
            </w:r>
          </w:p>
        </w:tc>
        <w:tc>
          <w:tcPr>
            <w:tcW w:type="dxa" w:w="3800"/>
            <w:tcBorders>
              <w:top w:val="single" w:color="C9D6E4" w:sz="4"/>
              <w:left w:val="single" w:color="C9D6E4" w:sz="4"/>
              <w:bottom w:val="single" w:color="C9D6E4" w:sz="4"/>
              <w:right w:val="single" w:color="C9D6E4" w:sz="4"/>
            </w:tcBorders>
            <w:shd w:fill="FFFFFF" w:val="clear"/>
            <w:tcMar>
              <w:top w:type="dxa" w:w="60"/>
              <w:left w:type="dxa" w:w="120"/>
              <w:bottom w:type="dxa" w:w="60"/>
              <w:right w:type="dxa" w:w="120"/>
            </w:tcMar>
          </w:tcPr>
          <w:p>
            <w:r>
              <w:rPr>
                <w:b w:val="false"/>
                <w:bCs w:val="false"/>
                <w:sz w:val="19"/>
                <w:szCs w:val="19"/>
              </w:rPr>
              <w:t xml:space="preserve">2026 年 6 月 30 日</w:t>
            </w:r>
          </w:p>
        </w:tc>
      </w:tr>
      <w:tr>
        <w:tc>
          <w:tcPr>
            <w:tcW w:type="dxa" w:w="2400"/>
            <w:tcBorders>
              <w:top w:val="single" w:color="C9D6E4" w:sz="4"/>
              <w:left w:val="single" w:color="C9D6E4" w:sz="4"/>
              <w:bottom w:val="single" w:color="C9D6E4" w:sz="4"/>
              <w:right w:val="single" w:color="C9D6E4" w:sz="4"/>
            </w:tcBorders>
            <w:shd w:fill="F1F6FB" w:val="clear"/>
            <w:tcMar>
              <w:top w:type="dxa" w:w="60"/>
              <w:left w:type="dxa" w:w="120"/>
              <w:bottom w:type="dxa" w:w="60"/>
              <w:right w:type="dxa" w:w="120"/>
            </w:tcMar>
          </w:tcPr>
          <w:p>
            <w:r>
              <w:rPr>
                <w:b/>
                <w:bCs/>
                <w:sz w:val="19"/>
                <w:szCs w:val="19"/>
              </w:rPr>
              <w:t xml:space="preserve">编制人 / 联系人</w:t>
            </w:r>
          </w:p>
        </w:tc>
        <w:tc>
          <w:tcPr>
            <w:tcW w:type="dxa" w:w="3800"/>
            <w:tcBorders>
              <w:top w:val="single" w:color="C9D6E4" w:sz="4"/>
              <w:left w:val="single" w:color="C9D6E4" w:sz="4"/>
              <w:bottom w:val="single" w:color="C9D6E4" w:sz="4"/>
              <w:right w:val="single" w:color="C9D6E4" w:sz="4"/>
            </w:tcBorders>
            <w:shd w:fill="FFFFFF" w:val="clear"/>
            <w:tcMar>
              <w:top w:type="dxa" w:w="60"/>
              <w:left w:type="dxa" w:w="120"/>
              <w:bottom w:type="dxa" w:w="60"/>
              <w:right w:type="dxa" w:w="120"/>
            </w:tcMar>
          </w:tcPr>
          <w:p>
            <w:r>
              <w:rPr>
                <w:b w:val="false"/>
                <w:bCs w:val="false"/>
                <w:sz w:val="19"/>
                <w:szCs w:val="19"/>
              </w:rPr>
              <w:t xml:space="preserve">SmartLabOS 智能方案助手 · 售前技术组</w:t>
            </w:r>
          </w:p>
        </w:tc>
      </w:tr>
    </w:tbl>
    <w:p>
      <w:r>
        <w:br w:type="page"/>
      </w:r>
    </w:p>
    <w:p>
      <w:pPr>
        <w:spacing w:after="200"/>
        <w:jc w:val="center"/>
      </w:pPr>
      <w:r>
        <w:rPr>
          <w:b/>
          <w:bCs/>
          <w:color w:val="0F1B2D"/>
          <w:sz w:val="30"/>
          <w:szCs w:val="30"/>
        </w:rPr>
        <w:t xml:space="preserve">目  录</w:t>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0  文档元信息</w:t>
      </w:r>
    </w:p>
    <w:p>
      <w:pPr>
        <w:spacing w:after="120" w:before="0" w:line="300"/>
      </w:pPr>
      <w:r>
        <w:rPr>
          <w:b/>
          <w:bCs/>
        </w:rPr>
        <w:t xml:space="preserve">客户全称：</w:t>
      </w:r>
      <w:r>
        <w:t xml:space="preserve">成都市食品检验研究院（成都市市场监督管理局直属正处级公益二类事业单位 · 国家食品复检机构）</w:t>
      </w:r>
    </w:p>
    <w:p>
      <w:pPr>
        <w:spacing w:after="120" w:before="0" w:line="300"/>
      </w:pPr>
      <w:r>
        <w:rPr>
          <w:b/>
          <w:bCs/>
        </w:rPr>
        <w:t xml:space="preserve">项目名称：</w:t>
      </w:r>
      <w:r>
        <w:t xml:space="preserve">兽药残留专项自动化检测系统 —— SmartLabOS 全流程自动化前处理详细设计</w:t>
      </w:r>
    </w:p>
    <w:p>
      <w:pPr>
        <w:spacing w:after="120" w:before="0" w:line="300"/>
      </w:pPr>
      <w:r>
        <w:rPr>
          <w:b/>
          <w:bCs/>
        </w:rPr>
        <w:t xml:space="preserve">文档定位：</w:t>
      </w:r>
      <w:r>
        <w:t xml:space="preserve">中标后 / 合同前的详细设计、技术评审与工程交底文件，颗粒度细化至参数、表格、交付物级别。</w:t>
      </w:r>
    </w:p>
    <w:p>
      <w:pPr>
        <w:pStyle w:val="Heading3"/>
        <w:spacing w:after="100" w:before="180"/>
      </w:pPr>
      <w:r>
        <w:t xml:space="preserve">0.1 版本与状态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900"/>
        <w:gridCol w:w="1900"/>
        <w:gridCol w:w="2360"/>
      </w:tblGrid>
      <w:tr>
        <w:trPr>
          <w:tblHeader/>
        </w:trPr>
        <w:tc>
          <w:tcPr>
            <w:tcW w:type="dxa" w:w="15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版本号</w:t>
            </w:r>
          </w:p>
        </w:tc>
        <w:tc>
          <w:tcPr>
            <w:tcW w:type="dxa" w:w="17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状态</w:t>
            </w:r>
          </w:p>
        </w:tc>
        <w:tc>
          <w:tcPr>
            <w:tcW w:type="dxa" w:w="19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编制日期</w:t>
            </w:r>
          </w:p>
        </w:tc>
        <w:tc>
          <w:tcPr>
            <w:tcW w:type="dxa" w:w="19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完成日期</w:t>
            </w:r>
          </w:p>
        </w:tc>
        <w:tc>
          <w:tcPr>
            <w:tcW w:type="dxa" w:w="236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编制 / 联系人</w:t>
            </w:r>
          </w:p>
        </w:tc>
      </w:tr>
      <w:tr>
        <w:tc>
          <w:tcPr>
            <w:tcW w:type="dxa" w:w="15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V1.0</w:t>
            </w:r>
          </w:p>
        </w:tc>
        <w:tc>
          <w:tcPr>
            <w:tcW w:type="dxa" w:w="17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送审稿</w:t>
            </w:r>
          </w:p>
        </w:tc>
        <w:tc>
          <w:tcPr>
            <w:tcW w:type="dxa" w:w="19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2026-06-30</w:t>
            </w:r>
          </w:p>
        </w:tc>
        <w:tc>
          <w:tcPr>
            <w:tcW w:type="dxa" w:w="19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2026-06-30</w:t>
            </w:r>
          </w:p>
        </w:tc>
        <w:tc>
          <w:tcPr>
            <w:tcW w:type="dxa" w:w="23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百泉聚兴 SmartLabOS 售前技术组</w:t>
            </w:r>
          </w:p>
        </w:tc>
      </w:tr>
    </w:tbl>
    <w:p>
      <w:pPr>
        <w:pStyle w:val="Heading3"/>
        <w:spacing w:after="100" w:before="180"/>
      </w:pPr>
      <w:r>
        <w:t xml:space="preserve">0.2 配套内部文档索引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300"/>
        <w:gridCol w:w="3460"/>
      </w:tblGrid>
      <w:tr>
        <w:trPr>
          <w:tblHeader/>
        </w:trPr>
        <w:tc>
          <w:tcPr>
            <w:tcW w:type="dxa" w:w="6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序</w:t>
            </w:r>
          </w:p>
        </w:tc>
        <w:tc>
          <w:tcPr>
            <w:tcW w:type="dxa" w:w="30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文档</w:t>
            </w:r>
          </w:p>
        </w:tc>
        <w:tc>
          <w:tcPr>
            <w:tcW w:type="dxa" w:w="23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对应内容</w:t>
            </w:r>
          </w:p>
        </w:tc>
        <w:tc>
          <w:tcPr>
            <w:tcW w:type="dxa" w:w="346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说明</w:t>
            </w:r>
          </w:p>
        </w:tc>
      </w:tr>
      <w:tr>
        <w:tc>
          <w:tcPr>
            <w:tcW w:type="dxa" w:w="6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1</w:t>
            </w:r>
          </w:p>
        </w:tc>
        <w:tc>
          <w:tcPr>
            <w:tcW w:type="dxa" w:w="30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1.html</w:t>
            </w:r>
          </w:p>
        </w:tc>
        <w:tc>
          <w:tcPr>
            <w:tcW w:type="dxa" w:w="2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GB 31658.17—2021 解决方案</w:t>
            </w:r>
          </w:p>
        </w:tc>
        <w:tc>
          <w:tcPr>
            <w:tcW w:type="dxa" w:w="34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四环素 / 磺胺 / 喹诺酮类兽残 提取 &amp; 净化 前处理自动化方案（含逐平台耗时测算）</w:t>
            </w:r>
          </w:p>
        </w:tc>
      </w:tr>
      <w:tr>
        <w:tc>
          <w:tcPr>
            <w:tcW w:type="dxa" w:w="6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2</w:t>
            </w:r>
          </w:p>
        </w:tc>
        <w:tc>
          <w:tcPr>
            <w:tcW w:type="dxa" w:w="30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2.html</w:t>
            </w:r>
          </w:p>
        </w:tc>
        <w:tc>
          <w:tcPr>
            <w:tcW w:type="dxa" w:w="23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GB/T 21981—2008 解决方案</w:t>
            </w:r>
          </w:p>
        </w:tc>
        <w:tc>
          <w:tcPr>
            <w:tcW w:type="dxa" w:w="34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动物源食品激素多残留 提取（酶解）&amp; 净化 前处理自动化方案</w:t>
            </w:r>
          </w:p>
        </w:tc>
      </w:tr>
      <w:tr>
        <w:tc>
          <w:tcPr>
            <w:tcW w:type="dxa" w:w="6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3</w:t>
            </w:r>
          </w:p>
        </w:tc>
        <w:tc>
          <w:tcPr>
            <w:tcW w:type="dxa" w:w="30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串接双柱SPE净化-模块-URS.html</w:t>
            </w:r>
          </w:p>
        </w:tc>
        <w:tc>
          <w:tcPr>
            <w:tcW w:type="dxa" w:w="2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新建模组 URS</w:t>
            </w:r>
          </w:p>
        </w:tc>
        <w:tc>
          <w:tcPr>
            <w:tcW w:type="dxa" w:w="34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ENVI-Carb 串接氨基柱双柱净化（MOD-SPE-D01），按指令 §5.3 输出</w:t>
            </w:r>
          </w:p>
        </w:tc>
      </w:tr>
      <w:tr>
        <w:tc>
          <w:tcPr>
            <w:tcW w:type="dxa" w:w="6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4</w:t>
            </w:r>
          </w:p>
        </w:tc>
        <w:tc>
          <w:tcPr>
            <w:tcW w:type="dxa" w:w="30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模块选定-推荐.json</w:t>
            </w:r>
          </w:p>
        </w:tc>
        <w:tc>
          <w:tcPr>
            <w:tcW w:type="dxa" w:w="23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模块选定 → 确认记录</w:t>
            </w:r>
          </w:p>
        </w:tc>
        <w:tc>
          <w:tcPr>
            <w:tcW w:type="dxa" w:w="34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已确认 11 模块清单与逐工序选型依据</w:t>
            </w:r>
          </w:p>
        </w:tc>
      </w:tr>
      <w:tr>
        <w:tc>
          <w:tcPr>
            <w:tcW w:type="dxa" w:w="6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5</w:t>
            </w:r>
          </w:p>
        </w:tc>
        <w:tc>
          <w:tcPr>
            <w:tcW w:type="dxa" w:w="30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Summary-输出总结.md</w:t>
            </w:r>
          </w:p>
        </w:tc>
        <w:tc>
          <w:tcPr>
            <w:tcW w:type="dxa" w:w="2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阶段输出总结</w:t>
            </w:r>
          </w:p>
        </w:tc>
        <w:tc>
          <w:tcPr>
            <w:tcW w:type="dxa" w:w="34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方案要点、模块映射、偏差与待确认事项汇总</w:t>
            </w:r>
          </w:p>
        </w:tc>
      </w:tr>
      <w:tr>
        <w:tc>
          <w:tcPr>
            <w:tcW w:type="dxa" w:w="6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6</w:t>
            </w:r>
          </w:p>
        </w:tc>
        <w:tc>
          <w:tcPr>
            <w:tcW w:type="dxa" w:w="30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WORD生成指令-20260630-160022.txt</w:t>
            </w:r>
          </w:p>
        </w:tc>
        <w:tc>
          <w:tcPr>
            <w:tcW w:type="dxa" w:w="23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本文件生成指令</w:t>
            </w:r>
          </w:p>
        </w:tc>
        <w:tc>
          <w:tcPr>
            <w:tcW w:type="dxa" w:w="34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提纲、数据来源、强制模块范围、输出路径约束</w:t>
            </w:r>
          </w:p>
        </w:tc>
      </w:tr>
    </w:tbl>
    <w:p>
      <w:r>
        <w:br w:type="page"/>
      </w:r>
    </w:p>
    <w:p>
      <w:pPr>
        <w:pStyle w:val="Heading1"/>
        <w:spacing w:after="160" w:before="320"/>
      </w:pPr>
      <w:r>
        <w:t xml:space="preserve">1  项目概述</w:t>
      </w:r>
    </w:p>
    <w:p>
      <w:pPr>
        <w:pStyle w:val="Heading2"/>
        <w:spacing w:after="120" w:before="240"/>
      </w:pPr>
      <w:r>
        <w:t xml:space="preserve">1.1 客户与业务背景</w:t>
      </w:r>
    </w:p>
    <w:p>
      <w:pPr>
        <w:spacing w:after="120" w:before="0" w:line="300"/>
      </w:pPr>
      <w:r>
        <w:t xml:space="preserve">成都市食品检验研究院系成都市市场监督管理局直属正处级公益二类事业单位，承担食品、食用农产品等的监督检验、风险监测与技术研究工作，是国家食品复检机构，牵头本地食用农产品抽检监测，并开展多兽药残留检测技术攻关。</w:t>
      </w:r>
    </w:p>
    <w:p>
      <w:pPr>
        <w:spacing w:after="120" w:before="0" w:line="300"/>
      </w:pPr>
      <w:r>
        <w:rPr>
          <w:b/>
          <w:bCs/>
        </w:rPr>
        <w:t xml:space="preserve">机构资质与职能定位：</w:t>
      </w:r>
      <w:r>
        <w:t xml:space="preserve">国家食品复检机构 · 监督检验 · 风险监测 · 食用农产品抽检监测牵头单位 · 兽残检测技术攻关。其检测结果具备法律效力与复检权威性，对前处理的回收率、重复性与可追溯性提出极高要求。</w:t>
      </w:r>
    </w:p>
    <w:p>
      <w:pPr>
        <w:pStyle w:val="Heading2"/>
        <w:spacing w:after="120" w:before="240"/>
      </w:pPr>
      <w:r>
        <w:t xml:space="preserve">1.2 检测对象与目标物</w:t>
      </w:r>
    </w:p>
    <w:p>
      <w:pPr>
        <w:spacing w:after="120" w:before="0" w:line="300"/>
      </w:pPr>
      <w:r>
        <w:t xml:space="preserve">本项目以多品类兽残高通量大筛查为核心，深度整合自动化前处理与上机检测全流程，可同步实现以下四大重点兽残的全自动化检测：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2360"/>
        <w:gridCol w:w="1800"/>
      </w:tblGrid>
      <w:tr>
        <w:trPr>
          <w:tblHeader/>
        </w:trPr>
        <w:tc>
          <w:tcPr>
            <w:tcW w:type="dxa" w:w="19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目标物类别</w:t>
            </w:r>
          </w:p>
        </w:tc>
        <w:tc>
          <w:tcPr>
            <w:tcW w:type="dxa" w:w="33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代表化合物 / 范围</w:t>
            </w:r>
          </w:p>
        </w:tc>
        <w:tc>
          <w:tcPr>
            <w:tcW w:type="dxa" w:w="236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对应主标准</w:t>
            </w:r>
          </w:p>
        </w:tc>
        <w:tc>
          <w:tcPr>
            <w:tcW w:type="dxa" w:w="18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检测仪器</w:t>
            </w:r>
          </w:p>
        </w:tc>
      </w:tr>
      <w:tr>
        <w:tc>
          <w:tcPr>
            <w:tcW w:type="dxa" w:w="19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硝基呋喃类</w:t>
            </w:r>
          </w:p>
        </w:tc>
        <w:tc>
          <w:tcPr>
            <w:tcW w:type="dxa" w:w="3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AOZ、AMOZ、AHD、SEM 等代谢物（痕量、需衍生）</w:t>
            </w:r>
          </w:p>
        </w:tc>
        <w:tc>
          <w:tcPr>
            <w:tcW w:type="dxa" w:w="23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GB 31658.17 体系 / 专项衍生法</w:t>
            </w:r>
          </w:p>
        </w:tc>
        <w:tc>
          <w:tcPr>
            <w:tcW w:type="dxa" w:w="18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LC-MS/MS</w:t>
            </w:r>
          </w:p>
        </w:tc>
      </w:tr>
      <w:tr>
        <w:tc>
          <w:tcPr>
            <w:tcW w:type="dxa" w:w="19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氯霉素类</w:t>
            </w:r>
          </w:p>
        </w:tc>
        <w:tc>
          <w:tcPr>
            <w:tcW w:type="dxa" w:w="33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氯霉素、氟苯尼考、甲砜霉素</w:t>
            </w:r>
          </w:p>
        </w:tc>
        <w:tc>
          <w:tcPr>
            <w:tcW w:type="dxa" w:w="23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GB 31658 系列</w:t>
            </w:r>
          </w:p>
        </w:tc>
        <w:tc>
          <w:tcPr>
            <w:tcW w:type="dxa" w:w="18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LC-MS/MS</w:t>
            </w:r>
          </w:p>
        </w:tc>
      </w:tr>
      <w:tr>
        <w:tc>
          <w:tcPr>
            <w:tcW w:type="dxa" w:w="19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磺胺类</w:t>
            </w:r>
          </w:p>
        </w:tc>
        <w:tc>
          <w:tcPr>
            <w:tcW w:type="dxa" w:w="3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磺胺类 21 种</w:t>
            </w:r>
          </w:p>
        </w:tc>
        <w:tc>
          <w:tcPr>
            <w:tcW w:type="dxa" w:w="23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GB 31658.17—2021</w:t>
            </w:r>
          </w:p>
        </w:tc>
        <w:tc>
          <w:tcPr>
            <w:tcW w:type="dxa" w:w="18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LC-MS/MS</w:t>
            </w:r>
          </w:p>
        </w:tc>
      </w:tr>
      <w:tr>
        <w:tc>
          <w:tcPr>
            <w:tcW w:type="dxa" w:w="19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沙星类（喹诺酮）</w:t>
            </w:r>
          </w:p>
        </w:tc>
        <w:tc>
          <w:tcPr>
            <w:tcW w:type="dxa" w:w="33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喹诺酮类 16 种</w:t>
            </w:r>
          </w:p>
        </w:tc>
        <w:tc>
          <w:tcPr>
            <w:tcW w:type="dxa" w:w="23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GB 31658.17—2021</w:t>
            </w:r>
          </w:p>
        </w:tc>
        <w:tc>
          <w:tcPr>
            <w:tcW w:type="dxa" w:w="18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LC-MS/MS</w:t>
            </w:r>
          </w:p>
        </w:tc>
      </w:tr>
      <w:tr>
        <w:tc>
          <w:tcPr>
            <w:tcW w:type="dxa" w:w="19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（同源激素扩展）</w:t>
            </w:r>
          </w:p>
        </w:tc>
        <w:tc>
          <w:tcPr>
            <w:tcW w:type="dxa" w:w="3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雄 / 孕 / 皮质醇 / 雌激素 50 种</w:t>
            </w:r>
          </w:p>
        </w:tc>
        <w:tc>
          <w:tcPr>
            <w:tcW w:type="dxa" w:w="23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GB/T 21981—2008</w:t>
            </w:r>
          </w:p>
        </w:tc>
        <w:tc>
          <w:tcPr>
            <w:tcW w:type="dxa" w:w="18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LC-MS/MS（内标法）</w:t>
            </w:r>
          </w:p>
        </w:tc>
      </w:tr>
    </w:tbl>
    <w:p>
      <w:pPr>
        <w:spacing w:after="120" w:before="0" w:line="300"/>
      </w:pPr>
      <w:r>
        <w:rPr>
          <w:b/>
          <w:bCs/>
        </w:rPr>
        <w:t xml:space="preserve">样品基质类型：</w:t>
      </w:r>
      <w:r>
        <w:t xml:space="preserve">以动物性食品 / 食用农产品为主 —— 牛、羊、猪、鸡的肌肉、肝脏、肾脏组织（GB 31658.17）；并兼容猪肉 / 肝 / 蛋 / 奶 / 牛肉 / 鸡 / 虾等基质（GB/T 21981 激素扩展）。</w:t>
      </w:r>
    </w:p>
    <w:p>
      <w:pPr>
        <w:spacing w:after="120" w:before="0" w:line="300"/>
      </w:pPr>
      <w:r>
        <w:rPr>
          <w:b/>
          <w:bCs/>
        </w:rPr>
        <w:t xml:space="preserve">目标物理化特性（决定前处理难度）：</w:t>
      </w:r>
      <w:r>
        <w:t xml:space="preserve">四类兽残均为痕量残留，基质干扰极强；硝基呋喃代谢物需衍生、热敏感、易挥发降解；高脂高蛋白基质易分层、乳化；目标物在 SPE / 氮吹环节易损失。前处理是核心控险环节。</w:t>
      </w:r>
    </w:p>
    <w:p>
      <w:pPr>
        <w:pStyle w:val="Heading2"/>
        <w:spacing w:after="120" w:before="240"/>
      </w:pPr>
      <w:r>
        <w:t xml:space="preserve">1.3 现状痛点深度分析</w:t>
      </w:r>
    </w:p>
    <w:p>
      <w:pPr>
        <w:spacing w:after="120" w:before="0" w:line="300"/>
      </w:pPr>
      <w:r>
        <w:t xml:space="preserve">人工前处理实操难点突出且极具针对性，逐环节剖析如下（编号对应客户提出的挑战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3000"/>
        <w:gridCol w:w="1360"/>
      </w:tblGrid>
      <w:tr>
        <w:trPr>
          <w:tblHeader/>
        </w:trPr>
        <w:tc>
          <w:tcPr>
            <w:tcW w:type="dxa" w:w="13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环节</w:t>
            </w:r>
          </w:p>
        </w:tc>
        <w:tc>
          <w:tcPr>
            <w:tcW w:type="dxa" w:w="37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人工难点剖析</w:t>
            </w:r>
          </w:p>
        </w:tc>
        <w:tc>
          <w:tcPr>
            <w:tcW w:type="dxa" w:w="30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对结果的影响机理</w:t>
            </w:r>
          </w:p>
        </w:tc>
        <w:tc>
          <w:tcPr>
            <w:tcW w:type="dxa" w:w="136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对应挑战</w:t>
            </w:r>
          </w:p>
        </w:tc>
      </w:tr>
      <w:tr>
        <w:tc>
          <w:tcPr>
            <w:tcW w:type="dxa" w:w="1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全流程</w:t>
            </w:r>
          </w:p>
        </w:tc>
        <w:tc>
          <w:tcPr>
            <w:tcW w:type="dxa" w:w="37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全程手工容错率极低，高度依赖人员熟练度，个体差异大</w:t>
            </w:r>
          </w:p>
        </w:tc>
        <w:tc>
          <w:tcPr>
            <w:tcW w:type="dxa" w:w="30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操作偏差直接传导至回收率与重复性，结果有效性不可控</w:t>
            </w:r>
          </w:p>
        </w:tc>
        <w:tc>
          <w:tcPr>
            <w:tcW w:type="dxa" w:w="13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挑战-1</w:t>
            </w:r>
          </w:p>
        </w:tc>
      </w:tr>
      <w:tr>
        <w:tc>
          <w:tcPr>
            <w:tcW w:type="dxa" w:w="13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均质 / 取样</w:t>
            </w:r>
          </w:p>
        </w:tc>
        <w:tc>
          <w:tcPr>
            <w:tcW w:type="dxa" w:w="37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样品均质易不均，高脂高蛋白基质分层，痕量取样偏差大</w:t>
            </w:r>
          </w:p>
        </w:tc>
        <w:tc>
          <w:tcPr>
            <w:tcW w:type="dxa" w:w="30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取样不代表性 → 定量偏差大、重复性差（RSD 超限）</w:t>
            </w:r>
          </w:p>
        </w:tc>
        <w:tc>
          <w:tcPr>
            <w:tcW w:type="dxa" w:w="13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挑战-2</w:t>
            </w:r>
          </w:p>
        </w:tc>
      </w:tr>
      <w:tr>
        <w:tc>
          <w:tcPr>
            <w:tcW w:type="dxa" w:w="1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萃取</w:t>
            </w:r>
          </w:p>
        </w:tc>
        <w:tc>
          <w:tcPr>
            <w:tcW w:type="dxa" w:w="37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萃取极易乳化，分层困难，目标物易损失</w:t>
            </w:r>
          </w:p>
        </w:tc>
        <w:tc>
          <w:tcPr>
            <w:tcW w:type="dxa" w:w="30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相分离不清 → 目标物随乳化层损失，回收率偏低</w:t>
            </w:r>
          </w:p>
        </w:tc>
        <w:tc>
          <w:tcPr>
            <w:tcW w:type="dxa" w:w="13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挑战-3</w:t>
            </w:r>
          </w:p>
        </w:tc>
      </w:tr>
      <w:tr>
        <w:tc>
          <w:tcPr>
            <w:tcW w:type="dxa" w:w="13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SPE 净化</w:t>
            </w:r>
          </w:p>
        </w:tc>
        <w:tc>
          <w:tcPr>
            <w:tcW w:type="dxa" w:w="37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柱活化 / 平衡 / 流速人工把控难，易柱干、堵塞、填料吸附</w:t>
            </w:r>
          </w:p>
        </w:tc>
        <w:tc>
          <w:tcPr>
            <w:tcW w:type="dxa" w:w="30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流速失控 → 穿透或保留异常，回收率波动大</w:t>
            </w:r>
          </w:p>
        </w:tc>
        <w:tc>
          <w:tcPr>
            <w:tcW w:type="dxa" w:w="13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挑战-4</w:t>
            </w:r>
          </w:p>
        </w:tc>
      </w:tr>
      <w:tr>
        <w:tc>
          <w:tcPr>
            <w:tcW w:type="dxa" w:w="1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氮吹浓缩 / 定容</w:t>
            </w:r>
          </w:p>
        </w:tc>
        <w:tc>
          <w:tcPr>
            <w:tcW w:type="dxa" w:w="37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控温控速难，热敏物易分解、目标物易挥发，定容精度不足</w:t>
            </w:r>
          </w:p>
        </w:tc>
        <w:tc>
          <w:tcPr>
            <w:tcW w:type="dxa" w:w="30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蒸干过度 / 温度过高 → 目标物降解、损失；定容不准</w:t>
            </w:r>
          </w:p>
        </w:tc>
        <w:tc>
          <w:tcPr>
            <w:tcW w:type="dxa" w:w="13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挑战-5</w:t>
            </w:r>
          </w:p>
        </w:tc>
      </w:tr>
      <w:tr>
        <w:tc>
          <w:tcPr>
            <w:tcW w:type="dxa" w:w="13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基质净化整体</w:t>
            </w:r>
          </w:p>
        </w:tc>
        <w:tc>
          <w:tcPr>
            <w:tcW w:type="dxa" w:w="37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基质杂质难除引发严重离子抑制，步骤繁琐</w:t>
            </w:r>
          </w:p>
        </w:tc>
        <w:tc>
          <w:tcPr>
            <w:tcW w:type="dxa" w:w="30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离子抑制 → 灵敏度下降、定量失准、结果有效性受损</w:t>
            </w:r>
          </w:p>
        </w:tc>
        <w:tc>
          <w:tcPr>
            <w:tcW w:type="dxa" w:w="13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挑战-6</w:t>
            </w:r>
          </w:p>
        </w:tc>
      </w:tr>
    </w:tbl>
    <w:p>
      <w:pPr>
        <w:spacing w:after="120" w:before="0" w:line="300"/>
      </w:pPr>
      <w:r>
        <w:rPr>
          <w:b/>
          <w:bCs/>
        </w:rPr>
        <w:t xml:space="preserve">人工操作问题量化：</w:t>
      </w:r>
      <w:r>
        <w:t xml:space="preserve">容错率极低（任一步失误即需重做）、个体差异大（不同人员回收率离散）、重复性差（批内 / 批间 RSD 不稳定）、效率低（串行手工、人力占用高）、强熟练度依赖（培养周期长）。</w:t>
      </w:r>
    </w:p>
    <w:p>
      <w:pPr>
        <w:pStyle w:val="Heading2"/>
        <w:spacing w:after="120" w:before="240"/>
      </w:pPr>
      <w:r>
        <w:t xml:space="preserve">1.4 项目场地概述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5C8F" w:sz="18"/>
              <w:left w:val="single" w:color="C9D6E4" w:sz="4"/>
              <w:bottom w:val="single" w:color="C9D6E4" w:sz="4"/>
              <w:right w:val="single" w:color="C9D6E4" w:sz="4"/>
            </w:tcBorders>
            <w:shd w:fill="FFF6E5" w:val="clear"/>
            <w:tcMar>
              <w:top w:type="dxa" w:w="100"/>
              <w:left w:type="dxa" w:w="160"/>
              <w:bottom w:type="dxa" w:w="100"/>
              <w:right w:type="dxa" w:w="160"/>
            </w:tcMar>
          </w:tcPr>
          <w:p>
            <w:pPr>
              <w:spacing w:after="60"/>
            </w:pPr>
            <w:r>
              <w:rPr>
                <w:b/>
                <w:bCs/>
                <w:color w:val="0F1B2D"/>
              </w:rPr>
              <w:t xml:space="preserve">说明（占位需现场补全）</w:t>
            </w:r>
          </w:p>
          <w:p>
            <w:pPr>
              <w:pStyle w:val="ListParagraph"/>
              <w:numPr>
                <w:ilvl w:val="0"/>
                <w:numId w:val="2"/>
              </w:numPr>
              <w:spacing w:after="40" w:line="280"/>
            </w:pPr>
            <w:r>
              <w:t xml:space="preserve">改造前用途 / 楼层 / 房间：待现场踏勘确认（建议提供原始建筑平面图）。</w:t>
            </w:r>
          </w:p>
          <w:p>
            <w:pPr>
              <w:pStyle w:val="ListParagraph"/>
              <w:numPr>
                <w:ilvl w:val="0"/>
                <w:numId w:val="2"/>
              </w:numPr>
              <w:spacing w:after="40" w:line="280"/>
            </w:pPr>
            <w:r>
              <w:t xml:space="preserve">场地尺寸（长×宽、面积、层高）+ 原始结构尺寸图：待甲方提供 CAD 底图后补全。</w:t>
            </w:r>
          </w:p>
          <w:p>
            <w:pPr>
              <w:pStyle w:val="ListParagraph"/>
              <w:numPr>
                <w:ilvl w:val="0"/>
                <w:numId w:val="2"/>
              </w:numPr>
              <w:spacing w:after="40" w:line="280"/>
            </w:pPr>
            <w:r>
              <w:t xml:space="preserve">隔断打通 / 改造范围：依设备布局（见 §3.2）与公用工程改造（见 §3.3）现场核定。</w:t>
            </w:r>
          </w:p>
          <w:p>
            <w:pPr>
              <w:pStyle w:val="ListParagraph"/>
              <w:numPr>
                <w:ilvl w:val="0"/>
                <w:numId w:val="2"/>
              </w:numPr>
              <w:spacing w:after="40" w:line="280"/>
            </w:pPr>
            <w:r>
              <w:rPr>
                <w:b/>
                <w:bCs/>
              </w:rPr>
              <w:t xml:space="preserve">空间基线要求（来自设备包络）：</w:t>
            </w:r>
            <w:r>
              <w:t xml:space="preserve">设备高 2055 mm → 层高 ≥ 3 m；地面承重 ≥ 500 kg/㎡；环境温度 15–30 ℃。方案一净占地约 4.76 ㎡、方案二约 5.10 ㎡，含通道按 2.5~3× 预留约 12~15 ㎡。</w:t>
            </w:r>
          </w:p>
        </w:tc>
      </w:tr>
    </w:tbl>
    <w:p>
      <w:r>
        <w:br w:type="page"/>
      </w:r>
    </w:p>
    <w:p>
      <w:pPr>
        <w:pStyle w:val="Heading1"/>
        <w:spacing w:after="160" w:before="320"/>
      </w:pPr>
      <w:r>
        <w:t xml:space="preserve">2  自动化需求与标准适配</w:t>
      </w:r>
    </w:p>
    <w:p>
      <w:pPr>
        <w:pStyle w:val="Heading2"/>
        <w:spacing w:after="120" w:before="240"/>
      </w:pPr>
      <w:r>
        <w:t xml:space="preserve">2.1 设计依据国标 / 行标清单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400"/>
        <w:gridCol w:w="1500"/>
        <w:gridCol w:w="1360"/>
      </w:tblGrid>
      <w:tr>
        <w:trPr>
          <w:tblHeader/>
        </w:trPr>
        <w:tc>
          <w:tcPr>
            <w:tcW w:type="dxa" w:w="21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标准号</w:t>
            </w:r>
          </w:p>
        </w:tc>
        <w:tc>
          <w:tcPr>
            <w:tcW w:type="dxa" w:w="44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标准全称</w:t>
            </w:r>
          </w:p>
        </w:tc>
        <w:tc>
          <w:tcPr>
            <w:tcW w:type="dxa" w:w="15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状态</w:t>
            </w:r>
          </w:p>
        </w:tc>
        <w:tc>
          <w:tcPr>
            <w:tcW w:type="dxa" w:w="136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本项目用途</w:t>
            </w:r>
          </w:p>
        </w:tc>
      </w:tr>
      <w:tr>
        <w:tc>
          <w:tcPr>
            <w:tcW w:type="dxa" w:w="21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GB 31658.17—2021</w:t>
            </w:r>
          </w:p>
        </w:tc>
        <w:tc>
          <w:tcPr>
            <w:tcW w:type="dxa" w:w="44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食品安全国家标准 动物性食品中四环素类、磺胺类和喹诺酮类药物残留量的测定 液相色谱-串联质谱法</w:t>
            </w:r>
          </w:p>
        </w:tc>
        <w:tc>
          <w:tcPr>
            <w:tcW w:type="dxa" w:w="15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现行（2022-02-01 实施）</w:t>
            </w:r>
          </w:p>
        </w:tc>
        <w:tc>
          <w:tcPr>
            <w:tcW w:type="dxa" w:w="13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磺胺 / 喹诺酮 / 四环素 兽残主标准（外标法），方案一选型主干</w:t>
            </w:r>
          </w:p>
        </w:tc>
      </w:tr>
      <w:tr>
        <w:tc>
          <w:tcPr>
            <w:tcW w:type="dxa" w:w="21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GB/T 21981—2008</w:t>
            </w:r>
          </w:p>
        </w:tc>
        <w:tc>
          <w:tcPr>
            <w:tcW w:type="dxa" w:w="44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动物源食品中激素多残留检测方法 液相色谱-质谱/质谱法</w:t>
            </w:r>
          </w:p>
        </w:tc>
        <w:tc>
          <w:tcPr>
            <w:tcW w:type="dxa" w:w="15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现行</w:t>
            </w:r>
          </w:p>
        </w:tc>
        <w:tc>
          <w:tcPr>
            <w:tcW w:type="dxa" w:w="13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激素多残留（内标法、含酶解、双柱串接净化）方案二依据</w:t>
            </w:r>
          </w:p>
        </w:tc>
      </w:tr>
      <w:tr>
        <w:tc>
          <w:tcPr>
            <w:tcW w:type="dxa" w:w="21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GB/T 6682—2008</w:t>
            </w:r>
          </w:p>
        </w:tc>
        <w:tc>
          <w:tcPr>
            <w:tcW w:type="dxa" w:w="44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分析实验室用水规格和试验方法</w:t>
            </w:r>
          </w:p>
        </w:tc>
        <w:tc>
          <w:tcPr>
            <w:tcW w:type="dxa" w:w="15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现行</w:t>
            </w:r>
          </w:p>
        </w:tc>
        <w:tc>
          <w:tcPr>
            <w:tcW w:type="dxa" w:w="13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纯水（一级水）供水规格依据</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5C8F" w:sz="18"/>
              <w:left w:val="single" w:color="C9D6E4" w:sz="4"/>
              <w:bottom w:val="single" w:color="C9D6E4" w:sz="4"/>
              <w:right w:val="single" w:color="C9D6E4" w:sz="4"/>
            </w:tcBorders>
            <w:shd w:fill="E9F7EF" w:val="clear"/>
            <w:tcMar>
              <w:top w:type="dxa" w:w="100"/>
              <w:left w:type="dxa" w:w="160"/>
              <w:bottom w:type="dxa" w:w="100"/>
              <w:right w:type="dxa" w:w="160"/>
            </w:tcMar>
          </w:tcPr>
          <w:p>
            <w:pPr>
              <w:spacing w:after="60"/>
            </w:pPr>
            <w:r>
              <w:rPr>
                <w:b/>
                <w:bCs/>
                <w:color w:val="0F1B2D"/>
              </w:rPr>
              <w:t xml:space="preserve">数据来源与编造红线声明</w:t>
            </w:r>
          </w:p>
          <w:p>
            <w:pPr>
              <w:pStyle w:val="ListParagraph"/>
              <w:numPr>
                <w:ilvl w:val="0"/>
                <w:numId w:val="2"/>
              </w:numPr>
              <w:spacing w:after="40" w:line="280"/>
            </w:pPr>
            <w:r>
              <w:rPr>
                <w:b/>
                <w:bCs/>
              </w:rPr>
              <w:t xml:space="preserve">全部技术参数均引用自 </w:t>
            </w:r>
            <w:r>
              <w:rPr>
                <w:rFonts w:ascii="Consolas" w:cs="Consolas" w:eastAsia="Consolas" w:hAnsi="Consolas"/>
                <w:b/>
                <w:bCs/>
                <w:color w:val="0C5C8F"/>
              </w:rPr>
              <w:t xml:space="preserve">references/01-modules</w:t>
            </w:r>
            <w:r>
              <w:t xml:space="preserve">（11 个已确认模块卡）、</w:t>
            </w:r>
            <w:r>
              <w:rPr>
                <w:rFonts w:ascii="Consolas" w:cs="Consolas" w:eastAsia="Consolas" w:hAnsi="Consolas"/>
                <w:b/>
                <w:bCs/>
                <w:color w:val="0C5C8F"/>
              </w:rPr>
              <w:t xml:space="preserve">02-platforms</w:t>
            </w:r>
            <w:r>
              <w:t xml:space="preserve">、</w:t>
            </w:r>
            <w:r>
              <w:rPr>
                <w:rFonts w:ascii="Consolas" w:cs="Consolas" w:eastAsia="Consolas" w:hAnsi="Consolas"/>
                <w:b/>
                <w:bCs/>
                <w:color w:val="0C5C8F"/>
              </w:rPr>
              <w:t xml:space="preserve">06-pallet</w:t>
            </w:r>
            <w:r>
              <w:t xml:space="preserve"> 及本项目已生成 HTML 提案；凡卡片字段缺失需工程估算之处，均明确标注「工程估算」，最终以现场 URS 实测为准，绝不编造。</w:t>
            </w:r>
          </w:p>
          <w:p>
            <w:pPr>
              <w:pStyle w:val="ListParagraph"/>
              <w:numPr>
                <w:ilvl w:val="0"/>
                <w:numId w:val="2"/>
              </w:numPr>
              <w:spacing w:after="40" w:line="280"/>
            </w:pPr>
            <w:r>
              <w:rPr>
                <w:b/>
                <w:bCs/>
              </w:rPr>
              <w:t xml:space="preserve">模块选型严格限定于「模块选定 → 模块确认」后的 11 个已确认模块</w:t>
            </w:r>
            <w:r>
              <w:t xml:space="preserve">，未引入清单之外任何模块；确有工艺缺口者在 §4.4 / 附录 B 明确说明，不自行替换。</w:t>
            </w:r>
          </w:p>
        </w:tc>
      </w:tr>
    </w:tbl>
    <w:p>
      <w:pPr>
        <w:pStyle w:val="Heading2"/>
        <w:spacing w:after="120" w:before="240"/>
      </w:pPr>
      <w:r>
        <w:t xml:space="preserve">2.2 检测标准与设备适配表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500"/>
        <w:gridCol w:w="1360"/>
      </w:tblGrid>
      <w:tr>
        <w:trPr>
          <w:tblHeader/>
        </w:trPr>
        <w:tc>
          <w:tcPr>
            <w:tcW w:type="dxa" w:w="20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检测方法号</w:t>
            </w:r>
          </w:p>
        </w:tc>
        <w:tc>
          <w:tcPr>
            <w:tcW w:type="dxa" w:w="25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检测项目</w:t>
            </w:r>
          </w:p>
        </w:tc>
        <w:tc>
          <w:tcPr>
            <w:tcW w:type="dxa" w:w="35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前处理系统（SmartLabOS 产线）</w:t>
            </w:r>
          </w:p>
        </w:tc>
        <w:tc>
          <w:tcPr>
            <w:tcW w:type="dxa" w:w="136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检测仪器</w:t>
            </w:r>
          </w:p>
        </w:tc>
      </w:tr>
      <w:tr>
        <w:tc>
          <w:tcPr>
            <w:tcW w:type="dxa" w:w="20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GB 31658.17—2021</w:t>
            </w:r>
          </w:p>
        </w:tc>
        <w:tc>
          <w:tcPr>
            <w:tcW w:type="dxa" w:w="25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四环素 4 + 磺胺 21 + 喹诺酮 16 = 41 种</w:t>
            </w:r>
          </w:p>
        </w:tc>
        <w:tc>
          <w:tcPr>
            <w:tcW w:type="dxa" w:w="35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提取 → SPE（HLB）净化 → 浓缩复溶 → 离心过滤（6 工作站）</w:t>
            </w:r>
          </w:p>
        </w:tc>
        <w:tc>
          <w:tcPr>
            <w:tcW w:type="dxa" w:w="13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LC-MS/MS</w:t>
            </w:r>
          </w:p>
        </w:tc>
      </w:tr>
      <w:tr>
        <w:tc>
          <w:tcPr>
            <w:tcW w:type="dxa" w:w="20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硝基呋喃 / 氯霉素专项</w:t>
            </w:r>
          </w:p>
        </w:tc>
        <w:tc>
          <w:tcPr>
            <w:tcW w:type="dxa" w:w="25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AOZ/AMOZ/AHD/SEM、氯霉素类</w:t>
            </w:r>
          </w:p>
        </w:tc>
        <w:tc>
          <w:tcPr>
            <w:tcW w:type="dxa" w:w="35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提取 →（衍生 / 恒温反应）→ 净化 → 浓缩 → 过滤</w:t>
            </w:r>
          </w:p>
        </w:tc>
        <w:tc>
          <w:tcPr>
            <w:tcW w:type="dxa" w:w="13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LC-MS/MS</w:t>
            </w:r>
          </w:p>
        </w:tc>
      </w:tr>
      <w:tr>
        <w:tc>
          <w:tcPr>
            <w:tcW w:type="dxa" w:w="20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GB/T 21981—2008</w:t>
            </w:r>
          </w:p>
        </w:tc>
        <w:tc>
          <w:tcPr>
            <w:tcW w:type="dxa" w:w="25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激素多残留 50 种</w:t>
            </w:r>
          </w:p>
        </w:tc>
        <w:tc>
          <w:tcPr>
            <w:tcW w:type="dxa" w:w="35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提取（酶解 37 ℃ 12 h）→ ENVI-Carb 串接氨基柱净化 → 浓缩 → 过滤（7 工作站）</w:t>
            </w:r>
          </w:p>
        </w:tc>
        <w:tc>
          <w:tcPr>
            <w:tcW w:type="dxa" w:w="13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LC-MS/MS（内标法）</w:t>
            </w:r>
          </w:p>
        </w:tc>
      </w:tr>
    </w:tbl>
    <w:p>
      <w:pPr>
        <w:pStyle w:val="Heading2"/>
        <w:spacing w:after="120" w:before="240"/>
      </w:pPr>
      <w:r>
        <w:t xml:space="preserve">2.3 自动化需求与通量目标</w:t>
      </w:r>
    </w:p>
    <w:p>
      <w:pPr>
        <w:spacing w:after="120" w:before="0" w:line="300"/>
      </w:pPr>
      <w:r>
        <w:t xml:space="preserve">方案以「全自动化替代人工繁琐操作」为目标，覆盖样品自动均质、萃取、净化、浓缩、定容、进样等关键环节，全程自动上下料，兼顾高通量筛查与靶向定量。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100"/>
        <w:gridCol w:w="1760"/>
      </w:tblGrid>
      <w:tr>
        <w:trPr>
          <w:tblHeader/>
        </w:trPr>
        <w:tc>
          <w:tcPr>
            <w:tcW w:type="dxa" w:w="26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检项 / 方案</w:t>
            </w:r>
          </w:p>
        </w:tc>
        <w:tc>
          <w:tcPr>
            <w:tcW w:type="dxa" w:w="29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全流程串行单样节拍</w:t>
            </w:r>
          </w:p>
        </w:tc>
        <w:tc>
          <w:tcPr>
            <w:tcW w:type="dxa" w:w="21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瓶颈环节</w:t>
            </w:r>
          </w:p>
        </w:tc>
        <w:tc>
          <w:tcPr>
            <w:tcW w:type="dxa" w:w="176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高通量保障</w:t>
            </w:r>
          </w:p>
        </w:tc>
      </w:tr>
      <w:tr>
        <w:tc>
          <w:tcPr>
            <w:tcW w:type="dxa" w:w="26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方案一（GB 31658.17 兽残）</w:t>
            </w:r>
          </w:p>
        </w:tc>
        <w:tc>
          <w:tcPr>
            <w:tcW w:type="dxa" w:w="29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 96.8 min/样（5810 s，6 平台串行）</w:t>
            </w:r>
          </w:p>
        </w:tc>
        <w:tc>
          <w:tcPr>
            <w:tcW w:type="dxa" w:w="21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WS5 浓缩蒸干（1860 s）</w:t>
            </w:r>
          </w:p>
        </w:tc>
        <w:tc>
          <w:tcPr>
            <w:tcW w:type="dxa" w:w="17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超声 16 工位、SPE 2 路、离心 4 孔位并行，稳态通量远高于串行节拍</w:t>
            </w:r>
          </w:p>
        </w:tc>
      </w:tr>
      <w:tr>
        <w:tc>
          <w:tcPr>
            <w:tcW w:type="dxa" w:w="26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方案二（GB/T 21981 激素）</w:t>
            </w:r>
          </w:p>
        </w:tc>
        <w:tc>
          <w:tcPr>
            <w:tcW w:type="dxa" w:w="29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 152 min/样（9120 s 在线，不含离线酶解）</w:t>
            </w:r>
          </w:p>
        </w:tc>
        <w:tc>
          <w:tcPr>
            <w:tcW w:type="dxa" w:w="21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WS5 串接双柱 SPE（3060 s）</w:t>
            </w:r>
          </w:p>
        </w:tc>
        <w:tc>
          <w:tcPr>
            <w:tcW w:type="dxa" w:w="17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酶解 24 孔离线过夜批处理，不占在线节拍</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5C8F" w:sz="18"/>
              <w:left w:val="single" w:color="C9D6E4" w:sz="4"/>
              <w:bottom w:val="single" w:color="C9D6E4" w:sz="4"/>
              <w:right w:val="single" w:color="C9D6E4" w:sz="4"/>
            </w:tcBorders>
            <w:shd w:fill="EAF2FB" w:val="clear"/>
            <w:tcMar>
              <w:top w:type="dxa" w:w="100"/>
              <w:left w:type="dxa" w:w="160"/>
              <w:bottom w:type="dxa" w:w="100"/>
              <w:right w:type="dxa" w:w="160"/>
            </w:tcMar>
          </w:tcPr>
          <w:p>
            <w:pPr>
              <w:spacing w:after="60"/>
            </w:pPr>
            <w:r>
              <w:rPr>
                <w:b/>
                <w:bCs/>
                <w:color w:val="0F1B2D"/>
              </w:rPr>
              <w:t xml:space="preserve">流程范围与配置基线（来自客户需求 3.4–3.6）</w:t>
            </w:r>
          </w:p>
          <w:p>
            <w:pPr>
              <w:pStyle w:val="ListParagraph"/>
              <w:numPr>
                <w:ilvl w:val="0"/>
                <w:numId w:val="2"/>
              </w:numPr>
              <w:spacing w:after="40" w:line="280"/>
            </w:pPr>
            <w:r>
              <w:rPr>
                <w:b/>
                <w:bCs/>
              </w:rPr>
              <w:t xml:space="preserve">流程范围：</w:t>
            </w:r>
            <w:r>
              <w:t xml:space="preserve">采样 → 制样 → 分样 → 前处理 → 检测 → 出具报告（本方案自动化覆盖制样均质至进样过滤；称量与上机检测见 §4.4 范围说明）。</w:t>
            </w:r>
          </w:p>
          <w:p>
            <w:pPr>
              <w:pStyle w:val="ListParagraph"/>
              <w:numPr>
                <w:ilvl w:val="0"/>
                <w:numId w:val="2"/>
              </w:numPr>
              <w:spacing w:after="40" w:line="280"/>
            </w:pPr>
            <w:r>
              <w:rPr>
                <w:b/>
                <w:bCs/>
              </w:rPr>
              <w:t xml:space="preserve">上下料方式：</w:t>
            </w:r>
            <w:r>
              <w:t xml:space="preserve">自动上下料 —— 由平台 XYZ 机械臂在各模块间统一实现，耗时按模块卡标称 60 s/循环计入。</w:t>
            </w:r>
          </w:p>
          <w:p>
            <w:pPr>
              <w:pStyle w:val="ListParagraph"/>
              <w:numPr>
                <w:ilvl w:val="0"/>
                <w:numId w:val="2"/>
              </w:numPr>
              <w:spacing w:after="40" w:line="280"/>
            </w:pPr>
            <w:r>
              <w:rPr>
                <w:b/>
                <w:bCs/>
              </w:rPr>
              <w:t xml:space="preserve">软件功能：</w:t>
            </w:r>
            <w:r>
              <w:t xml:space="preserve">智慧实验室软件（SmartLabOS 中央控制 + 数字孪生），详见第 5 章。</w:t>
            </w:r>
          </w:p>
        </w:tc>
      </w:tr>
    </w:tbl>
    <w:p>
      <w:r>
        <w:br w:type="page"/>
      </w:r>
    </w:p>
    <w:p>
      <w:pPr>
        <w:pStyle w:val="Heading1"/>
        <w:spacing w:after="160" w:before="320"/>
      </w:pPr>
      <w:r>
        <w:t xml:space="preserve">3  总体设计</w:t>
      </w:r>
    </w:p>
    <w:p>
      <w:pPr>
        <w:pStyle w:val="Heading2"/>
        <w:spacing w:after="120" w:before="240"/>
      </w:pPr>
      <w:r>
        <w:t xml:space="preserve">3.1 设计依据与原则</w:t>
      </w:r>
    </w:p>
    <w:p>
      <w:pPr>
        <w:pStyle w:val="ListParagraph"/>
        <w:numPr>
          <w:ilvl w:val="0"/>
          <w:numId w:val="2"/>
        </w:numPr>
        <w:spacing w:after="60" w:line="290"/>
      </w:pPr>
      <w:r>
        <w:rPr>
          <w:b/>
          <w:bCs/>
        </w:rPr>
        <w:t xml:space="preserve">模块化：</w:t>
      </w:r>
      <w:r>
        <w:t xml:space="preserve">以标准模块位（450×180×600 包络）+ 托盘位为最小单元，模块即插即用、按工艺自由组合，缩短建设与扩展周期。</w:t>
      </w:r>
    </w:p>
    <w:p>
      <w:pPr>
        <w:pStyle w:val="ListParagraph"/>
        <w:numPr>
          <w:ilvl w:val="0"/>
          <w:numId w:val="2"/>
        </w:numPr>
        <w:spacing w:after="60" w:line="290"/>
      </w:pPr>
      <w:r>
        <w:rPr>
          <w:b/>
          <w:bCs/>
        </w:rPr>
        <w:t xml:space="preserve">智能物流联动：</w:t>
      </w:r>
      <w:r>
        <w:t xml:space="preserve">平台 XYZ 机械臂 + 工站间转运实现样品在容器链（50 mL 离心管 → 10 mL 西林瓶 → 2 mL 进样瓶）上的全自动流转。</w:t>
      </w:r>
    </w:p>
    <w:p>
      <w:pPr>
        <w:pStyle w:val="ListParagraph"/>
        <w:numPr>
          <w:ilvl w:val="0"/>
          <w:numId w:val="2"/>
        </w:numPr>
        <w:spacing w:after="60" w:line="290"/>
      </w:pPr>
      <w:r>
        <w:rPr>
          <w:b/>
          <w:bCs/>
        </w:rPr>
        <w:t xml:space="preserve">数字化管理：</w:t>
      </w:r>
      <w:r>
        <w:t xml:space="preserve">中央控制系统统一调度、采集、追溯，对接 LIMS，实现样品全生命周期闭环。</w:t>
      </w:r>
    </w:p>
    <w:p>
      <w:pPr>
        <w:pStyle w:val="ListParagraph"/>
        <w:numPr>
          <w:ilvl w:val="0"/>
          <w:numId w:val="2"/>
        </w:numPr>
        <w:spacing w:after="60" w:line="290"/>
      </w:pPr>
      <w:r>
        <w:rPr>
          <w:b/>
          <w:bCs/>
        </w:rPr>
        <w:t xml:space="preserve">可扩展：</w:t>
      </w:r>
      <w:r>
        <w:t xml:space="preserve">平台预留模组位 / 托盘位，可在线扩容并行通道或追加新工艺模组。</w:t>
      </w:r>
    </w:p>
    <w:p>
      <w:pPr>
        <w:spacing w:after="120" w:before="0" w:line="300"/>
      </w:pPr>
      <w:r>
        <w:rPr>
          <w:b/>
          <w:bCs/>
        </w:rPr>
        <w:t xml:space="preserve">业务闭环范围界定：</w:t>
      </w:r>
      <w:r>
        <w:t xml:space="preserve">分样 → 制样均质 → 加缓冲液 →（加内标 / 衍生 / 酶解）→ 提取（涡旋 + 超声）→ 离心取上清 → SPE 净化 → 浓缩蒸干 → 复溶定容 → 离心过滤 → 进样 → 检测 → 报告。</w:t>
      </w:r>
    </w:p>
    <w:p>
      <w:pPr>
        <w:pStyle w:val="Heading2"/>
        <w:spacing w:after="120" w:before="240"/>
      </w:pPr>
      <w:r>
        <w:t xml:space="preserve">3.2 整体布局设计</w:t>
      </w:r>
    </w:p>
    <w:p>
      <w:pPr>
        <w:spacing w:after="120" w:before="0" w:line="300"/>
      </w:pPr>
      <w:r>
        <w:t xml:space="preserve">依据「各平台处理时间尽量相等、尽量接近 600 s」的口径划分功能平台（工作站），按前处理顺序线性串联，机械臂 / 转运衔接。平台 / 区域划分如下：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2200"/>
        <w:gridCol w:w="1360"/>
      </w:tblGrid>
      <w:tr>
        <w:trPr>
          <w:tblHeader/>
        </w:trPr>
        <w:tc>
          <w:tcPr>
            <w:tcW w:type="dxa" w:w="25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区域 / 平台</w:t>
            </w:r>
          </w:p>
        </w:tc>
        <w:tc>
          <w:tcPr>
            <w:tcW w:type="dxa" w:w="33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承载工艺</w:t>
            </w:r>
          </w:p>
        </w:tc>
        <w:tc>
          <w:tcPr>
            <w:tcW w:type="dxa" w:w="22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采用平台型号</w:t>
            </w:r>
          </w:p>
        </w:tc>
        <w:tc>
          <w:tcPr>
            <w:tcW w:type="dxa" w:w="136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占地</w:t>
            </w:r>
          </w:p>
        </w:tc>
      </w:tr>
      <w:tr>
        <w:tc>
          <w:tcPr>
            <w:tcW w:type="dxa" w:w="25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制样均质 · 加液涡旋</w:t>
            </w:r>
          </w:p>
        </w:tc>
        <w:tc>
          <w:tcPr>
            <w:tcW w:type="dxa" w:w="3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组织均质 + 加缓冲液涡旋（含拆 / 合盖）</w:t>
            </w:r>
          </w:p>
        </w:tc>
        <w:tc>
          <w:tcPr>
            <w:tcW w:type="dxa" w:w="22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PLT-800</w:t>
            </w:r>
          </w:p>
        </w:tc>
        <w:tc>
          <w:tcPr>
            <w:tcW w:type="dxa" w:w="13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0.68 ㎡</w:t>
            </w:r>
          </w:p>
        </w:tc>
      </w:tr>
      <w:tr>
        <w:tc>
          <w:tcPr>
            <w:tcW w:type="dxa" w:w="25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超声萃取</w:t>
            </w:r>
          </w:p>
        </w:tc>
        <w:tc>
          <w:tcPr>
            <w:tcW w:type="dxa" w:w="33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16 工位多通道超声（TEC 恒温）</w:t>
            </w:r>
          </w:p>
        </w:tc>
        <w:tc>
          <w:tcPr>
            <w:tcW w:type="dxa" w:w="22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PLT-800</w:t>
            </w:r>
          </w:p>
        </w:tc>
        <w:tc>
          <w:tcPr>
            <w:tcW w:type="dxa" w:w="13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0.68 ㎡</w:t>
            </w:r>
          </w:p>
        </w:tc>
      </w:tr>
      <w:tr>
        <w:tc>
          <w:tcPr>
            <w:tcW w:type="dxa" w:w="25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冷冻离心 · 上清合并</w:t>
            </w:r>
          </w:p>
        </w:tc>
        <w:tc>
          <w:tcPr>
            <w:tcW w:type="dxa" w:w="3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高速冷冻离心 + 上清精密转移合并</w:t>
            </w:r>
          </w:p>
        </w:tc>
        <w:tc>
          <w:tcPr>
            <w:tcW w:type="dxa" w:w="22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PLT-1200</w:t>
            </w:r>
          </w:p>
        </w:tc>
        <w:tc>
          <w:tcPr>
            <w:tcW w:type="dxa" w:w="13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1.02 ㎡</w:t>
            </w:r>
          </w:p>
        </w:tc>
      </w:tr>
      <w:tr>
        <w:tc>
          <w:tcPr>
            <w:tcW w:type="dxa" w:w="25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SPE 净化</w:t>
            </w:r>
          </w:p>
        </w:tc>
        <w:tc>
          <w:tcPr>
            <w:tcW w:type="dxa" w:w="33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6cc HLB 自动上样 SPE（2 路并行）</w:t>
            </w:r>
          </w:p>
        </w:tc>
        <w:tc>
          <w:tcPr>
            <w:tcW w:type="dxa" w:w="22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PLT-800</w:t>
            </w:r>
          </w:p>
        </w:tc>
        <w:tc>
          <w:tcPr>
            <w:tcW w:type="dxa" w:w="13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0.68 ㎡</w:t>
            </w:r>
          </w:p>
        </w:tc>
      </w:tr>
      <w:tr>
        <w:tc>
          <w:tcPr>
            <w:tcW w:type="dxa" w:w="25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浓缩蒸干</w:t>
            </w:r>
          </w:p>
        </w:tc>
        <w:tc>
          <w:tcPr>
            <w:tcW w:type="dxa" w:w="3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真空 + 离心 + 45 ℃ 热风连续浓缩</w:t>
            </w:r>
          </w:p>
        </w:tc>
        <w:tc>
          <w:tcPr>
            <w:tcW w:type="dxa" w:w="22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PLT-800</w:t>
            </w:r>
          </w:p>
        </w:tc>
        <w:tc>
          <w:tcPr>
            <w:tcW w:type="dxa" w:w="13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0.68 ㎡</w:t>
            </w:r>
          </w:p>
        </w:tc>
      </w:tr>
      <w:tr>
        <w:tc>
          <w:tcPr>
            <w:tcW w:type="dxa" w:w="25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复溶 · 离心 · 过滤</w:t>
            </w:r>
          </w:p>
        </w:tc>
        <w:tc>
          <w:tcPr>
            <w:tcW w:type="dxa" w:w="33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复溶混匀 + 高速离心 + 0.22 µm 过滤</w:t>
            </w:r>
          </w:p>
        </w:tc>
        <w:tc>
          <w:tcPr>
            <w:tcW w:type="dxa" w:w="22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PLT-1200</w:t>
            </w:r>
          </w:p>
        </w:tc>
        <w:tc>
          <w:tcPr>
            <w:tcW w:type="dxa" w:w="13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1.02 ㎡</w:t>
            </w:r>
          </w:p>
        </w:tc>
      </w:tr>
      <w:tr>
        <w:tc>
          <w:tcPr>
            <w:tcW w:type="dxa" w:w="25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（方案二）恒温酶解</w:t>
            </w:r>
          </w:p>
        </w:tc>
        <w:tc>
          <w:tcPr>
            <w:tcW w:type="dxa" w:w="3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24 孔位恒温振摇酶解（离线批处理）</w:t>
            </w:r>
          </w:p>
        </w:tc>
        <w:tc>
          <w:tcPr>
            <w:tcW w:type="dxa" w:w="22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PLT-800</w:t>
            </w:r>
          </w:p>
        </w:tc>
        <w:tc>
          <w:tcPr>
            <w:tcW w:type="dxa" w:w="13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0.68 ㎡</w:t>
            </w:r>
          </w:p>
        </w:tc>
      </w:tr>
      <w:tr>
        <w:tc>
          <w:tcPr>
            <w:tcW w:type="dxa" w:w="25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（方案二）串接双柱 SPE</w:t>
            </w:r>
          </w:p>
        </w:tc>
        <w:tc>
          <w:tcPr>
            <w:tcW w:type="dxa" w:w="33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ENVI-Carb 串接氨基柱（新建 MOD-SPE-D01）</w:t>
            </w:r>
          </w:p>
        </w:tc>
        <w:tc>
          <w:tcPr>
            <w:tcW w:type="dxa" w:w="22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PLT-800</w:t>
            </w:r>
          </w:p>
        </w:tc>
        <w:tc>
          <w:tcPr>
            <w:tcW w:type="dxa" w:w="13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0.68 ㎡</w:t>
            </w:r>
          </w:p>
        </w:tc>
      </w:tr>
      <w:tr>
        <w:tc>
          <w:tcPr>
            <w:tcW w:type="dxa" w:w="25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中央控制 / 数字孪生</w:t>
            </w:r>
          </w:p>
        </w:tc>
        <w:tc>
          <w:tcPr>
            <w:tcW w:type="dxa" w:w="3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调度服务器 + 可视化大屏</w:t>
            </w:r>
          </w:p>
        </w:tc>
        <w:tc>
          <w:tcPr>
            <w:tcW w:type="dxa" w:w="22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机柜 / 工作站</w:t>
            </w:r>
          </w:p>
        </w:tc>
        <w:tc>
          <w:tcPr>
            <w:tcW w:type="dxa" w:w="13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按现场</w:t>
            </w:r>
          </w:p>
        </w:tc>
      </w:tr>
      <w:tr>
        <w:tc>
          <w:tcPr>
            <w:tcW w:type="dxa" w:w="25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智能线边仓库 / 物流</w:t>
            </w:r>
          </w:p>
        </w:tc>
        <w:tc>
          <w:tcPr>
            <w:tcW w:type="dxa" w:w="33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试剂耗材暂存 + 机械臂转运（可选扩展）</w:t>
            </w:r>
          </w:p>
        </w:tc>
        <w:tc>
          <w:tcPr>
            <w:tcW w:type="dxa" w:w="22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PLT-1400 等</w:t>
            </w:r>
          </w:p>
        </w:tc>
        <w:tc>
          <w:tcPr>
            <w:tcW w:type="dxa" w:w="13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按现场</w:t>
            </w:r>
          </w:p>
        </w:tc>
      </w:tr>
    </w:tbl>
    <w:p>
      <w:pPr>
        <w:spacing w:after="120" w:before="0" w:line="300"/>
      </w:pPr>
      <w:r>
        <w:rPr>
          <w:b/>
          <w:bCs/>
        </w:rPr>
        <w:t xml:space="preserve">平台选型逻辑（来自 02-platforms）：</w:t>
      </w:r>
      <w:r>
        <w:t xml:space="preserve">一个平台最多搭载 6 模组 + 8 托盘。含 50 mL 离心模组 </w:t>
      </w:r>
      <w:r>
        <w:rPr>
          <w:rFonts w:ascii="Consolas" w:cs="Consolas" w:eastAsia="Consolas" w:hAnsi="Consolas"/>
          <w:b/>
          <w:bCs/>
          <w:color w:val="0C5C8F"/>
        </w:rPr>
        <w:t xml:space="preserve">MOD-LX-001</w:t>
      </w:r>
      <w:r>
        <w:t xml:space="preserve">（占 3 模组位）的工站须用 PLT-1200（6 位）；其余 ≤3 位工站用占地最省的 PLT-800；如需延长无人运行可将浓缩 / 过滤工站升级 PLT-1400 扩展托盘缓存。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900"/>
        <w:gridCol w:w="900"/>
        <w:gridCol w:w="800"/>
        <w:gridCol w:w="1100"/>
        <w:gridCol w:w="2660"/>
      </w:tblGrid>
      <w:tr>
        <w:trPr>
          <w:tblHeader/>
        </w:trPr>
        <w:tc>
          <w:tcPr>
            <w:tcW w:type="dxa" w:w="11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平台</w:t>
            </w:r>
          </w:p>
        </w:tc>
        <w:tc>
          <w:tcPr>
            <w:tcW w:type="dxa" w:w="19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尺寸 (mm)</w:t>
            </w:r>
          </w:p>
        </w:tc>
        <w:tc>
          <w:tcPr>
            <w:tcW w:type="dxa" w:w="9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模组位</w:t>
            </w:r>
          </w:p>
        </w:tc>
        <w:tc>
          <w:tcPr>
            <w:tcW w:type="dxa" w:w="9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托盘位</w:t>
            </w:r>
          </w:p>
        </w:tc>
        <w:tc>
          <w:tcPr>
            <w:tcW w:type="dxa" w:w="8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布局</w:t>
            </w:r>
          </w:p>
        </w:tc>
        <w:tc>
          <w:tcPr>
            <w:tcW w:type="dxa" w:w="11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占地</w:t>
            </w:r>
          </w:p>
        </w:tc>
        <w:tc>
          <w:tcPr>
            <w:tcW w:type="dxa" w:w="266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本方案采用</w:t>
            </w:r>
          </w:p>
        </w:tc>
      </w:tr>
      <w:tr>
        <w:tc>
          <w:tcPr>
            <w:tcW w:type="dxa" w:w="11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PLT-800</w:t>
            </w:r>
          </w:p>
        </w:tc>
        <w:tc>
          <w:tcPr>
            <w:tcW w:type="dxa" w:w="19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800×850×2055</w:t>
            </w:r>
          </w:p>
        </w:tc>
        <w:tc>
          <w:tcPr>
            <w:tcW w:type="dxa" w:w="9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3</w:t>
            </w:r>
          </w:p>
        </w:tc>
        <w:tc>
          <w:tcPr>
            <w:tcW w:type="dxa" w:w="9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4</w:t>
            </w:r>
          </w:p>
        </w:tc>
        <w:tc>
          <w:tcPr>
            <w:tcW w:type="dxa" w:w="8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1×4</w:t>
            </w:r>
          </w:p>
        </w:tc>
        <w:tc>
          <w:tcPr>
            <w:tcW w:type="dxa" w:w="11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0.68 ㎡</w:t>
            </w:r>
          </w:p>
        </w:tc>
        <w:tc>
          <w:tcPr>
            <w:tcW w:type="dxa" w:w="26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WS1/WS2/WS4/WS5</w:t>
            </w:r>
          </w:p>
        </w:tc>
      </w:tr>
      <w:tr>
        <w:tc>
          <w:tcPr>
            <w:tcW w:type="dxa" w:w="11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PLT-1200</w:t>
            </w:r>
          </w:p>
        </w:tc>
        <w:tc>
          <w:tcPr>
            <w:tcW w:type="dxa" w:w="19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1200×850×2055</w:t>
            </w:r>
          </w:p>
        </w:tc>
        <w:tc>
          <w:tcPr>
            <w:tcW w:type="dxa" w:w="9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6</w:t>
            </w:r>
          </w:p>
        </w:tc>
        <w:tc>
          <w:tcPr>
            <w:tcW w:type="dxa" w:w="9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8</w:t>
            </w:r>
          </w:p>
        </w:tc>
        <w:tc>
          <w:tcPr>
            <w:tcW w:type="dxa" w:w="8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2×4</w:t>
            </w:r>
          </w:p>
        </w:tc>
        <w:tc>
          <w:tcPr>
            <w:tcW w:type="dxa" w:w="11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1.02 ㎡</w:t>
            </w:r>
          </w:p>
        </w:tc>
        <w:tc>
          <w:tcPr>
            <w:tcW w:type="dxa" w:w="26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WS3/WS6（含离心 3 位）</w:t>
            </w:r>
          </w:p>
        </w:tc>
      </w:tr>
      <w:tr>
        <w:tc>
          <w:tcPr>
            <w:tcW w:type="dxa" w:w="11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PLT-1400</w:t>
            </w:r>
          </w:p>
        </w:tc>
        <w:tc>
          <w:tcPr>
            <w:tcW w:type="dxa" w:w="19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1400×850×2055</w:t>
            </w:r>
          </w:p>
        </w:tc>
        <w:tc>
          <w:tcPr>
            <w:tcW w:type="dxa" w:w="9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6</w:t>
            </w:r>
          </w:p>
        </w:tc>
        <w:tc>
          <w:tcPr>
            <w:tcW w:type="dxa" w:w="9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8</w:t>
            </w:r>
          </w:p>
        </w:tc>
        <w:tc>
          <w:tcPr>
            <w:tcW w:type="dxa" w:w="8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1×8</w:t>
            </w:r>
          </w:p>
        </w:tc>
        <w:tc>
          <w:tcPr>
            <w:tcW w:type="dxa" w:w="11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1.19 ㎡</w:t>
            </w:r>
          </w:p>
        </w:tc>
        <w:tc>
          <w:tcPr>
            <w:tcW w:type="dxa" w:w="26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 可选（扩展托盘缓存）</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5C8F" w:sz="18"/>
              <w:left w:val="single" w:color="C9D6E4" w:sz="4"/>
              <w:bottom w:val="single" w:color="C9D6E4" w:sz="4"/>
              <w:right w:val="single" w:color="C9D6E4" w:sz="4"/>
            </w:tcBorders>
            <w:shd w:fill="E9F7EF" w:val="clear"/>
            <w:tcMar>
              <w:top w:type="dxa" w:w="100"/>
              <w:left w:type="dxa" w:w="160"/>
              <w:bottom w:type="dxa" w:w="100"/>
              <w:right w:type="dxa" w:w="160"/>
            </w:tcMar>
          </w:tcPr>
          <w:p>
            <w:pPr>
              <w:spacing w:after="60"/>
            </w:pPr>
            <w:r>
              <w:rPr>
                <w:b/>
                <w:bCs/>
                <w:color w:val="0F1B2D"/>
              </w:rPr>
              <w:t xml:space="preserve">布局合理性与标准化预装</w:t>
            </w:r>
          </w:p>
          <w:p>
            <w:pPr>
              <w:pStyle w:val="ListParagraph"/>
              <w:numPr>
                <w:ilvl w:val="0"/>
                <w:numId w:val="2"/>
              </w:numPr>
              <w:spacing w:after="40" w:line="280"/>
            </w:pPr>
            <w:r>
              <w:t xml:space="preserve">操作便捷：工站按工艺顺序线性排列，样品单向流转、无回流交叉，机械臂行程最短。</w:t>
            </w:r>
          </w:p>
          <w:p>
            <w:pPr>
              <w:pStyle w:val="ListParagraph"/>
              <w:numPr>
                <w:ilvl w:val="0"/>
                <w:numId w:val="2"/>
              </w:numPr>
              <w:spacing w:after="40" w:line="280"/>
            </w:pPr>
            <w:r>
              <w:t xml:space="preserve">空间利用率：以 PLT-800 为主力，仅离心 / 大托盘缓存工站用 PLT-1200/1400，净占地最省。</w:t>
            </w:r>
          </w:p>
          <w:p>
            <w:pPr>
              <w:pStyle w:val="ListParagraph"/>
              <w:numPr>
                <w:ilvl w:val="0"/>
                <w:numId w:val="2"/>
              </w:numPr>
              <w:spacing w:after="40" w:line="280"/>
            </w:pPr>
            <w:r>
              <w:rPr>
                <w:b/>
                <w:bCs/>
              </w:rPr>
              <w:t xml:space="preserve">标准化预装与现场拼接：</w:t>
            </w:r>
            <w:r>
              <w:t xml:space="preserve">各平台在工厂完成模组装配与联调（FAT），现场仅做平台拼接与系统联调，大幅缩短建设周期（平台标准交付约 8 周、工站集成约 12 周，供参考）。</w:t>
            </w:r>
          </w:p>
          <w:p>
            <w:pPr>
              <w:pStyle w:val="ListParagraph"/>
              <w:numPr>
                <w:ilvl w:val="0"/>
                <w:numId w:val="2"/>
              </w:numPr>
              <w:spacing w:after="40" w:line="280"/>
            </w:pPr>
            <w:r>
              <w:rPr>
                <w:b/>
                <w:bCs/>
              </w:rPr>
              <w:t xml:space="preserve">布局图占位：</w:t>
            </w:r>
            <w:r>
              <w:t xml:space="preserve">「智能化实验室规划布局图」须在现场 CAD 底图确定后出图（占位 → 实图，见附录 A）。</w:t>
            </w:r>
          </w:p>
        </w:tc>
      </w:tr>
    </w:tbl>
    <w:p>
      <w:pPr>
        <w:pStyle w:val="Heading2"/>
        <w:spacing w:after="120" w:before="240"/>
      </w:pPr>
      <w:r>
        <w:t xml:space="preserve">3.3 配套基础设施改造设计</w:t>
      </w:r>
    </w:p>
    <w:p>
      <w:pPr>
        <w:spacing w:after="120" w:before="0" w:line="300"/>
      </w:pPr>
      <w:r>
        <w:t xml:space="preserve">依据各模块卡 electrical_environment 字段，配套改造需求如下（详图待现场底图确定后出施工图，占位见附录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200"/>
        <w:gridCol w:w="2460"/>
      </w:tblGrid>
      <w:tr>
        <w:trPr>
          <w:tblHeader/>
        </w:trPr>
        <w:tc>
          <w:tcPr>
            <w:tcW w:type="dxa" w:w="17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系统</w:t>
            </w:r>
          </w:p>
        </w:tc>
        <w:tc>
          <w:tcPr>
            <w:tcW w:type="dxa" w:w="52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改造设计要点</w:t>
            </w:r>
          </w:p>
        </w:tc>
        <w:tc>
          <w:tcPr>
            <w:tcW w:type="dxa" w:w="246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依据（模块字段）</w:t>
            </w:r>
          </w:p>
        </w:tc>
      </w:tr>
      <w:tr>
        <w:tc>
          <w:tcPr>
            <w:tcW w:type="dxa" w:w="17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管道排风系统</w:t>
            </w:r>
          </w:p>
        </w:tc>
        <w:tc>
          <w:tcPr>
            <w:tcW w:type="dxa" w:w="52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WS1/WS4/WS5 上方设万向抽气罩 / 防爆排风，罩口面风速 ≥ 0.5 m/s；排风经活性炭 / 喷淋处理达标后高空排放；方案二二氯甲烷工站强制防爆排风</w:t>
            </w:r>
          </w:p>
        </w:tc>
        <w:tc>
          <w:tcPr>
            <w:tcW w:type="dxa" w:w="24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提取涉乙腈，净化涉甲醇 / 乙酸乙酯 / 浓氨水 / 甲酸 + 45 ℃ 浓缩挥发；LX-001 requires_ventilation</w:t>
            </w:r>
          </w:p>
        </w:tc>
      </w:tr>
      <w:tr>
        <w:tc>
          <w:tcPr>
            <w:tcW w:type="dxa" w:w="17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气路分布系统</w:t>
            </w:r>
          </w:p>
        </w:tc>
        <w:tc>
          <w:tcPr>
            <w:tcW w:type="dxa" w:w="52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洁净干燥压缩空气 0.4–0.7 MPa（WX-006/SPE-004/NS-001/HY-001/GL-002 正压）；真空泵 −80~−95 kPa（LX-001/NS-001）；压缩空气需除水除油</w:t>
            </w:r>
          </w:p>
        </w:tc>
        <w:tc>
          <w:tcPr>
            <w:tcW w:type="dxa" w:w="24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requires_compressed_air / vacuum_kpa</w:t>
            </w:r>
          </w:p>
        </w:tc>
      </w:tr>
      <w:tr>
        <w:tc>
          <w:tcPr>
            <w:tcW w:type="dxa" w:w="17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强弱电与网络</w:t>
            </w:r>
          </w:p>
        </w:tc>
        <w:tc>
          <w:tcPr>
            <w:tcW w:type="dxa" w:w="52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主电 220 V（CS-004/LX-001 外设/NS-001 加热/FY-002 恒温）+ 控制电 24 V；NS-001 另需 48 V；独立配电箱 + 漏电 / 接地保护；建议 3 kVA 在线式 UPS；工业以太网至各平台与中央控制</w:t>
            </w:r>
          </w:p>
        </w:tc>
        <w:tc>
          <w:tcPr>
            <w:tcW w:type="dxa" w:w="24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voltage_v / power_kva</w:t>
            </w:r>
          </w:p>
        </w:tc>
      </w:tr>
      <w:tr>
        <w:tc>
          <w:tcPr>
            <w:tcW w:type="dxa" w:w="17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给排水 / 纯水管路</w:t>
            </w:r>
          </w:p>
        </w:tc>
        <w:tc>
          <w:tcPr>
            <w:tcW w:type="dxa" w:w="52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上水：一级纯水（GB/T 6682）供 SPE 活化 / 淋洗、均质清洗、复溶；下水：JZ-002/CS-004/DR-003/SPE-004/NS-001/GL-002 均接独立排废管路；有机废液与氨性废液分类收集至危废中转罐；地面设地漏 / 防渗托盘</w:t>
            </w:r>
          </w:p>
        </w:tc>
        <w:tc>
          <w:tcPr>
            <w:tcW w:type="dxa" w:w="24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requires_water / requires_drain</w:t>
            </w:r>
          </w:p>
        </w:tc>
      </w:tr>
    </w:tbl>
    <w:p>
      <w:r>
        <w:br w:type="page"/>
      </w:r>
    </w:p>
    <w:p>
      <w:pPr>
        <w:pStyle w:val="Heading1"/>
        <w:spacing w:after="160" w:before="320"/>
      </w:pPr>
      <w:r>
        <w:t xml:space="preserve">4  功能平台逐一详细设计</w:t>
      </w:r>
    </w:p>
    <w:p>
      <w:pPr>
        <w:spacing w:after="120" w:before="0" w:line="300"/>
      </w:pPr>
      <w:r>
        <w:t xml:space="preserve">本章对每一个已配置功能平台逐一展开</w:t>
      </w:r>
      <w:r>
        <w:rPr>
          <w:b/>
          <w:bCs/>
        </w:rPr>
        <w:t xml:space="preserve">【平台组成 + 平台功能说明 + 关键技术指标表】</w:t>
      </w:r>
      <w:r>
        <w:t xml:space="preserve">三要素。指标均量化并含通讯协议；模组参数逐条引用自 </w:t>
      </w:r>
      <w:r>
        <w:rPr>
          <w:rFonts w:ascii="Consolas" w:cs="Consolas" w:eastAsia="Consolas" w:hAnsi="Consolas"/>
          <w:b/>
          <w:bCs/>
          <w:color w:val="0C5C8F"/>
        </w:rPr>
        <w:t xml:space="preserve">references/01-modules</w:t>
      </w:r>
      <w:r>
        <w:t xml:space="preserve"> 卡片，单循环耗时取自 </w:t>
      </w:r>
      <w:r>
        <w:rPr>
          <w:rFonts w:ascii="Consolas" w:cs="Consolas" w:eastAsia="Consolas" w:hAnsi="Consolas"/>
          <w:b/>
          <w:bCs/>
          <w:color w:val="0C5C8F"/>
        </w:rPr>
        <w:t xml:space="preserve">process_capability.cycle_time_sec</w:t>
      </w:r>
      <w:r>
        <w:t xml:space="preserve"> 与 </w:t>
      </w:r>
      <w:r>
        <w:rPr>
          <w:rFonts w:ascii="Consolas" w:cs="Consolas" w:eastAsia="Consolas" w:hAnsi="Consolas"/>
          <w:b/>
          <w:bCs/>
          <w:color w:val="0C5C8F"/>
        </w:rPr>
        <w:t xml:space="preserve">module_up_unload_time</w:t>
      </w:r>
      <w:r>
        <w:t xml:space="preserve">（自动上下料 60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5C8F" w:sz="18"/>
              <w:left w:val="single" w:color="C9D6E4" w:sz="4"/>
              <w:bottom w:val="single" w:color="C9D6E4" w:sz="4"/>
              <w:right w:val="single" w:color="C9D6E4" w:sz="4"/>
            </w:tcBorders>
            <w:shd w:fill="EAF2FB" w:val="clear"/>
            <w:tcMar>
              <w:top w:type="dxa" w:w="100"/>
              <w:left w:type="dxa" w:w="160"/>
              <w:bottom w:type="dxa" w:w="100"/>
              <w:right w:type="dxa" w:w="160"/>
            </w:tcMar>
          </w:tcPr>
          <w:p>
            <w:pPr>
              <w:spacing w:after="60"/>
            </w:pPr>
            <w:r>
              <w:rPr>
                <w:b/>
                <w:bCs/>
                <w:color w:val="0F1B2D"/>
              </w:rPr>
              <w:t xml:space="preserve">通讯协议统一基线</w:t>
            </w:r>
          </w:p>
          <w:p>
            <w:pPr>
              <w:pStyle w:val="ListParagraph"/>
              <w:numPr>
                <w:ilvl w:val="0"/>
                <w:numId w:val="2"/>
              </w:numPr>
              <w:spacing w:after="40" w:line="280"/>
            </w:pPr>
            <w:r>
              <w:t xml:space="preserve">各模组 / 平台均经平台 PLC 汇聚后以 </w:t>
            </w:r>
            <w:r>
              <w:rPr>
                <w:b/>
                <w:bCs/>
              </w:rPr>
              <w:t xml:space="preserve">MODBUS TCP</w:t>
            </w:r>
            <w:r>
              <w:t xml:space="preserve"> 接入 SmartLabOS 中央调度（参见 </w:t>
            </w:r>
            <w:r>
              <w:rPr>
                <w:rFonts w:ascii="Consolas" w:cs="Consolas" w:eastAsia="Consolas" w:hAnsi="Consolas"/>
                <w:b/>
                <w:bCs/>
                <w:color w:val="0C5C8F"/>
              </w:rPr>
              <w:t xml:space="preserve">MOD-SPE-004</w:t>
            </w:r>
            <w:r>
              <w:t xml:space="preserve"> 卡片明示「仅支持 MODBUS TCP」，全线统一）；中央控制对上层提供 RESTful API / HTTPS 与 LIMS 双向对接（见 §5.3）。</w:t>
            </w:r>
          </w:p>
        </w:tc>
      </w:tr>
    </w:tbl>
    <w:p>
      <w:pPr>
        <w:pStyle w:val="Heading2"/>
        <w:spacing w:after="120" w:before="240"/>
      </w:pPr>
      <w:r>
        <w:t xml:space="preserve">4.1 制样均质 · 加液涡旋平台（WS-VETDRUG-Homog-CDSJY-01）</w:t>
      </w:r>
    </w:p>
    <w:p>
      <w:pPr>
        <w:spacing w:after="120" w:before="0" w:line="300"/>
      </w:pPr>
      <w:r>
        <w:rPr>
          <w:i/>
          <w:iCs/>
          <w:color w:val="5B6B7E"/>
          <w:sz w:val="18"/>
          <w:szCs w:val="18"/>
        </w:rPr>
        <w:t xml:space="preserve">平台 PLT-800（800×850×2055 mm，3 模组位 / 4 托盘位，0.68 ㎡）· 覆盖 §7 制样均质 + §8.1 加缓冲液涡旋 · 模块位 2/3 · 平台处理耗时 480 s</w:t>
      </w:r>
    </w:p>
    <w:p>
      <w:pPr>
        <w:pStyle w:val="Heading3"/>
        <w:spacing w:after="100" w:before="180"/>
      </w:pPr>
      <w:r>
        <w:t xml:space="preserve">平台组成</w:t>
      </w:r>
    </w:p>
    <w:p>
      <w:pPr>
        <w:pStyle w:val="ListParagraph"/>
        <w:numPr>
          <w:ilvl w:val="0"/>
          <w:numId w:val="2"/>
        </w:numPr>
        <w:spacing w:after="60" w:line="290"/>
      </w:pPr>
      <w:r>
        <w:rPr>
          <w:rFonts w:ascii="Consolas" w:cs="Consolas" w:eastAsia="Consolas" w:hAnsi="Consolas"/>
          <w:b/>
          <w:bCs/>
          <w:color w:val="0C5C8F"/>
        </w:rPr>
        <w:t xml:space="preserve">MOD-JZ-002</w:t>
      </w:r>
      <w:r>
        <w:t xml:space="preserve"> 50 ml 离心管均质模块 —— 组织高剪切均质（1 模组位）</w:t>
      </w:r>
    </w:p>
    <w:p>
      <w:pPr>
        <w:pStyle w:val="ListParagraph"/>
        <w:numPr>
          <w:ilvl w:val="0"/>
          <w:numId w:val="2"/>
        </w:numPr>
        <w:spacing w:after="60" w:line="290"/>
      </w:pPr>
      <w:r>
        <w:rPr>
          <w:rFonts w:ascii="Consolas" w:cs="Consolas" w:eastAsia="Consolas" w:hAnsi="Consolas"/>
          <w:b/>
          <w:bCs/>
          <w:color w:val="0C5C8F"/>
        </w:rPr>
        <w:t xml:space="preserve">MOD-WX-006</w:t>
      </w:r>
      <w:r>
        <w:t xml:space="preserve"> 50 ml 离心管正压加液涡旋模块 —— 拆盖 + 加 Mcllvaine Na₂-EDTA 缓冲液 8 mL + 涡旋 1 min + 合盖（1 模组位）</w:t>
      </w:r>
    </w:p>
    <w:p>
      <w:pPr>
        <w:pStyle w:val="ListParagraph"/>
        <w:numPr>
          <w:ilvl w:val="0"/>
          <w:numId w:val="2"/>
        </w:numPr>
        <w:spacing w:after="60" w:line="290"/>
      </w:pPr>
      <w:r>
        <w:t xml:space="preserve">配套托盘：50 ml 离心管托盘（供试样，18 位/盘）、缓冲液 / 废液托盘</w:t>
      </w:r>
    </w:p>
    <w:p>
      <w:pPr>
        <w:pStyle w:val="Heading3"/>
        <w:spacing w:after="100" w:before="180"/>
      </w:pPr>
      <w:r>
        <w:t xml:space="preserve">平台功能说明</w:t>
      </w:r>
    </w:p>
    <w:p>
      <w:pPr>
        <w:spacing w:after="120" w:before="0" w:line="300"/>
      </w:pPr>
      <w:r>
        <w:t xml:space="preserve">流程：上样 → </w:t>
      </w:r>
      <w:r>
        <w:rPr>
          <w:rFonts w:ascii="Consolas" w:cs="Consolas" w:eastAsia="Consolas" w:hAnsi="Consolas"/>
          <w:b/>
          <w:bCs/>
          <w:color w:val="0C5C8F"/>
        </w:rPr>
        <w:t xml:space="preserve">JZ-002</w:t>
      </w:r>
      <w:r>
        <w:t xml:space="preserve"> 高剪切均质（标准化打碎匀浆，规避高脂高蛋白基质分层、痕量取样不均，回应挑战-2）→ </w:t>
      </w:r>
      <w:r>
        <w:rPr>
          <w:rFonts w:ascii="Consolas" w:cs="Consolas" w:eastAsia="Consolas" w:hAnsi="Consolas"/>
          <w:b/>
          <w:bCs/>
          <w:color w:val="0C5C8F"/>
        </w:rPr>
        <w:t xml:space="preserve">WX-006</w:t>
      </w:r>
      <w:r>
        <w:t xml:space="preserve"> 拆盖、正压加缓冲液 8 mL、涡旋 1 min、合盖（一体化规避萃取乳化与人工加液偏差，回应挑战-3）→ 转 WS2 超声。</w:t>
      </w:r>
    </w:p>
    <w:p>
      <w:pPr>
        <w:pStyle w:val="Heading3"/>
        <w:spacing w:after="100" w:before="180"/>
      </w:pPr>
      <w:r>
        <w:t xml:space="preserve">关键技术指标表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5160"/>
        <w:gridCol w:w="700"/>
      </w:tblGrid>
      <w:tr>
        <w:trPr>
          <w:tblHeader/>
        </w:trPr>
        <w:tc>
          <w:tcPr>
            <w:tcW w:type="dxa" w:w="13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模组 ID</w:t>
            </w:r>
          </w:p>
        </w:tc>
        <w:tc>
          <w:tcPr>
            <w:tcW w:type="dxa" w:w="22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设备名称</w:t>
            </w:r>
          </w:p>
        </w:tc>
        <w:tc>
          <w:tcPr>
            <w:tcW w:type="dxa" w:w="516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关键系统指标（数值 + 单位 + 精度）</w:t>
            </w:r>
          </w:p>
        </w:tc>
        <w:tc>
          <w:tcPr>
            <w:tcW w:type="dxa" w:w="7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通讯</w:t>
            </w:r>
          </w:p>
        </w:tc>
      </w:tr>
      <w:tr>
        <w:tc>
          <w:tcPr>
            <w:tcW w:type="dxa" w:w="1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[object Object]</w:t>
            </w:r>
          </w:p>
        </w:tc>
        <w:tc>
          <w:tcPr>
            <w:tcW w:type="dxa" w:w="22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50 ml 离心管均质模块</w:t>
            </w:r>
          </w:p>
        </w:tc>
        <w:tc>
          <w:tcPr>
            <w:tcW w:type="dxa" w:w="51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容量 1–40 mL；转速 1000–30000 rpm；单循环 60 s；适配 50 mL 尖底管；正压 1–4 bar；24 V / 0.2826 kVA（峰值 0.471）；噪声 87 dB</w:t>
            </w:r>
          </w:p>
        </w:tc>
        <w:tc>
          <w:tcPr>
            <w:tcW w:type="dxa" w:w="7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PLC/
MODBUS TCP</w:t>
            </w:r>
          </w:p>
        </w:tc>
      </w:tr>
      <w:tr>
        <w:tc>
          <w:tcPr>
            <w:tcW w:type="dxa" w:w="13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[object Object]</w:t>
            </w:r>
          </w:p>
        </w:tc>
        <w:tc>
          <w:tcPr>
            <w:tcW w:type="dxa" w:w="22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50 ml 离心管正压加液涡旋模块</w:t>
            </w:r>
          </w:p>
        </w:tc>
        <w:tc>
          <w:tcPr>
            <w:tcW w:type="dxa" w:w="51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容量 1–50 mL；涡旋 1–3000 rpm；加液绝对精度 ±1%、重复 ±0.5%；含拆 / 合盖；单循环 300 s；正压 1–4 bar；24 V / 0.228 kVA</w:t>
            </w:r>
          </w:p>
        </w:tc>
        <w:tc>
          <w:tcPr>
            <w:tcW w:type="dxa" w:w="7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PLC/
MODBUS TCP</w:t>
            </w:r>
          </w:p>
        </w:tc>
      </w:tr>
    </w:tbl>
    <w:p>
      <w:pPr>
        <w:pStyle w:val="Heading2"/>
        <w:spacing w:after="120" w:before="240"/>
      </w:pPr>
      <w:r>
        <w:t xml:space="preserve">4.2 超声萃取平台（WS-VETDRUG-Ultrasound-CDSJY-02）</w:t>
      </w:r>
    </w:p>
    <w:p>
      <w:pPr>
        <w:spacing w:after="120" w:before="0" w:line="300"/>
      </w:pPr>
      <w:r>
        <w:rPr>
          <w:i/>
          <w:iCs/>
          <w:color w:val="5B6B7E"/>
          <w:sz w:val="18"/>
          <w:szCs w:val="18"/>
        </w:rPr>
        <w:t xml:space="preserve">平台 PLT-800 · 覆盖 §8.1 超声 20 min · 16 工位并行（托盘位）· 平台处理耗时 1260 s（单样均摊 ≈ 79 s）</w:t>
      </w:r>
    </w:p>
    <w:p>
      <w:pPr>
        <w:pStyle w:val="Heading3"/>
        <w:spacing w:after="100" w:before="180"/>
      </w:pPr>
      <w:r>
        <w:t xml:space="preserve">平台组成</w:t>
      </w:r>
    </w:p>
    <w:p>
      <w:pPr>
        <w:pStyle w:val="ListParagraph"/>
        <w:numPr>
          <w:ilvl w:val="0"/>
          <w:numId w:val="2"/>
        </w:numPr>
        <w:spacing w:after="60" w:line="290"/>
      </w:pPr>
      <w:r>
        <w:rPr>
          <w:rFonts w:ascii="Consolas" w:cs="Consolas" w:eastAsia="Consolas" w:hAnsi="Consolas"/>
          <w:b/>
          <w:bCs/>
          <w:color w:val="0C5C8F"/>
        </w:rPr>
        <w:t xml:space="preserve">MOD-CS-004</w:t>
      </w:r>
      <w:r>
        <w:t xml:space="preserve"> 50 ml 离心管多通道超声模块 —— 16 工位并行、TEC 恒温（占 0 模组位，托盘位）</w:t>
      </w:r>
    </w:p>
    <w:p>
      <w:pPr>
        <w:pStyle w:val="ListParagraph"/>
        <w:numPr>
          <w:ilvl w:val="0"/>
          <w:numId w:val="2"/>
        </w:numPr>
        <w:spacing w:after="60" w:line="290"/>
      </w:pPr>
      <w:r>
        <w:t xml:space="preserve">配套托盘：50 ml 离心管托盘（16 工位超声槽 + 缓存）</w:t>
      </w:r>
    </w:p>
    <w:p>
      <w:pPr>
        <w:pStyle w:val="Heading3"/>
        <w:spacing w:after="100" w:before="180"/>
      </w:pPr>
      <w:r>
        <w:t xml:space="preserve">平台功能说明</w:t>
      </w:r>
    </w:p>
    <w:p>
      <w:pPr>
        <w:spacing w:after="120" w:before="0" w:line="300"/>
      </w:pPr>
      <w:r>
        <w:t xml:space="preserve">流程：WS1 离心管放入 16 工位超声槽 → 超声 20 min（TEC 恒温 25–60 ℃ + 冷却循环水）→ 吸干瓶底残水 → 转 WS3 离心。超声为标准强制 20 min 长时操作，单批不可压缩；</w:t>
      </w:r>
    </w:p>
    <w:p>
      <w:pPr>
        <w:spacing w:after="120" w:before="0" w:line="300"/>
      </w:pPr>
      <w:r>
        <w:rPr>
          <w:rFonts w:ascii="Consolas" w:cs="Consolas" w:eastAsia="Consolas" w:hAnsi="Consolas"/>
          <w:b/>
          <w:bCs/>
          <w:color w:val="0C5C8F"/>
        </w:rPr>
        <w:t xml:space="preserve">MOD-CS-004</w:t>
      </w:r>
      <w:r>
        <w:t xml:space="preserve"> 16 工位并行将单样均摊降至 ≈ 79 s，节拍由并行批量摊薄。</w:t>
      </w:r>
    </w:p>
    <w:p>
      <w:pPr>
        <w:pStyle w:val="Heading3"/>
        <w:spacing w:after="100" w:before="180"/>
      </w:pPr>
      <w:r>
        <w:t xml:space="preserve">关键技术指标表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5160"/>
        <w:gridCol w:w="700"/>
      </w:tblGrid>
      <w:tr>
        <w:trPr>
          <w:tblHeader/>
        </w:trPr>
        <w:tc>
          <w:tcPr>
            <w:tcW w:type="dxa" w:w="13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模组 ID</w:t>
            </w:r>
          </w:p>
        </w:tc>
        <w:tc>
          <w:tcPr>
            <w:tcW w:type="dxa" w:w="22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设备名称</w:t>
            </w:r>
          </w:p>
        </w:tc>
        <w:tc>
          <w:tcPr>
            <w:tcW w:type="dxa" w:w="516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关键系统指标（数值 + 单位 + 精度）</w:t>
            </w:r>
          </w:p>
        </w:tc>
        <w:tc>
          <w:tcPr>
            <w:tcW w:type="dxa" w:w="7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通讯</w:t>
            </w:r>
          </w:p>
        </w:tc>
      </w:tr>
      <w:tr>
        <w:tc>
          <w:tcPr>
            <w:tcW w:type="dxa" w:w="1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[object Object]</w:t>
            </w:r>
          </w:p>
        </w:tc>
        <w:tc>
          <w:tcPr>
            <w:tcW w:type="dxa" w:w="22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50 ml 离心管多通道超声模块</w:t>
            </w:r>
          </w:p>
        </w:tc>
        <w:tc>
          <w:tcPr>
            <w:tcW w:type="dxa" w:w="51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容量 1–50 mL；16 工位并行；TEC 控温 25–60 ℃；卡片标称单循环 300 s（本标准按 20 min = 1200 s 取值）；220 V / 0.23 kVA；噪声 72 dB；冷却循环水</w:t>
            </w:r>
          </w:p>
        </w:tc>
        <w:tc>
          <w:tcPr>
            <w:tcW w:type="dxa" w:w="7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PLC/
MODBUS TCP</w:t>
            </w:r>
          </w:p>
        </w:tc>
      </w:tr>
    </w:tbl>
    <w:p>
      <w:pPr>
        <w:pStyle w:val="Heading2"/>
        <w:spacing w:after="120" w:before="240"/>
      </w:pPr>
      <w:r>
        <w:t xml:space="preserve">4.3 冷冻离心 · 上清合并平台（WS-VETDRUG-Centrifuge-CDSJY-03）</w:t>
      </w:r>
    </w:p>
    <w:p>
      <w:pPr>
        <w:spacing w:after="120" w:before="0" w:line="300"/>
      </w:pPr>
      <w:r>
        <w:rPr>
          <w:i/>
          <w:iCs/>
          <w:color w:val="5B6B7E"/>
          <w:sz w:val="18"/>
          <w:szCs w:val="18"/>
        </w:rPr>
        <w:t xml:space="preserve">平台 PLT-1200（1200×850×2055 mm，6 模组位 / 8 托盘位，1.02 ㎡）· 覆盖 §8.1 离心 + 上清合并 / 残渣重复提取 · 模块位 4/6 · 平台处理耗时 690 s</w:t>
      </w:r>
    </w:p>
    <w:p>
      <w:pPr>
        <w:pStyle w:val="Heading3"/>
        <w:spacing w:after="100" w:before="180"/>
      </w:pPr>
      <w:r>
        <w:t xml:space="preserve">平台组成</w:t>
      </w:r>
    </w:p>
    <w:p>
      <w:pPr>
        <w:pStyle w:val="ListParagraph"/>
        <w:numPr>
          <w:ilvl w:val="0"/>
          <w:numId w:val="2"/>
        </w:numPr>
        <w:spacing w:after="60" w:line="290"/>
      </w:pPr>
      <w:r>
        <w:rPr>
          <w:rFonts w:ascii="Consolas" w:cs="Consolas" w:eastAsia="Consolas" w:hAnsi="Consolas"/>
          <w:b/>
          <w:bCs/>
          <w:color w:val="0C5C8F"/>
        </w:rPr>
        <w:t xml:space="preserve">MOD-LX-001</w:t>
      </w:r>
      <w:r>
        <w:t xml:space="preserve"> 50 ml×4 孔位高速离心机模块（带 XYZ）—— 冷冻离心固液分离（占 3 模组位）</w:t>
      </w:r>
    </w:p>
    <w:p>
      <w:pPr>
        <w:pStyle w:val="ListParagraph"/>
        <w:numPr>
          <w:ilvl w:val="0"/>
          <w:numId w:val="2"/>
        </w:numPr>
        <w:spacing w:after="60" w:line="290"/>
      </w:pPr>
      <w:r>
        <w:rPr>
          <w:rFonts w:ascii="Consolas" w:cs="Consolas" w:eastAsia="Consolas" w:hAnsi="Consolas"/>
          <w:b/>
          <w:bCs/>
          <w:color w:val="0C5C8F"/>
        </w:rPr>
        <w:t xml:space="preserve">MOD-DR-003</w:t>
      </w:r>
      <w:r>
        <w:t xml:space="preserve"> 注射器定容模块 —— 上清精密转移 / 两次提取液合并（占 1 模组位）</w:t>
      </w:r>
    </w:p>
    <w:p>
      <w:pPr>
        <w:pStyle w:val="ListParagraph"/>
        <w:numPr>
          <w:ilvl w:val="0"/>
          <w:numId w:val="2"/>
        </w:numPr>
        <w:spacing w:after="60" w:line="290"/>
      </w:pPr>
      <w:r>
        <w:t xml:space="preserve">配套托盘：50 ml 离心管托盘（离心 18 位/盘）、50 ml 离心管托盘（合并接收）</w:t>
      </w:r>
    </w:p>
    <w:p>
      <w:pPr>
        <w:pStyle w:val="Heading3"/>
        <w:spacing w:after="100" w:before="180"/>
      </w:pPr>
      <w:r>
        <w:t xml:space="preserve">平台功能说明</w:t>
      </w:r>
    </w:p>
    <w:p>
      <w:pPr>
        <w:spacing w:after="120" w:before="0" w:line="300"/>
      </w:pPr>
      <w:r>
        <w:rPr>
          <w:rFonts w:ascii="Consolas" w:cs="Consolas" w:eastAsia="Consolas" w:hAnsi="Consolas"/>
          <w:b/>
          <w:bCs/>
          <w:color w:val="0C5C8F"/>
        </w:rPr>
        <w:t xml:space="preserve">LX-001</w:t>
      </w:r>
      <w:r>
        <w:t xml:space="preserve"> 冷冻离心 5 min → </w:t>
      </w:r>
      <w:r>
        <w:rPr>
          <w:rFonts w:ascii="Consolas" w:cs="Consolas" w:eastAsia="Consolas" w:hAnsi="Consolas"/>
          <w:b/>
          <w:bCs/>
          <w:color w:val="0C5C8F"/>
        </w:rPr>
        <w:t xml:space="preserve">DR-003</w:t>
      </w:r>
      <w:r>
        <w:t xml:space="preserve"> 取上清；残渣回 WS1 加磷酸盐缓冲液重复提取 1 次后再离心 → 两次上清合并 → 转 WS4。</w:t>
      </w:r>
    </w:p>
    <w:p>
      <w:pPr>
        <w:spacing w:after="120" w:before="0" w:line="300"/>
      </w:pPr>
      <w:r>
        <w:rPr>
          <w:b/>
          <w:bCs/>
          <w:color w:val="9A5A08"/>
        </w:rPr>
        <w:t xml:space="preserve">偏差提示：标准 §8.1 要求 −2 ℃ / 10000 r/min，MOD-LX-001 为 2–7 ℃ / ≤8000 rpm，详见附录 B 偏差说明。</w:t>
      </w:r>
    </w:p>
    <w:p>
      <w:pPr>
        <w:pStyle w:val="Heading3"/>
        <w:spacing w:after="100" w:before="180"/>
      </w:pPr>
      <w:r>
        <w:t xml:space="preserve">关键技术指标表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5160"/>
        <w:gridCol w:w="700"/>
      </w:tblGrid>
      <w:tr>
        <w:trPr>
          <w:tblHeader/>
        </w:trPr>
        <w:tc>
          <w:tcPr>
            <w:tcW w:type="dxa" w:w="13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模组 ID</w:t>
            </w:r>
          </w:p>
        </w:tc>
        <w:tc>
          <w:tcPr>
            <w:tcW w:type="dxa" w:w="22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设备名称</w:t>
            </w:r>
          </w:p>
        </w:tc>
        <w:tc>
          <w:tcPr>
            <w:tcW w:type="dxa" w:w="516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关键系统指标（数值 + 单位 + 精度）</w:t>
            </w:r>
          </w:p>
        </w:tc>
        <w:tc>
          <w:tcPr>
            <w:tcW w:type="dxa" w:w="7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通讯</w:t>
            </w:r>
          </w:p>
        </w:tc>
      </w:tr>
      <w:tr>
        <w:tc>
          <w:tcPr>
            <w:tcW w:type="dxa" w:w="1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[object Object]</w:t>
            </w:r>
          </w:p>
        </w:tc>
        <w:tc>
          <w:tcPr>
            <w:tcW w:type="dxa" w:w="22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50 ml×4 孔位高速离心机（带 XYZ）</w:t>
            </w:r>
          </w:p>
        </w:tc>
        <w:tc>
          <w:tcPr>
            <w:tcW w:type="dxa" w:w="51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4 孔位；转速 1–8000 rpm；控温 2–7 ℃；真空 −80 kPa；单循环 0–300 s；外形 800×850×2050；24 V / 3.5 kVA（峰值 4.8）；需真空泵 + 压缩机 + 通风</w:t>
            </w:r>
          </w:p>
        </w:tc>
        <w:tc>
          <w:tcPr>
            <w:tcW w:type="dxa" w:w="7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PLC/
MODBUS TCP</w:t>
            </w:r>
          </w:p>
        </w:tc>
      </w:tr>
      <w:tr>
        <w:tc>
          <w:tcPr>
            <w:tcW w:type="dxa" w:w="13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[object Object]</w:t>
            </w:r>
          </w:p>
        </w:tc>
        <w:tc>
          <w:tcPr>
            <w:tcW w:type="dxa" w:w="22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注射器定容模块（250 / 1000 µL）</w:t>
            </w:r>
          </w:p>
        </w:tc>
        <w:tc>
          <w:tcPr>
            <w:tcW w:type="dxa" w:w="51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量程 0.25–1 mL；绝对精度 ±0.6%、重复 ≤0.2%；适配 25/100/250/1000 µL 注射器；自动洗针；单循环 270 s；24 V / 0.138 kVA</w:t>
            </w:r>
          </w:p>
        </w:tc>
        <w:tc>
          <w:tcPr>
            <w:tcW w:type="dxa" w:w="7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PLC/
MODBUS TCP</w:t>
            </w:r>
          </w:p>
        </w:tc>
      </w:tr>
    </w:tbl>
    <w:p>
      <w:pPr>
        <w:pStyle w:val="Heading2"/>
        <w:spacing w:after="120" w:before="240"/>
      </w:pPr>
      <w:r>
        <w:t xml:space="preserve">4.4 SPE 净化平台（WS-VETDRUG-SPE-CDSJY-04）</w:t>
      </w:r>
    </w:p>
    <w:p>
      <w:pPr>
        <w:spacing w:after="120" w:before="0" w:line="300"/>
      </w:pPr>
      <w:r>
        <w:rPr>
          <w:i/>
          <w:iCs/>
          <w:color w:val="5B6B7E"/>
          <w:sz w:val="18"/>
          <w:szCs w:val="18"/>
        </w:rPr>
        <w:t xml:space="preserve">平台 PLT-800 · 覆盖 §8.2 活化 → 上样 → 淋洗 → 抽干 → 洗脱 · 模块位 1/3（余位可扩并行）· 平台处理耗时 420 s</w:t>
      </w:r>
    </w:p>
    <w:p>
      <w:pPr>
        <w:pStyle w:val="Heading3"/>
        <w:spacing w:after="100" w:before="180"/>
      </w:pPr>
      <w:r>
        <w:t xml:space="preserve">平台组成</w:t>
      </w:r>
    </w:p>
    <w:p>
      <w:pPr>
        <w:pStyle w:val="ListParagraph"/>
        <w:numPr>
          <w:ilvl w:val="0"/>
          <w:numId w:val="2"/>
        </w:numPr>
        <w:spacing w:after="60" w:line="290"/>
      </w:pPr>
      <w:r>
        <w:rPr>
          <w:rFonts w:ascii="Consolas" w:cs="Consolas" w:eastAsia="Consolas" w:hAnsi="Consolas"/>
          <w:b/>
          <w:bCs/>
          <w:color w:val="0C5C8F"/>
        </w:rPr>
        <w:t xml:space="preserve">MOD-SPE-004</w:t>
      </w:r>
      <w:r>
        <w:t xml:space="preserve"> 6cc 自动上样 SPE 模块 —— 2 路并行、注射泵流速闭环、6cc HLB 柱（占 1 模组位）</w:t>
      </w:r>
    </w:p>
    <w:p>
      <w:pPr>
        <w:pStyle w:val="ListParagraph"/>
        <w:numPr>
          <w:ilvl w:val="0"/>
          <w:numId w:val="2"/>
        </w:numPr>
        <w:spacing w:after="60" w:line="290"/>
      </w:pPr>
      <w:r>
        <w:t xml:space="preserve">配套托盘：6CC SPE 柱托盘（24 位/盘）、50 ml 离心管托盘（上样提取液）、10 ml 西林瓶托盘（洗脱接收）</w:t>
      </w:r>
    </w:p>
    <w:p>
      <w:pPr>
        <w:pStyle w:val="Heading3"/>
        <w:spacing w:after="100" w:before="180"/>
      </w:pPr>
      <w:r>
        <w:t xml:space="preserve">平台功能说明</w:t>
      </w:r>
    </w:p>
    <w:p>
      <w:pPr>
        <w:spacing w:after="120" w:before="0" w:line="300"/>
      </w:pPr>
      <w:r>
        <w:t xml:space="preserve">甲醇 5 mL + 水 5 mL 活化 → 上样 → 水 + 20% 甲醇水淋洗 → 抽干 → 洗脱液 10 mL 洗脱入 10 mL 西林瓶 → 转 WS5。单柱循环 360 s，2 路并行；注射泵微升级流速闭环（0.1–15 mL/min）直接回应客户 SPE 柱干 / 堵塞 / 流速失控痛点（挑战-4）。</w:t>
      </w:r>
    </w:p>
    <w:p>
      <w:pPr>
        <w:spacing w:after="120" w:before="0" w:line="300"/>
      </w:pPr>
      <w:r>
        <w:rPr>
          <w:b/>
          <w:bCs/>
          <w:color w:val="1F7A4A"/>
        </w:rPr>
        <w:t xml:space="preserve">完全满足项：标准 HLB 200 mg / 6 mL ↔ MOD-SPE-004 适配 6cc HLB 柱、流速闭环，柱型与流速控制一致。</w:t>
      </w:r>
    </w:p>
    <w:p>
      <w:pPr>
        <w:pStyle w:val="Heading3"/>
        <w:spacing w:after="100" w:before="180"/>
      </w:pPr>
      <w:r>
        <w:t xml:space="preserve">关键技术指标表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5160"/>
        <w:gridCol w:w="700"/>
      </w:tblGrid>
      <w:tr>
        <w:trPr>
          <w:tblHeader/>
        </w:trPr>
        <w:tc>
          <w:tcPr>
            <w:tcW w:type="dxa" w:w="13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模组 ID</w:t>
            </w:r>
          </w:p>
        </w:tc>
        <w:tc>
          <w:tcPr>
            <w:tcW w:type="dxa" w:w="22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设备名称</w:t>
            </w:r>
          </w:p>
        </w:tc>
        <w:tc>
          <w:tcPr>
            <w:tcW w:type="dxa" w:w="516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关键系统指标（数值 + 单位 + 精度）</w:t>
            </w:r>
          </w:p>
        </w:tc>
        <w:tc>
          <w:tcPr>
            <w:tcW w:type="dxa" w:w="7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通讯</w:t>
            </w:r>
          </w:p>
        </w:tc>
      </w:tr>
      <w:tr>
        <w:tc>
          <w:tcPr>
            <w:tcW w:type="dxa" w:w="1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[object Object]</w:t>
            </w:r>
          </w:p>
        </w:tc>
        <w:tc>
          <w:tcPr>
            <w:tcW w:type="dxa" w:w="22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6cc 自动上样 SPE 模块</w:t>
            </w:r>
          </w:p>
        </w:tc>
        <w:tc>
          <w:tcPr>
            <w:tcW w:type="dxa" w:w="51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适配 6cc HLB 柱（换载具兼容 3cc）；移液 1–50 mL；流速 0.1–15 mL/min；计量精度 ±1%、重复 ±1%；2 路并行；正压 1–4 bar；8 步可编程；单循环 360 s；24 V / 0.168 kVA；需空压机</w:t>
            </w:r>
          </w:p>
        </w:tc>
        <w:tc>
          <w:tcPr>
            <w:tcW w:type="dxa" w:w="7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MODBUS
TCP</w:t>
            </w:r>
          </w:p>
        </w:tc>
      </w:tr>
    </w:tbl>
    <w:p>
      <w:pPr>
        <w:pStyle w:val="Heading2"/>
        <w:spacing w:after="120" w:before="240"/>
      </w:pPr>
      <w:r>
        <w:t xml:space="preserve">4.5 浓缩蒸干平台（WS-VETDRUG-Concentrate-CDSJY-05）</w:t>
      </w:r>
    </w:p>
    <w:p>
      <w:pPr>
        <w:spacing w:after="120" w:before="0" w:line="300"/>
      </w:pPr>
      <w:r>
        <w:rPr>
          <w:i/>
          <w:iCs/>
          <w:color w:val="5B6B7E"/>
          <w:sz w:val="18"/>
          <w:szCs w:val="18"/>
        </w:rPr>
        <w:t xml:space="preserve">平台 PLT-800 · 覆盖 §8.2 45 ℃ 氮吹干 · 双工位连续 · 平台处理耗时 1860 s（含工程估算）</w:t>
      </w:r>
    </w:p>
    <w:p>
      <w:pPr>
        <w:pStyle w:val="Heading3"/>
        <w:spacing w:after="100" w:before="180"/>
      </w:pPr>
      <w:r>
        <w:t xml:space="preserve">平台组成</w:t>
      </w:r>
    </w:p>
    <w:p>
      <w:pPr>
        <w:pStyle w:val="ListParagraph"/>
        <w:numPr>
          <w:ilvl w:val="0"/>
          <w:numId w:val="2"/>
        </w:numPr>
        <w:spacing w:after="60" w:line="290"/>
      </w:pPr>
      <w:r>
        <w:rPr>
          <w:rFonts w:ascii="Consolas" w:cs="Consolas" w:eastAsia="Consolas" w:hAnsi="Consolas"/>
          <w:b/>
          <w:bCs/>
          <w:color w:val="0C5C8F"/>
        </w:rPr>
        <w:t xml:space="preserve">MOD-NS-001</w:t>
      </w:r>
      <w:r>
        <w:t xml:space="preserve"> 10 ml 大容量连续浓缩模块 —— 真空 + 离心 + 45–50 ℃ 热风浓缩蒸干至 10 mL 西林瓶（占 2 模组位）</w:t>
      </w:r>
    </w:p>
    <w:p>
      <w:pPr>
        <w:pStyle w:val="ListParagraph"/>
        <w:numPr>
          <w:ilvl w:val="0"/>
          <w:numId w:val="2"/>
        </w:numPr>
        <w:spacing w:after="60" w:line="290"/>
      </w:pPr>
      <w:r>
        <w:t xml:space="preserve">配套托盘：10 ml 西林瓶托盘（浓缩接收，28 位/盘）</w:t>
      </w:r>
    </w:p>
    <w:p>
      <w:pPr>
        <w:pStyle w:val="Heading3"/>
        <w:spacing w:after="100" w:before="180"/>
      </w:pPr>
      <w:r>
        <w:t xml:space="preserve">平台功能说明</w:t>
      </w:r>
    </w:p>
    <w:p>
      <w:pPr>
        <w:spacing w:after="120" w:before="0" w:line="300"/>
      </w:pPr>
      <w:r>
        <w:t xml:space="preserve">洗脱液 10 mL → </w:t>
      </w:r>
      <w:r>
        <w:rPr>
          <w:rFonts w:ascii="Consolas" w:cs="Consolas" w:eastAsia="Consolas" w:hAnsi="Consolas"/>
          <w:b/>
          <w:bCs/>
          <w:color w:val="0C5C8F"/>
        </w:rPr>
        <w:t xml:space="preserve">NS-001</w:t>
      </w:r>
      <w:r>
        <w:t xml:space="preserve"> 真空 −95 kPa + 离心贴壁 + 45–50 ℃ 热风浓缩蒸干至近干，红外测温 + 流量 / 温度 / 真空度曲线判断终点，控温防热敏物分解、规避目标物挥发损失（回应挑战-5）→ 转 WS6 复溶。</w:t>
      </w:r>
    </w:p>
    <w:p>
      <w:pPr>
        <w:spacing w:after="120" w:before="0" w:line="300"/>
      </w:pPr>
      <w:r>
        <w:rPr>
          <w:b/>
          <w:bCs/>
          <w:color w:val="9A5A08"/>
        </w:rPr>
        <w:t xml:space="preserve">耗时取值：MOD-NS-001 卡片 cycle_time_sec 为空，按标准「45 ℃ 氮气吹干」工程估算 1800 s（30 min），非卡片实测值，最终以现场 URS 测试为准（见附录 B）。</w:t>
      </w:r>
    </w:p>
    <w:p>
      <w:pPr>
        <w:pStyle w:val="Heading3"/>
        <w:spacing w:after="100" w:before="180"/>
      </w:pPr>
      <w:r>
        <w:t xml:space="preserve">关键技术指标表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5160"/>
        <w:gridCol w:w="700"/>
      </w:tblGrid>
      <w:tr>
        <w:trPr>
          <w:tblHeader/>
        </w:trPr>
        <w:tc>
          <w:tcPr>
            <w:tcW w:type="dxa" w:w="13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模组 ID</w:t>
            </w:r>
          </w:p>
        </w:tc>
        <w:tc>
          <w:tcPr>
            <w:tcW w:type="dxa" w:w="22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设备名称</w:t>
            </w:r>
          </w:p>
        </w:tc>
        <w:tc>
          <w:tcPr>
            <w:tcW w:type="dxa" w:w="516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关键系统指标（数值 + 单位 + 精度）</w:t>
            </w:r>
          </w:p>
        </w:tc>
        <w:tc>
          <w:tcPr>
            <w:tcW w:type="dxa" w:w="7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通讯</w:t>
            </w:r>
          </w:p>
        </w:tc>
      </w:tr>
      <w:tr>
        <w:tc>
          <w:tcPr>
            <w:tcW w:type="dxa" w:w="1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[object Object]</w:t>
            </w:r>
          </w:p>
        </w:tc>
        <w:tc>
          <w:tcPr>
            <w:tcW w:type="dxa" w:w="22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10 ml 大容量连续浓缩模块</w:t>
            </w:r>
          </w:p>
        </w:tc>
        <w:tc>
          <w:tcPr>
            <w:tcW w:type="dxa" w:w="51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蒸干至 10 mL 西林瓶（兼容 50/100/200 mL 尖 / 圆底瓶）；真空 −95 kPa；离心 5000–8000 rpm；控温 45–50 ℃（红外测温 + 曲线判终点）；正压 1–4 bar；单循环工程估算 1800 s；48 V / 0.38 kVA；需真空泵 + 空压机</w:t>
            </w:r>
          </w:p>
        </w:tc>
        <w:tc>
          <w:tcPr>
            <w:tcW w:type="dxa" w:w="7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PLC/
MODBUS TCP</w:t>
            </w:r>
          </w:p>
        </w:tc>
      </w:tr>
    </w:tbl>
    <w:p>
      <w:pPr>
        <w:pStyle w:val="Heading2"/>
        <w:spacing w:after="120" w:before="240"/>
      </w:pPr>
      <w:r>
        <w:t xml:space="preserve">4.6 复溶 · 离心 · 过滤平台（WS-VETDRUG-Reconst-CDSJY-06）</w:t>
      </w:r>
    </w:p>
    <w:p>
      <w:pPr>
        <w:spacing w:after="120" w:before="0" w:line="300"/>
      </w:pPr>
      <w:r>
        <w:rPr>
          <w:i/>
          <w:iCs/>
          <w:color w:val="5B6B7E"/>
          <w:sz w:val="18"/>
          <w:szCs w:val="18"/>
        </w:rPr>
        <w:t xml:space="preserve">平台 PLT-1200 · 覆盖 §8.2 复溶 → 离心 → 过滤 · 模块位 5/6 · 平台处理耗时 1100 s</w:t>
      </w:r>
    </w:p>
    <w:p>
      <w:pPr>
        <w:pStyle w:val="Heading3"/>
        <w:spacing w:after="100" w:before="180"/>
      </w:pPr>
      <w:r>
        <w:t xml:space="preserve">平台组成</w:t>
      </w:r>
    </w:p>
    <w:p>
      <w:pPr>
        <w:pStyle w:val="ListParagraph"/>
        <w:numPr>
          <w:ilvl w:val="0"/>
          <w:numId w:val="2"/>
        </w:numPr>
        <w:spacing w:after="60" w:line="290"/>
      </w:pPr>
      <w:r>
        <w:rPr>
          <w:rFonts w:ascii="Consolas" w:cs="Consolas" w:eastAsia="Consolas" w:hAnsi="Consolas"/>
          <w:b/>
          <w:bCs/>
          <w:color w:val="0C5C8F"/>
        </w:rPr>
        <w:t xml:space="preserve">MOD-HY-001</w:t>
      </w:r>
      <w:r>
        <w:t xml:space="preserve"> 10 ml 西林瓶加液混匀模块 —— 复溶液 1.0 mL 精密加注 + 涡旋溶解（占 1 模组位）</w:t>
      </w:r>
    </w:p>
    <w:p>
      <w:pPr>
        <w:pStyle w:val="ListParagraph"/>
        <w:numPr>
          <w:ilvl w:val="0"/>
          <w:numId w:val="2"/>
        </w:numPr>
        <w:spacing w:after="60" w:line="290"/>
      </w:pPr>
      <w:r>
        <w:rPr>
          <w:rFonts w:ascii="Consolas" w:cs="Consolas" w:eastAsia="Consolas" w:hAnsi="Consolas"/>
          <w:b/>
          <w:bCs/>
          <w:color w:val="0C5C8F"/>
        </w:rPr>
        <w:t xml:space="preserve">MOD-LX-001</w:t>
      </w:r>
      <w:r>
        <w:t xml:space="preserve"> 50 ml×4 孔位高速离心机模块 —— 复溶液澄清高速离心 5 min（占 3 模组位）</w:t>
      </w:r>
    </w:p>
    <w:p>
      <w:pPr>
        <w:pStyle w:val="ListParagraph"/>
        <w:numPr>
          <w:ilvl w:val="0"/>
          <w:numId w:val="2"/>
        </w:numPr>
        <w:spacing w:after="60" w:line="290"/>
      </w:pPr>
      <w:r>
        <w:rPr>
          <w:rFonts w:ascii="Consolas" w:cs="Consolas" w:eastAsia="Consolas" w:hAnsi="Consolas"/>
          <w:b/>
          <w:bCs/>
          <w:color w:val="0C5C8F"/>
        </w:rPr>
        <w:t xml:space="preserve">MOD-GL-002</w:t>
      </w:r>
      <w:r>
        <w:t xml:space="preserve"> 5cc 针式过滤模块 —— 0.22 µm 针式过滤至进样小瓶（占 1 模组位）</w:t>
      </w:r>
    </w:p>
    <w:p>
      <w:pPr>
        <w:pStyle w:val="ListParagraph"/>
        <w:numPr>
          <w:ilvl w:val="0"/>
          <w:numId w:val="2"/>
        </w:numPr>
        <w:spacing w:after="60" w:line="290"/>
      </w:pPr>
      <w:r>
        <w:t xml:space="preserve">配套托盘：10 ml 西林瓶托盘（复溶）、15 ml 离心管托盘（离心 32 位/盘）、13 mm 过滤器托盘（40 位/盘）+ 2 ml 进样小瓶托盘</w:t>
      </w:r>
    </w:p>
    <w:p>
      <w:pPr>
        <w:pStyle w:val="Heading3"/>
        <w:spacing w:after="100" w:before="180"/>
      </w:pPr>
      <w:r>
        <w:t xml:space="preserve">平台功能说明</w:t>
      </w:r>
    </w:p>
    <w:p>
      <w:pPr>
        <w:spacing w:after="120" w:before="0" w:line="300"/>
      </w:pPr>
      <w:r>
        <w:rPr>
          <w:rFonts w:ascii="Consolas" w:cs="Consolas" w:eastAsia="Consolas" w:hAnsi="Consolas"/>
          <w:b/>
          <w:bCs/>
          <w:color w:val="0C5C8F"/>
        </w:rPr>
        <w:t xml:space="preserve">HY-001</w:t>
      </w:r>
      <w:r>
        <w:t xml:space="preserve"> 加复溶液 1.0 mL 涡旋溶解 → </w:t>
      </w:r>
      <w:r>
        <w:rPr>
          <w:rFonts w:ascii="Consolas" w:cs="Consolas" w:eastAsia="Consolas" w:hAnsi="Consolas"/>
          <w:b/>
          <w:bCs/>
          <w:color w:val="0C5C8F"/>
        </w:rPr>
        <w:t xml:space="preserve">LX-001</w:t>
      </w:r>
      <w:r>
        <w:t xml:space="preserve"> 高速离心 → </w:t>
      </w:r>
      <w:r>
        <w:rPr>
          <w:rFonts w:ascii="Consolas" w:cs="Consolas" w:eastAsia="Consolas" w:hAnsi="Consolas"/>
          <w:b/>
          <w:bCs/>
          <w:color w:val="0C5C8F"/>
        </w:rPr>
        <w:t xml:space="preserve">GL-002</w:t>
      </w:r>
      <w:r>
        <w:t xml:space="preserve"> 0.22 µm 过滤至进样小瓶 → LC-MS/MS。</w:t>
      </w:r>
    </w:p>
    <w:p>
      <w:pPr>
        <w:spacing w:after="120" w:before="0" w:line="300"/>
      </w:pPr>
      <w:r>
        <w:rPr>
          <w:b/>
          <w:bCs/>
          <w:color w:val="9A5A08"/>
        </w:rPr>
        <w:t xml:space="preserve">偏差提示：标准复溶离心 14000 r/min，MOD-LX-001 ≤8000 rpm，详见附录 B。</w:t>
      </w:r>
    </w:p>
    <w:p>
      <w:pPr>
        <w:pStyle w:val="Heading3"/>
        <w:spacing w:after="100" w:before="180"/>
      </w:pPr>
      <w:r>
        <w:t xml:space="preserve">关键技术指标表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5160"/>
        <w:gridCol w:w="700"/>
      </w:tblGrid>
      <w:tr>
        <w:trPr>
          <w:tblHeader/>
        </w:trPr>
        <w:tc>
          <w:tcPr>
            <w:tcW w:type="dxa" w:w="13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模组 ID</w:t>
            </w:r>
          </w:p>
        </w:tc>
        <w:tc>
          <w:tcPr>
            <w:tcW w:type="dxa" w:w="22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设备名称</w:t>
            </w:r>
          </w:p>
        </w:tc>
        <w:tc>
          <w:tcPr>
            <w:tcW w:type="dxa" w:w="516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关键系统指标（数值 + 单位 + 精度）</w:t>
            </w:r>
          </w:p>
        </w:tc>
        <w:tc>
          <w:tcPr>
            <w:tcW w:type="dxa" w:w="7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通讯</w:t>
            </w:r>
          </w:p>
        </w:tc>
      </w:tr>
      <w:tr>
        <w:tc>
          <w:tcPr>
            <w:tcW w:type="dxa" w:w="1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[object Object]</w:t>
            </w:r>
          </w:p>
        </w:tc>
        <w:tc>
          <w:tcPr>
            <w:tcW w:type="dxa" w:w="22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10 ml 西林瓶加液混匀模块</w:t>
            </w:r>
          </w:p>
        </w:tc>
        <w:tc>
          <w:tcPr>
            <w:tcW w:type="dxa" w:w="51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容量 1–10 mL（灌装 ≤8.5 mL）；加液绝对 ±1%、重复 ±0.5%；混匀 0–3000 rpm；正压 1–4 bar；单循环 100 s；24 V / 0.13 kVA</w:t>
            </w:r>
          </w:p>
        </w:tc>
        <w:tc>
          <w:tcPr>
            <w:tcW w:type="dxa" w:w="7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PLC/
MODBUS TCP</w:t>
            </w:r>
          </w:p>
        </w:tc>
      </w:tr>
      <w:tr>
        <w:tc>
          <w:tcPr>
            <w:tcW w:type="dxa" w:w="13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[object Object]</w:t>
            </w:r>
          </w:p>
        </w:tc>
        <w:tc>
          <w:tcPr>
            <w:tcW w:type="dxa" w:w="22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50 ml×4 孔位高速离心机（带 XYZ）</w:t>
            </w:r>
          </w:p>
        </w:tc>
        <w:tc>
          <w:tcPr>
            <w:tcW w:type="dxa" w:w="51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转速 1–8000 rpm；控温 2–7 ℃；真空 −80 kPa；单循环 0–300 s（同 §4.3）</w:t>
            </w:r>
          </w:p>
        </w:tc>
        <w:tc>
          <w:tcPr>
            <w:tcW w:type="dxa" w:w="7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PLC/
MODBUS TCP</w:t>
            </w:r>
          </w:p>
        </w:tc>
      </w:tr>
      <w:tr>
        <w:tc>
          <w:tcPr>
            <w:tcW w:type="dxa" w:w="1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[object Object]</w:t>
            </w:r>
          </w:p>
        </w:tc>
        <w:tc>
          <w:tcPr>
            <w:tcW w:type="dxa" w:w="22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5cc 针式过滤模块</w:t>
            </w:r>
          </w:p>
        </w:tc>
        <w:tc>
          <w:tcPr>
            <w:tcW w:type="dxa" w:w="51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样品 1–5 mL；13 mm 针式过滤器（适配 0.22 µm 尼龙膜）；含预过滤 / 洗针 / 空吹；单循环 520 s；24 V / 0.132 kVA；需压缩空气</w:t>
            </w:r>
          </w:p>
        </w:tc>
        <w:tc>
          <w:tcPr>
            <w:tcW w:type="dxa" w:w="7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PLC/
MODBUS TCP</w:t>
            </w:r>
          </w:p>
        </w:tc>
      </w:tr>
    </w:tbl>
    <w:p>
      <w:pPr>
        <w:pStyle w:val="Heading2"/>
        <w:spacing w:after="120" w:before="240"/>
      </w:pPr>
      <w:r>
        <w:t xml:space="preserve">4.7 方案二附加平台（GB/T 21981 激素 · 差异工序）</w:t>
      </w:r>
    </w:p>
    <w:p>
      <w:pPr>
        <w:spacing w:after="120" w:before="0" w:line="300"/>
      </w:pPr>
      <w:r>
        <w:t xml:space="preserve">方案二在共用上述提取 / 浓缩 / 过滤模组基础上，增加恒温酶解与双柱串接净化两类差异工序，所用模组仍取自已确认清单（恒温酶解 </w:t>
      </w:r>
      <w:r>
        <w:rPr>
          <w:rFonts w:ascii="Consolas" w:cs="Consolas" w:eastAsia="Consolas" w:hAnsi="Consolas"/>
          <w:b/>
          <w:bCs/>
          <w:color w:val="0C5C8F"/>
        </w:rPr>
        <w:t xml:space="preserve">MOD-FY-002</w:t>
      </w:r>
      <w:r>
        <w:t xml:space="preserve">、加水混匀 </w:t>
      </w:r>
      <w:r>
        <w:rPr>
          <w:rFonts w:ascii="Consolas" w:cs="Consolas" w:eastAsia="Consolas" w:hAnsi="Consolas"/>
          <w:b/>
          <w:bCs/>
          <w:color w:val="0C5C8F"/>
        </w:rPr>
        <w:t xml:space="preserve">MOD-JY-017</w:t>
      </w:r>
      <w:r>
        <w:t xml:space="preserve">、加内标 </w:t>
      </w:r>
      <w:r>
        <w:rPr>
          <w:rFonts w:ascii="Consolas" w:cs="Consolas" w:eastAsia="Consolas" w:hAnsi="Consolas"/>
          <w:b/>
          <w:bCs/>
          <w:color w:val="0C5C8F"/>
        </w:rPr>
        <w:t xml:space="preserve">MOD-DR-003</w:t>
      </w:r>
      <w:r>
        <w:t xml:space="preserve">）；双柱串接 SPE 构成模组缺口，按指令 §5.3 新建 URS（见附录 C），</w:t>
      </w:r>
      <w:r>
        <w:rPr>
          <w:b/>
          <w:bCs/>
        </w:rPr>
        <w:t xml:space="preserve">不以清单外模组替代</w:t>
      </w:r>
      <w:r>
        <w:t xml:space="preserve">。</w:t>
      </w:r>
    </w:p>
    <w:p>
      <w:pPr>
        <w:pStyle w:val="Heading3"/>
        <w:spacing w:after="100" w:before="180"/>
      </w:pPr>
      <w:r>
        <w:t xml:space="preserve">关键技术指标表（方案二附加模组）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5160"/>
        <w:gridCol w:w="700"/>
      </w:tblGrid>
      <w:tr>
        <w:trPr>
          <w:tblHeader/>
        </w:trPr>
        <w:tc>
          <w:tcPr>
            <w:tcW w:type="dxa" w:w="13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模组 ID</w:t>
            </w:r>
          </w:p>
        </w:tc>
        <w:tc>
          <w:tcPr>
            <w:tcW w:type="dxa" w:w="22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设备名称</w:t>
            </w:r>
          </w:p>
        </w:tc>
        <w:tc>
          <w:tcPr>
            <w:tcW w:type="dxa" w:w="516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关键系统指标（数值 + 单位 + 精度）</w:t>
            </w:r>
          </w:p>
        </w:tc>
        <w:tc>
          <w:tcPr>
            <w:tcW w:type="dxa" w:w="7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通讯</w:t>
            </w:r>
          </w:p>
        </w:tc>
      </w:tr>
      <w:tr>
        <w:tc>
          <w:tcPr>
            <w:tcW w:type="dxa" w:w="1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[object Object]</w:t>
            </w:r>
          </w:p>
        </w:tc>
        <w:tc>
          <w:tcPr>
            <w:tcW w:type="dxa" w:w="22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5 ml 离心管恒温振摇反应模块</w:t>
            </w:r>
          </w:p>
        </w:tc>
        <w:tc>
          <w:tcPr>
            <w:tcW w:type="dxa" w:w="51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24 孔位并行；控温 25–90 ℃（卡片正文标注精度 ±3 ℃）；平摇 0–300 rpm；遮光盖避光；单循环 3600 s（酶解按标准 12 h 离线批处理）；220 V / 0.564 kVA；发热</w:t>
            </w:r>
          </w:p>
        </w:tc>
        <w:tc>
          <w:tcPr>
            <w:tcW w:type="dxa" w:w="7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PLC/
MODBUS TCP</w:t>
            </w:r>
          </w:p>
        </w:tc>
      </w:tr>
      <w:tr>
        <w:tc>
          <w:tcPr>
            <w:tcW w:type="dxa" w:w="13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[object Object]</w:t>
            </w:r>
          </w:p>
        </w:tc>
        <w:tc>
          <w:tcPr>
            <w:tcW w:type="dxa" w:w="22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125 ml PP 瓶拆盖正压加液混匀模块</w:t>
            </w:r>
          </w:p>
        </w:tc>
        <w:tc>
          <w:tcPr>
            <w:tcW w:type="dxa" w:w="51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容量 1–100 mL（单次加液 ≤50 mL）；混匀 0–1000 rpm；加液绝对 ±5%、重复 ±0.5%；含拆 / 装盖、15° 倾斜移液；单循环 70 s；24 V / 0.24 kVA</w:t>
            </w:r>
          </w:p>
        </w:tc>
        <w:tc>
          <w:tcPr>
            <w:tcW w:type="dxa" w:w="7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PLC/
MODBUS TCP</w:t>
            </w:r>
          </w:p>
        </w:tc>
      </w:tr>
      <w:tr>
        <w:tc>
          <w:tcPr>
            <w:tcW w:type="dxa" w:w="1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[object Object]</w:t>
            </w:r>
          </w:p>
        </w:tc>
        <w:tc>
          <w:tcPr>
            <w:tcW w:type="dxa" w:w="22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串接双柱 SPE 净化模块（新建 · URS）</w:t>
            </w:r>
          </w:p>
        </w:tc>
        <w:tc>
          <w:tcPr>
            <w:tcW w:type="dxa" w:w="51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ENVI-Carb 500 mg/6 mL 串接氨基柱 500 mg/6 mL；上样流速 2–3 mL/min（闭环 ±5%）；上样体积 1–150 mL；洗脱计量 ≤±2%；抽干 ≤−80 kPa；单循环估算 3000 s + 上下料 60 s</w:t>
            </w:r>
          </w:p>
        </w:tc>
        <w:tc>
          <w:tcPr>
            <w:tcW w:type="dxa" w:w="7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MODBUS
TCP</w:t>
            </w:r>
          </w:p>
        </w:tc>
      </w:tr>
    </w:tbl>
    <w:p>
      <w:pPr>
        <w:pStyle w:val="Heading2"/>
        <w:spacing w:after="120" w:before="240"/>
      </w:pPr>
      <w:r>
        <w:t xml:space="preserve">4.8 各模块参数核对清单（指令 §4.2 对照）</w:t>
      </w:r>
    </w:p>
    <w:p>
      <w:pPr>
        <w:spacing w:after="120" w:before="0" w:line="300"/>
      </w:pPr>
      <w:r>
        <w:t xml:space="preserve">下表逐项核对模板 §4.2 要求覆盖的参数项是否已量化给出，并标注本项目已确认清单的覆盖与缺口情况：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参数项类别</w:t>
            </w:r>
          </w:p>
        </w:tc>
        <w:tc>
          <w:tcPr>
            <w:tcW w:type="dxa" w:w="596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本方案覆盖情况</w:t>
            </w:r>
          </w:p>
        </w:tc>
      </w:tr>
      <w:tr>
        <w:tc>
          <w:tcPr>
            <w:tcW w:type="dxa" w:w="34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移液模块（精度 / 量程 / 安全检测）</w:t>
            </w:r>
          </w:p>
        </w:tc>
        <w:tc>
          <w:tcPr>
            <w:tcW w:type="dxa" w:w="59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 MOD-DR-003：±0.6%/≤0.2%、0.25–1 mL、自动洗针防交叉污染</w:t>
            </w:r>
          </w:p>
        </w:tc>
      </w:tr>
      <w:tr>
        <w:tc>
          <w:tcPr>
            <w:tcW w:type="dxa" w:w="34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加液涡旋模块（体积 / 精度 / 转速 / 时长）</w:t>
            </w:r>
          </w:p>
        </w:tc>
        <w:tc>
          <w:tcPr>
            <w:tcW w:type="dxa" w:w="59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 MOD-WX-006：1–50 mL、±1%/±0.5%、1–3000 rpm、含拆合盖</w:t>
            </w:r>
          </w:p>
        </w:tc>
      </w:tr>
      <w:tr>
        <w:tc>
          <w:tcPr>
            <w:tcW w:type="dxa" w:w="34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均质模块（频率 / 时长）</w:t>
            </w:r>
          </w:p>
        </w:tc>
        <w:tc>
          <w:tcPr>
            <w:tcW w:type="dxa" w:w="59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 MOD-JZ-002：1000–30000 rpm、60 s</w:t>
            </w:r>
          </w:p>
        </w:tc>
      </w:tr>
      <w:tr>
        <w:tc>
          <w:tcPr>
            <w:tcW w:type="dxa" w:w="34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振荡 / 恒温反应模块（温度 / 频率 / 时长）</w:t>
            </w:r>
          </w:p>
        </w:tc>
        <w:tc>
          <w:tcPr>
            <w:tcW w:type="dxa" w:w="59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 MOD-FY-002：25–90 ℃、0–300 rpm、24 孔位</w:t>
            </w:r>
          </w:p>
        </w:tc>
      </w:tr>
      <w:tr>
        <w:tc>
          <w:tcPr>
            <w:tcW w:type="dxa" w:w="34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离心模块（转速 / 温控 / 兼容管型 / 不平衡）</w:t>
            </w:r>
          </w:p>
        </w:tc>
        <w:tc>
          <w:tcPr>
            <w:tcW w:type="dxa" w:w="59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 MOD-LX-001：≤8000 rpm、2–7 ℃、50 mL×4、上料需均衡（防不平衡）</w:t>
            </w:r>
          </w:p>
        </w:tc>
      </w:tr>
      <w:tr>
        <w:tc>
          <w:tcPr>
            <w:tcW w:type="dxa" w:w="34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SPE 模块（流速 / 体积 / 柱兼容 / 八步可编程）</w:t>
            </w:r>
          </w:p>
        </w:tc>
        <w:tc>
          <w:tcPr>
            <w:tcW w:type="dxa" w:w="59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 MOD-SPE-004：0.1–15 mL/min、1–50 mL、6cc HLB、可编程</w:t>
            </w:r>
          </w:p>
        </w:tc>
      </w:tr>
      <w:tr>
        <w:tc>
          <w:tcPr>
            <w:tcW w:type="dxa" w:w="34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浓缩模块（转速 / 温度 / 控温精度）</w:t>
            </w:r>
          </w:p>
        </w:tc>
        <w:tc>
          <w:tcPr>
            <w:tcW w:type="dxa" w:w="59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 MOD-NS-001：5000–8000 rpm、45–50 ℃、真空 −95 kPa（耗时工程估算）</w:t>
            </w:r>
          </w:p>
        </w:tc>
      </w:tr>
      <w:tr>
        <w:tc>
          <w:tcPr>
            <w:tcW w:type="dxa" w:w="34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过滤模块（孔径 / 体积 / 压力）</w:t>
            </w:r>
          </w:p>
        </w:tc>
        <w:tc>
          <w:tcPr>
            <w:tcW w:type="dxa" w:w="59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 MOD-GL-002：13 mm / 0.22 µm、1–5 mL</w:t>
            </w:r>
          </w:p>
        </w:tc>
      </w:tr>
      <w:tr>
        <w:tc>
          <w:tcPr>
            <w:tcW w:type="dxa" w:w="34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拆 / 封盖模块（容器 / 时间）</w:t>
            </w:r>
          </w:p>
        </w:tc>
        <w:tc>
          <w:tcPr>
            <w:tcW w:type="dxa" w:w="59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 集成于 MOD-WX-006 / MOD-JY-017（拆合盖一体）</w:t>
            </w:r>
          </w:p>
        </w:tc>
      </w:tr>
      <w:tr>
        <w:tc>
          <w:tcPr>
            <w:tcW w:type="dxa" w:w="34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搬运 / 机械臂、电动夹爪、扫码识别、智能仓库、恒温衍生、低温暂存</w:t>
            </w:r>
          </w:p>
        </w:tc>
        <w:tc>
          <w:tcPr>
            <w:tcW w:type="dxa" w:w="59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 按需：平台 XYZ 机械臂自带搬运 / 夹持；扫码识别、智能仓库、低温暂存为可选扩展（11 模块清单内无独立卡片，见 §4.9 裁剪说明）</w:t>
            </w:r>
          </w:p>
        </w:tc>
      </w:tr>
      <w:tr>
        <w:tc>
          <w:tcPr>
            <w:tcW w:type="dxa" w:w="34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称量模块</w:t>
            </w:r>
          </w:p>
        </w:tc>
        <w:tc>
          <w:tcPr>
            <w:tcW w:type="dxa" w:w="59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 缺口：清单内无称量模组，1 g 试样按行业惯例人工称样（见附录 B）</w:t>
            </w:r>
          </w:p>
        </w:tc>
      </w:tr>
    </w:tbl>
    <w:p>
      <w:pPr>
        <w:pStyle w:val="Heading2"/>
        <w:spacing w:after="120" w:before="240"/>
      </w:pPr>
      <w:r>
        <w:t xml:space="preserve">4.9 辅助 / 可选设备与裁剪说明（○ 按需）</w:t>
      </w:r>
    </w:p>
    <w:p>
      <w:pPr>
        <w:pStyle w:val="ListParagraph"/>
        <w:numPr>
          <w:ilvl w:val="0"/>
          <w:numId w:val="2"/>
        </w:numPr>
        <w:spacing w:after="60" w:line="290"/>
      </w:pPr>
      <w:r>
        <w:rPr>
          <w:b/>
          <w:bCs/>
        </w:rPr>
        <w:t xml:space="preserve">纯水制备系统：</w:t>
      </w:r>
      <w:r>
        <w:t xml:space="preserve">○ 按需 —— 供一级纯水（GB/T 6682），产水能力按峰值用水核定；报价请联系销售团队。</w:t>
      </w:r>
    </w:p>
    <w:p>
      <w:pPr>
        <w:pStyle w:val="ListParagraph"/>
        <w:numPr>
          <w:ilvl w:val="0"/>
          <w:numId w:val="2"/>
        </w:numPr>
        <w:spacing w:after="60" w:line="290"/>
      </w:pPr>
      <w:r>
        <w:rPr>
          <w:b/>
          <w:bCs/>
        </w:rPr>
        <w:t xml:space="preserve">UPS：</w:t>
      </w:r>
      <w:r>
        <w:t xml:space="preserve">○ 按需 —— 建议 3 kVA 在线式，续航覆盖安全停机；报价请联系销售团队。</w:t>
      </w:r>
    </w:p>
    <w:p>
      <w:pPr>
        <w:pStyle w:val="ListParagraph"/>
        <w:numPr>
          <w:ilvl w:val="0"/>
          <w:numId w:val="2"/>
        </w:numPr>
        <w:spacing w:after="60" w:line="290"/>
      </w:pPr>
      <w:r>
        <w:rPr>
          <w:b/>
          <w:bCs/>
        </w:rPr>
        <w:t xml:space="preserve">智能仓库 / 扫码识别 / 低温暂存 / 恒温衍生：</w:t>
      </w:r>
      <w:r>
        <w:t xml:space="preserve">○ 按需裁剪 —— 本期 11 个已确认模块清单内无对应独立模块卡，故本版不展开三要素；如客户确认纳入，将另行补充选型与 URS。硝基呋喃衍生工序可由 MOD-FY-002 恒温反应承接。</w:t>
      </w:r>
    </w:p>
    <w:p>
      <w:pPr>
        <w:pStyle w:val="ListParagraph"/>
        <w:numPr>
          <w:ilvl w:val="0"/>
          <w:numId w:val="2"/>
        </w:numPr>
        <w:spacing w:after="60" w:line="290"/>
      </w:pPr>
      <w:r>
        <w:rPr>
          <w:b/>
          <w:bCs/>
        </w:rPr>
        <w:t xml:space="preserve">称量单元：</w:t>
      </w:r>
      <w:r>
        <w:t xml:space="preserve">○ 按需 —— 如需全自动称量须外接称量模块；本期人工称样。</w:t>
      </w:r>
    </w:p>
    <w:p>
      <w:r>
        <w:br w:type="page"/>
      </w:r>
    </w:p>
    <w:p>
      <w:pPr>
        <w:pStyle w:val="Heading1"/>
        <w:spacing w:after="160" w:before="320"/>
      </w:pPr>
      <w:r>
        <w:t xml:space="preserve">5  软件系统详细设计</w:t>
      </w:r>
    </w:p>
    <w:p>
      <w:pPr>
        <w:spacing w:after="120" w:before="0" w:line="300"/>
      </w:pPr>
      <w:r>
        <w:t xml:space="preserve">软件层为 SmartLabOS 智慧实验室软件，由中央控制系统与数字孪生 / 可视化系统两大子系统构成，对应客户需求 3.6「智慧实验室软件」。</w:t>
      </w:r>
    </w:p>
    <w:p>
      <w:pPr>
        <w:pStyle w:val="Heading2"/>
        <w:spacing w:after="120" w:before="240"/>
      </w:pPr>
      <w:r>
        <w:t xml:space="preserve">5.1 中央控制系统</w:t>
      </w:r>
    </w:p>
    <w:p>
      <w:pPr>
        <w:pStyle w:val="Heading3"/>
        <w:spacing w:after="100" w:before="180"/>
      </w:pPr>
      <w:r>
        <w:t xml:space="preserve">5.1.1 技术架构</w:t>
      </w:r>
    </w:p>
    <w:p>
      <w:pPr>
        <w:pStyle w:val="ListParagraph"/>
        <w:numPr>
          <w:ilvl w:val="0"/>
          <w:numId w:val="2"/>
        </w:numPr>
        <w:spacing w:after="60" w:line="290"/>
      </w:pPr>
      <w:r>
        <w:rPr>
          <w:b/>
          <w:bCs/>
        </w:rPr>
        <w:t xml:space="preserve">分层架构：</w:t>
      </w:r>
      <w:r>
        <w:t xml:space="preserve">设备层（PLC / 模组）→ 控制层（平台调度）→ 业务层（流程 / 样品 / 仓储）→ 展示层（B/S 大屏 / 客户端）四层。</w:t>
      </w:r>
    </w:p>
    <w:p>
      <w:pPr>
        <w:pStyle w:val="ListParagraph"/>
        <w:numPr>
          <w:ilvl w:val="0"/>
          <w:numId w:val="2"/>
        </w:numPr>
        <w:spacing w:after="60" w:line="290"/>
      </w:pPr>
      <w:r>
        <w:rPr>
          <w:b/>
          <w:bCs/>
        </w:rPr>
        <w:t xml:space="preserve">部署方式：</w:t>
      </w:r>
      <w:r>
        <w:t xml:space="preserve">B/S 架构，服务端集中部署（本地服务器 / 私有云），浏览器免安装访问；设备侧经工业以太网 + MODBUS TCP 接入。</w:t>
      </w:r>
    </w:p>
    <w:p>
      <w:pPr>
        <w:pStyle w:val="ListParagraph"/>
        <w:numPr>
          <w:ilvl w:val="0"/>
          <w:numId w:val="2"/>
        </w:numPr>
        <w:spacing w:after="60" w:line="290"/>
      </w:pPr>
      <w:r>
        <w:rPr>
          <w:b/>
          <w:bCs/>
        </w:rPr>
        <w:t xml:space="preserve">系统架构图：</w:t>
      </w:r>
      <w:r>
        <w:t xml:space="preserve">占位 → 实图（见附录 A）。</w:t>
      </w:r>
    </w:p>
    <w:p>
      <w:pPr>
        <w:pStyle w:val="Heading3"/>
        <w:spacing w:after="100" w:before="180"/>
      </w:pPr>
      <w:r>
        <w:t xml:space="preserve">5.1.2 功能模块清单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功能模块</w:t>
            </w:r>
          </w:p>
        </w:tc>
        <w:tc>
          <w:tcPr>
            <w:tcW w:type="dxa" w:w="676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核心职责</w:t>
            </w:r>
          </w:p>
        </w:tc>
      </w:tr>
      <w:tr>
        <w:tc>
          <w:tcPr>
            <w:tcW w:type="dxa" w:w="26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基础数据</w:t>
            </w:r>
          </w:p>
        </w:tc>
        <w:tc>
          <w:tcPr>
            <w:tcW w:type="dxa" w:w="67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检测标准库、实验流程库、模组 / 平台台账、容器 / 托盘字典</w:t>
            </w:r>
          </w:p>
        </w:tc>
      </w:tr>
      <w:tr>
        <w:tc>
          <w:tcPr>
            <w:tcW w:type="dxa" w:w="26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销售 / 项目管理</w:t>
            </w:r>
          </w:p>
        </w:tc>
        <w:tc>
          <w:tcPr>
            <w:tcW w:type="dxa" w:w="67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项目立项、需求登记（可选）</w:t>
            </w:r>
          </w:p>
        </w:tc>
      </w:tr>
      <w:tr>
        <w:tc>
          <w:tcPr>
            <w:tcW w:type="dxa" w:w="26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样品管理</w:t>
            </w:r>
          </w:p>
        </w:tc>
        <w:tc>
          <w:tcPr>
            <w:tcW w:type="dxa" w:w="67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样品全生命周期：采样前 / 中 / 后，申请-审批-确认-记录闭环</w:t>
            </w:r>
          </w:p>
        </w:tc>
      </w:tr>
      <w:tr>
        <w:tc>
          <w:tcPr>
            <w:tcW w:type="dxa" w:w="26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仓库管理</w:t>
            </w:r>
          </w:p>
        </w:tc>
        <w:tc>
          <w:tcPr>
            <w:tcW w:type="dxa" w:w="67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试剂耗材库存、物料调度、补料提醒</w:t>
            </w:r>
          </w:p>
        </w:tc>
      </w:tr>
      <w:tr>
        <w:tc>
          <w:tcPr>
            <w:tcW w:type="dxa" w:w="26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实验流程管理</w:t>
            </w:r>
          </w:p>
        </w:tc>
        <w:tc>
          <w:tcPr>
            <w:tcW w:type="dxa" w:w="67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标准流程模板编排、参数下发</w:t>
            </w:r>
          </w:p>
        </w:tc>
      </w:tr>
      <w:tr>
        <w:tc>
          <w:tcPr>
            <w:tcW w:type="dxa" w:w="26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实验调度</w:t>
            </w:r>
          </w:p>
        </w:tc>
        <w:tc>
          <w:tcPr>
            <w:tcW w:type="dxa" w:w="67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多工站节拍调度、并行 / 分时复用、瓶颈均衡</w:t>
            </w:r>
          </w:p>
        </w:tc>
      </w:tr>
      <w:tr>
        <w:tc>
          <w:tcPr>
            <w:tcW w:type="dxa" w:w="26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设备管理与自动化执行</w:t>
            </w:r>
          </w:p>
        </w:tc>
        <w:tc>
          <w:tcPr>
            <w:tcW w:type="dxa" w:w="67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单机执行、保养提醒、故障报警、正反向追溯</w:t>
            </w:r>
          </w:p>
        </w:tc>
      </w:tr>
      <w:tr>
        <w:tc>
          <w:tcPr>
            <w:tcW w:type="dxa" w:w="26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数字化大屏</w:t>
            </w:r>
          </w:p>
        </w:tc>
        <w:tc>
          <w:tcPr>
            <w:tcW w:type="dxa" w:w="67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产能 / 状态 / 预警实时可视化</w:t>
            </w:r>
          </w:p>
        </w:tc>
      </w:tr>
    </w:tbl>
    <w:p>
      <w:pPr>
        <w:pStyle w:val="Heading3"/>
        <w:spacing w:after="100" w:before="180"/>
      </w:pPr>
      <w:r>
        <w:t xml:space="preserve">5.1.3 自动化功能</w:t>
      </w:r>
    </w:p>
    <w:p>
      <w:pPr>
        <w:pStyle w:val="ListParagraph"/>
        <w:numPr>
          <w:ilvl w:val="0"/>
          <w:numId w:val="2"/>
        </w:numPr>
        <w:spacing w:after="60" w:line="290"/>
      </w:pPr>
      <w:r>
        <w:t xml:space="preserve">实验室调度控制：按检测标准库 / 流程库自动编排工站节拍，多模块并行与分时复用，瓶颈（浓缩 / SPE）均衡。</w:t>
      </w:r>
    </w:p>
    <w:p>
      <w:pPr>
        <w:pStyle w:val="ListParagraph"/>
        <w:numPr>
          <w:ilvl w:val="0"/>
          <w:numId w:val="2"/>
        </w:numPr>
        <w:spacing w:after="60" w:line="290"/>
      </w:pPr>
      <w:r>
        <w:t xml:space="preserve">单机设备执行：逐模组功能码下发与状态回采，自动上下料由平台 XYZ 机械臂统一执行。</w:t>
      </w:r>
    </w:p>
    <w:p>
      <w:pPr>
        <w:pStyle w:val="ListParagraph"/>
        <w:numPr>
          <w:ilvl w:val="0"/>
          <w:numId w:val="2"/>
        </w:numPr>
        <w:spacing w:after="60" w:line="290"/>
      </w:pPr>
      <w:r>
        <w:t xml:space="preserve">仓库管理与物料调度：库存监测、补料提醒、试剂耗材与样品的物流路径规划。</w:t>
      </w:r>
    </w:p>
    <w:p>
      <w:pPr>
        <w:pStyle w:val="ListParagraph"/>
        <w:numPr>
          <w:ilvl w:val="0"/>
          <w:numId w:val="2"/>
        </w:numPr>
        <w:spacing w:after="60" w:line="290"/>
      </w:pPr>
      <w:r>
        <w:t xml:space="preserve">检测标准库与实验流程库：内置 GB 31658.17 / GB/T 21981 等方法流程，参数化复用。</w:t>
      </w:r>
    </w:p>
    <w:p>
      <w:pPr>
        <w:pStyle w:val="ListParagraph"/>
        <w:numPr>
          <w:ilvl w:val="0"/>
          <w:numId w:val="2"/>
        </w:numPr>
        <w:spacing w:after="60" w:line="290"/>
      </w:pPr>
      <w:r>
        <w:t xml:space="preserve">样品全生命周期管理：采样前 / 中 / 后全程，申请-审批-确认-记录闭环，条码贯穿。</w:t>
      </w:r>
    </w:p>
    <w:p>
      <w:pPr>
        <w:pStyle w:val="ListParagraph"/>
        <w:numPr>
          <w:ilvl w:val="0"/>
          <w:numId w:val="2"/>
        </w:numPr>
        <w:spacing w:after="60" w:line="290"/>
      </w:pPr>
      <w:r>
        <w:t xml:space="preserve">设备台账与运维：保养提醒、故障报警、正向（样品→结果）与反向（结果→样品）追溯。</w:t>
      </w:r>
    </w:p>
    <w:p>
      <w:pPr>
        <w:pStyle w:val="Heading3"/>
        <w:spacing w:after="100" w:before="180"/>
      </w:pPr>
      <w:r>
        <w:t xml:space="preserve">5.1.4 数据管理功能</w:t>
      </w:r>
    </w:p>
    <w:p>
      <w:pPr>
        <w:pStyle w:val="ListParagraph"/>
        <w:numPr>
          <w:ilvl w:val="0"/>
          <w:numId w:val="2"/>
        </w:numPr>
        <w:spacing w:after="60" w:line="290"/>
      </w:pPr>
      <w:r>
        <w:t xml:space="preserve">实验数据抓取与传输：多通道实时采集、过程数据与结果数据分层存储。</w:t>
      </w:r>
    </w:p>
    <w:p>
      <w:pPr>
        <w:pStyle w:val="ListParagraph"/>
        <w:numPr>
          <w:ilvl w:val="0"/>
          <w:numId w:val="2"/>
        </w:numPr>
        <w:spacing w:after="60" w:line="290"/>
      </w:pPr>
      <w:r>
        <w:rPr>
          <w:b/>
          <w:bCs/>
        </w:rPr>
        <w:t xml:space="preserve">LIMS 双向对接：</w:t>
      </w:r>
      <w:r>
        <w:t xml:space="preserve">通过 RESTful API / HTTPS 与院内 LIMS 双向交换样品信息与检测结果（接口与数据流向见 §5.3）。</w:t>
      </w:r>
    </w:p>
    <w:p>
      <w:pPr>
        <w:pStyle w:val="ListParagraph"/>
        <w:numPr>
          <w:ilvl w:val="0"/>
          <w:numId w:val="2"/>
        </w:numPr>
        <w:spacing w:after="60" w:line="290"/>
      </w:pPr>
      <w:r>
        <w:t xml:space="preserve">通风 / 有害气体监测联动：异常触发排风 / 停机联锁。</w:t>
      </w:r>
    </w:p>
    <w:p>
      <w:pPr>
        <w:pStyle w:val="ListParagraph"/>
        <w:numPr>
          <w:ilvl w:val="0"/>
          <w:numId w:val="2"/>
        </w:numPr>
        <w:spacing w:after="60" w:line="290"/>
      </w:pPr>
      <w:r>
        <w:t xml:space="preserve">数据清洗、审查与质控校验：多通道采集校验、异常判定、标曲 R² 校验。</w:t>
      </w:r>
    </w:p>
    <w:p>
      <w:pPr>
        <w:pStyle w:val="ListParagraph"/>
        <w:numPr>
          <w:ilvl w:val="0"/>
          <w:numId w:val="2"/>
        </w:numPr>
        <w:spacing w:after="60" w:line="290"/>
      </w:pPr>
      <w:r>
        <w:t xml:space="preserve">实时存储与多维查询：按样品 / 批次 / 设备 / 时间多维检索。</w:t>
      </w:r>
    </w:p>
    <w:p>
      <w:pPr>
        <w:pStyle w:val="Heading3"/>
        <w:spacing w:after="100" w:before="180"/>
      </w:pPr>
      <w:r>
        <w:t xml:space="preserve">5.1.5 其他功能</w:t>
      </w:r>
    </w:p>
    <w:p>
      <w:pPr>
        <w:pStyle w:val="ListParagraph"/>
        <w:numPr>
          <w:ilvl w:val="0"/>
          <w:numId w:val="2"/>
        </w:numPr>
        <w:spacing w:after="60" w:line="290"/>
      </w:pPr>
      <w:r>
        <w:t xml:space="preserve">智能监测分析与预警；报表与统计（设备使用、检测次数、试剂用量、异常判定、原始记录 / 报告导出）。</w:t>
      </w:r>
    </w:p>
    <w:p>
      <w:pPr>
        <w:pStyle w:val="ListParagraph"/>
        <w:numPr>
          <w:ilvl w:val="0"/>
          <w:numId w:val="2"/>
        </w:numPr>
        <w:spacing w:after="60" w:line="290"/>
      </w:pPr>
      <w:r>
        <w:t xml:space="preserve">报告定制与一键生成（模板定制、多级审核）；数据导出 Word / Excel / PDF。</w:t>
      </w:r>
    </w:p>
    <w:p>
      <w:pPr>
        <w:pStyle w:val="ListParagraph"/>
        <w:numPr>
          <w:ilvl w:val="0"/>
          <w:numId w:val="2"/>
        </w:numPr>
        <w:spacing w:after="60" w:line="290"/>
      </w:pPr>
      <w:r>
        <w:t xml:space="preserve">角色与权限管理（分级 + 自定义角色）；报警管理（实时 / 历史、规则配置、多通道通知）。</w:t>
      </w:r>
    </w:p>
    <w:p>
      <w:pPr>
        <w:pStyle w:val="ListParagraph"/>
        <w:numPr>
          <w:ilvl w:val="0"/>
          <w:numId w:val="2"/>
        </w:numPr>
        <w:spacing w:after="60" w:line="290"/>
      </w:pPr>
      <w:r>
        <w:t xml:space="preserve">数据安全：冗余容错、传输 / 存储加密、权限隔离。</w:t>
      </w:r>
    </w:p>
    <w:p>
      <w:pPr>
        <w:pStyle w:val="Heading2"/>
        <w:spacing w:after="120" w:before="240"/>
      </w:pPr>
      <w:r>
        <w:t xml:space="preserve">5.2 数字孪生 / 可视化系统（○ 按需，高端项目建议配置）</w:t>
      </w:r>
    </w:p>
    <w:p>
      <w:pPr>
        <w:pStyle w:val="ListParagraph"/>
        <w:numPr>
          <w:ilvl w:val="0"/>
          <w:numId w:val="2"/>
        </w:numPr>
        <w:spacing w:after="60" w:line="290"/>
      </w:pPr>
      <w:r>
        <w:t xml:space="preserve">系统组成：中央控制可视化、试剂耗材管理、物流与设备运行监控（示例图占位，见附录 A）。</w:t>
      </w:r>
    </w:p>
    <w:p>
      <w:pPr>
        <w:pStyle w:val="ListParagraph"/>
        <w:numPr>
          <w:ilvl w:val="0"/>
          <w:numId w:val="2"/>
        </w:numPr>
        <w:spacing w:after="60" w:line="290"/>
      </w:pPr>
      <w:r>
        <w:t xml:space="preserve">实时数据展示与监控；实验过程可视化（视频流 / 多视角 / 录制）。</w:t>
      </w:r>
    </w:p>
    <w:p>
      <w:pPr>
        <w:pStyle w:val="ListParagraph"/>
        <w:numPr>
          <w:ilvl w:val="0"/>
          <w:numId w:val="2"/>
        </w:numPr>
        <w:spacing w:after="60" w:line="290"/>
      </w:pPr>
      <w:r>
        <w:t xml:space="preserve">数据分析与决策支持；预警与应急响应；成果展示与参观交互。</w:t>
      </w:r>
    </w:p>
    <w:p>
      <w:pPr>
        <w:pStyle w:val="Heading2"/>
        <w:spacing w:after="120" w:before="240"/>
      </w:pPr>
      <w:r>
        <w:t xml:space="preserve">5.3 软件系统技术指标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指标类别</w:t>
            </w:r>
          </w:p>
        </w:tc>
        <w:tc>
          <w:tcPr>
            <w:tcW w:type="dxa" w:w="746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具体指标</w:t>
            </w:r>
          </w:p>
        </w:tc>
      </w:tr>
      <w:tr>
        <w:tc>
          <w:tcPr>
            <w:tcW w:type="dxa" w:w="19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开放与集成</w:t>
            </w:r>
          </w:p>
        </w:tc>
        <w:tc>
          <w:tcPr>
            <w:tcW w:type="dxa" w:w="74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RESTful API + HTTPS；设备侧 MODBUS TCP；与 LIMS / 工厂信息化双向对接（样品信息下行、检测结果上行）</w:t>
            </w:r>
          </w:p>
        </w:tc>
      </w:tr>
      <w:tr>
        <w:tc>
          <w:tcPr>
            <w:tcW w:type="dxa" w:w="19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安全性</w:t>
            </w:r>
          </w:p>
        </w:tc>
        <w:tc>
          <w:tcPr>
            <w:tcW w:type="dxa" w:w="74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容错冗余、可扩充；操作日志完备；关键功能冗余切换</w:t>
            </w:r>
          </w:p>
        </w:tc>
      </w:tr>
      <w:tr>
        <w:tc>
          <w:tcPr>
            <w:tcW w:type="dxa" w:w="19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可靠性</w:t>
            </w:r>
          </w:p>
        </w:tc>
        <w:tc>
          <w:tcPr>
            <w:tcW w:type="dxa" w:w="74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成熟案例支撑；7×24 连续运行；集中-分散控制结合；年故障累计时间设上限（以合同 SLA 约定）</w:t>
            </w:r>
          </w:p>
        </w:tc>
      </w:tr>
      <w:tr>
        <w:tc>
          <w:tcPr>
            <w:tcW w:type="dxa" w:w="19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可扩展性</w:t>
            </w:r>
          </w:p>
        </w:tc>
        <w:tc>
          <w:tcPr>
            <w:tcW w:type="dxa" w:w="74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硬件在线扩容；软件免定制配置适配新流程；升级简便</w:t>
            </w:r>
          </w:p>
        </w:tc>
      </w:tr>
      <w:tr>
        <w:tc>
          <w:tcPr>
            <w:tcW w:type="dxa" w:w="19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日志记录</w:t>
            </w:r>
          </w:p>
        </w:tc>
        <w:tc>
          <w:tcPr>
            <w:tcW w:type="dxa" w:w="74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操作日志含人 / 时 / 动作 / 对象要素；保存时长可设；到期自动清理</w:t>
            </w:r>
          </w:p>
        </w:tc>
      </w:tr>
    </w:tbl>
    <w:p>
      <w:r>
        <w:br w:type="page"/>
      </w:r>
    </w:p>
    <w:p>
      <w:pPr>
        <w:pStyle w:val="Heading1"/>
        <w:spacing w:after="160" w:before="320"/>
      </w:pPr>
      <w:r>
        <w:t xml:space="preserve">6  自动化产能效率</w:t>
      </w:r>
    </w:p>
    <w:p>
      <w:pPr>
        <w:pStyle w:val="Heading2"/>
        <w:spacing w:after="120" w:before="240"/>
      </w:pPr>
      <w:r>
        <w:t xml:space="preserve">6.1 效率设计逻辑</w:t>
      </w:r>
    </w:p>
    <w:p>
      <w:pPr>
        <w:spacing w:after="120" w:before="0" w:line="300"/>
      </w:pPr>
      <w:r>
        <w:t xml:space="preserve">效率口径（§5.2）：每平台处理耗时 = Σ 该平台所载模组（功能码单循环耗时 + 上下料 60 s）；解决方案总耗时 = Σ 各平台耗时。多模块并行（超声 16 工位、SPE 2 路、离心 4 孔位）、全流程联动与节拍匹配使稳态通量远高于串行单样节拍。</w:t>
      </w:r>
    </w:p>
    <w:p>
      <w:pPr>
        <w:pStyle w:val="Heading2"/>
        <w:spacing w:after="120" w:before="240"/>
      </w:pPr>
      <w:r>
        <w:t xml:space="preserve">6.2 方案一（GB 31658.17 兽残）逐平台耗时</w:t>
      </w:r>
    </w:p>
    <w:p>
      <w:pPr>
        <w:spacing w:after="120" w:before="0" w:line="300"/>
      </w:pPr>
      <w:r>
        <w:t xml:space="preserve">样品：牛 / 羊 / 猪 / 鸡 肌肉·肝·肾，41 种目标物，自动上下料。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1500"/>
        <w:gridCol w:w="1300"/>
        <w:gridCol w:w="1160"/>
        <w:gridCol w:w="800"/>
      </w:tblGrid>
      <w:tr>
        <w:trPr>
          <w:tblHeader/>
        </w:trPr>
        <w:tc>
          <w:tcPr>
            <w:tcW w:type="dxa" w:w="23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平台 / 工作站</w:t>
            </w:r>
          </w:p>
        </w:tc>
        <w:tc>
          <w:tcPr>
            <w:tcW w:type="dxa" w:w="23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主模组</w:t>
            </w:r>
          </w:p>
        </w:tc>
        <w:tc>
          <w:tcPr>
            <w:tcW w:type="dxa" w:w="15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功能码耗时 (s)</w:t>
            </w:r>
          </w:p>
        </w:tc>
        <w:tc>
          <w:tcPr>
            <w:tcW w:type="dxa" w:w="13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上下料 (s)</w:t>
            </w:r>
          </w:p>
        </w:tc>
        <w:tc>
          <w:tcPr>
            <w:tcW w:type="dxa" w:w="116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平台耗时 (s)</w:t>
            </w:r>
          </w:p>
        </w:tc>
        <w:tc>
          <w:tcPr>
            <w:tcW w:type="dxa" w:w="8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 min</w:t>
            </w:r>
          </w:p>
        </w:tc>
      </w:tr>
      <w:tr>
        <w:tc>
          <w:tcPr>
            <w:tcW w:type="dxa" w:w="2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WS1 制样均质·加液</w:t>
            </w:r>
          </w:p>
        </w:tc>
        <w:tc>
          <w:tcPr>
            <w:tcW w:type="dxa" w:w="2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JZ-002 + WX-006</w:t>
            </w:r>
          </w:p>
        </w:tc>
        <w:tc>
          <w:tcPr>
            <w:tcW w:type="dxa" w:w="15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60 / 300</w:t>
            </w:r>
          </w:p>
        </w:tc>
        <w:tc>
          <w:tcPr>
            <w:tcW w:type="dxa" w:w="1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60 / 60</w:t>
            </w:r>
          </w:p>
        </w:tc>
        <w:tc>
          <w:tcPr>
            <w:tcW w:type="dxa" w:w="11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480</w:t>
            </w:r>
          </w:p>
        </w:tc>
        <w:tc>
          <w:tcPr>
            <w:tcW w:type="dxa" w:w="8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8.0</w:t>
            </w:r>
          </w:p>
        </w:tc>
      </w:tr>
      <w:tr>
        <w:tc>
          <w:tcPr>
            <w:tcW w:type="dxa" w:w="23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WS2 超声萃取</w:t>
            </w:r>
          </w:p>
        </w:tc>
        <w:tc>
          <w:tcPr>
            <w:tcW w:type="dxa" w:w="23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CS-004（16 工位）</w:t>
            </w:r>
          </w:p>
        </w:tc>
        <w:tc>
          <w:tcPr>
            <w:tcW w:type="dxa" w:w="15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1200</w:t>
            </w:r>
          </w:p>
        </w:tc>
        <w:tc>
          <w:tcPr>
            <w:tcW w:type="dxa" w:w="13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60</w:t>
            </w:r>
          </w:p>
        </w:tc>
        <w:tc>
          <w:tcPr>
            <w:tcW w:type="dxa" w:w="11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1260</w:t>
            </w:r>
          </w:p>
        </w:tc>
        <w:tc>
          <w:tcPr>
            <w:tcW w:type="dxa" w:w="8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21.0</w:t>
            </w:r>
          </w:p>
        </w:tc>
      </w:tr>
      <w:tr>
        <w:tc>
          <w:tcPr>
            <w:tcW w:type="dxa" w:w="2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WS3 冷冻离心·合并</w:t>
            </w:r>
          </w:p>
        </w:tc>
        <w:tc>
          <w:tcPr>
            <w:tcW w:type="dxa" w:w="2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LX-001 + DR-003</w:t>
            </w:r>
          </w:p>
        </w:tc>
        <w:tc>
          <w:tcPr>
            <w:tcW w:type="dxa" w:w="15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300 / 270</w:t>
            </w:r>
          </w:p>
        </w:tc>
        <w:tc>
          <w:tcPr>
            <w:tcW w:type="dxa" w:w="1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60 / 60</w:t>
            </w:r>
          </w:p>
        </w:tc>
        <w:tc>
          <w:tcPr>
            <w:tcW w:type="dxa" w:w="11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690</w:t>
            </w:r>
          </w:p>
        </w:tc>
        <w:tc>
          <w:tcPr>
            <w:tcW w:type="dxa" w:w="8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11.5</w:t>
            </w:r>
          </w:p>
        </w:tc>
      </w:tr>
      <w:tr>
        <w:tc>
          <w:tcPr>
            <w:tcW w:type="dxa" w:w="23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WS4 SPE 净化</w:t>
            </w:r>
          </w:p>
        </w:tc>
        <w:tc>
          <w:tcPr>
            <w:tcW w:type="dxa" w:w="23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SPE-004</w:t>
            </w:r>
          </w:p>
        </w:tc>
        <w:tc>
          <w:tcPr>
            <w:tcW w:type="dxa" w:w="15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360</w:t>
            </w:r>
          </w:p>
        </w:tc>
        <w:tc>
          <w:tcPr>
            <w:tcW w:type="dxa" w:w="13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60</w:t>
            </w:r>
          </w:p>
        </w:tc>
        <w:tc>
          <w:tcPr>
            <w:tcW w:type="dxa" w:w="11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420</w:t>
            </w:r>
          </w:p>
        </w:tc>
        <w:tc>
          <w:tcPr>
            <w:tcW w:type="dxa" w:w="8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7.0</w:t>
            </w:r>
          </w:p>
        </w:tc>
      </w:tr>
      <w:tr>
        <w:tc>
          <w:tcPr>
            <w:tcW w:type="dxa" w:w="2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WS5 浓缩蒸干 ★</w:t>
            </w:r>
          </w:p>
        </w:tc>
        <w:tc>
          <w:tcPr>
            <w:tcW w:type="dxa" w:w="2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NS-001（估算）</w:t>
            </w:r>
          </w:p>
        </w:tc>
        <w:tc>
          <w:tcPr>
            <w:tcW w:type="dxa" w:w="15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1800★</w:t>
            </w:r>
          </w:p>
        </w:tc>
        <w:tc>
          <w:tcPr>
            <w:tcW w:type="dxa" w:w="1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60</w:t>
            </w:r>
          </w:p>
        </w:tc>
        <w:tc>
          <w:tcPr>
            <w:tcW w:type="dxa" w:w="11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1860</w:t>
            </w:r>
          </w:p>
        </w:tc>
        <w:tc>
          <w:tcPr>
            <w:tcW w:type="dxa" w:w="8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31.0</w:t>
            </w:r>
          </w:p>
        </w:tc>
      </w:tr>
      <w:tr>
        <w:tc>
          <w:tcPr>
            <w:tcW w:type="dxa" w:w="23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WS6 复溶·离心·过滤</w:t>
            </w:r>
          </w:p>
        </w:tc>
        <w:tc>
          <w:tcPr>
            <w:tcW w:type="dxa" w:w="23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HY-001+LX-001+GL-002</w:t>
            </w:r>
          </w:p>
        </w:tc>
        <w:tc>
          <w:tcPr>
            <w:tcW w:type="dxa" w:w="15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100/300/520</w:t>
            </w:r>
          </w:p>
        </w:tc>
        <w:tc>
          <w:tcPr>
            <w:tcW w:type="dxa" w:w="13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60×3</w:t>
            </w:r>
          </w:p>
        </w:tc>
        <w:tc>
          <w:tcPr>
            <w:tcW w:type="dxa" w:w="11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1100</w:t>
            </w:r>
          </w:p>
        </w:tc>
        <w:tc>
          <w:tcPr>
            <w:tcW w:type="dxa" w:w="8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18.3</w:t>
            </w:r>
          </w:p>
        </w:tc>
      </w:tr>
      <w:tr>
        <w:tc>
          <w:tcPr>
            <w:tcW w:type="dxa" w:w="2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[object Object]</w:t>
            </w:r>
          </w:p>
        </w:tc>
        <w:tc>
          <w:tcPr>
            <w:tcW w:type="dxa" w:w="2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[object Object]</w:t>
            </w:r>
          </w:p>
        </w:tc>
        <w:tc>
          <w:tcPr>
            <w:tcW w:type="dxa" w:w="15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[object Object]</w:t>
            </w:r>
          </w:p>
        </w:tc>
        <w:tc>
          <w:tcPr>
            <w:tcW w:type="dxa" w:w="1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[object Object]</w:t>
            </w:r>
          </w:p>
        </w:tc>
        <w:tc>
          <w:tcPr>
            <w:tcW w:type="dxa" w:w="11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[object Object]</w:t>
            </w:r>
          </w:p>
        </w:tc>
        <w:tc>
          <w:tcPr>
            <w:tcW w:type="dxa" w:w="8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[object Object]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5C8F" w:sz="18"/>
              <w:left w:val="single" w:color="C9D6E4" w:sz="4"/>
              <w:bottom w:val="single" w:color="C9D6E4" w:sz="4"/>
              <w:right w:val="single" w:color="C9D6E4" w:sz="4"/>
            </w:tcBorders>
            <w:shd w:fill="FFF6E5" w:val="clear"/>
            <w:tcMar>
              <w:top w:type="dxa" w:w="100"/>
              <w:left w:type="dxa" w:w="160"/>
              <w:bottom w:type="dxa" w:w="100"/>
              <w:right w:type="dxa" w:w="160"/>
            </w:tcMar>
          </w:tcPr>
          <w:p>
            <w:pPr>
              <w:spacing w:after="60"/>
            </w:pPr>
            <w:r>
              <w:rPr>
                <w:b/>
                <w:bCs/>
                <w:color w:val="0F1B2D"/>
              </w:rPr>
              <w:t xml:space="preserve">取值与口径说明（★ / ※）</w:t>
            </w:r>
          </w:p>
          <w:p>
            <w:pPr>
              <w:pStyle w:val="ListParagraph"/>
              <w:numPr>
                <w:ilvl w:val="0"/>
                <w:numId w:val="2"/>
              </w:numPr>
              <w:spacing w:after="40" w:line="280"/>
            </w:pPr>
            <w:r>
              <w:rPr>
                <w:b/>
                <w:bCs/>
              </w:rPr>
              <w:t xml:space="preserve">※ 超声：</w:t>
            </w:r>
            <w:r>
              <w:t xml:space="preserve">卡片标称 300 s，标准强制超声 20 min，按 1200 s 取值；不可分长时操作，16 工位并行单样均摊 ≈ 79 s。</w:t>
            </w:r>
          </w:p>
          <w:p>
            <w:pPr>
              <w:pStyle w:val="ListParagraph"/>
              <w:numPr>
                <w:ilvl w:val="0"/>
                <w:numId w:val="2"/>
              </w:numPr>
              <w:spacing w:after="40" w:line="280"/>
            </w:pPr>
            <w:r>
              <w:rPr>
                <w:b/>
                <w:bCs/>
              </w:rPr>
              <w:t xml:space="preserve">★ 浓缩：</w:t>
            </w:r>
            <w:r>
              <w:t xml:space="preserve">MOD-NS-001 卡片 cycle_time_sec 为空，按 45 ℃ 氮气吹干工程估算 1800 s，非实测值，以现场 URS 为准。</w:t>
            </w:r>
          </w:p>
          <w:p>
            <w:pPr>
              <w:pStyle w:val="ListParagraph"/>
              <w:numPr>
                <w:ilvl w:val="0"/>
                <w:numId w:val="2"/>
              </w:numPr>
              <w:spacing w:after="40" w:line="280"/>
            </w:pPr>
            <w:r>
              <w:t xml:space="preserve">上表为串行单样节拍；实际生产各工站流水重叠、多工位并行，稳态通量远高于此（瓶颈为 WS5 浓缩）。残渣重复提取 1 次使提取段实际可达约 1.7×，此处按单轮计供横向比较。</w:t>
            </w:r>
          </w:p>
        </w:tc>
      </w:tr>
    </w:tbl>
    <w:p>
      <w:pPr>
        <w:pStyle w:val="Heading2"/>
        <w:spacing w:after="120" w:before="240"/>
      </w:pPr>
      <w:r>
        <w:t xml:space="preserve">6.3 方案二（GB/T 21981 激素）逐平台耗时</w:t>
      </w:r>
    </w:p>
    <w:p>
      <w:pPr>
        <w:spacing w:after="120" w:before="0" w:line="300"/>
      </w:pPr>
      <w:r>
        <w:t xml:space="preserve">样品：猪肉 / 肝 / 蛋 / 奶 / 牛肉 / 鸡 / 虾，50 种激素，内标法。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1300"/>
        <w:gridCol w:w="900"/>
        <w:gridCol w:w="2360"/>
      </w:tblGrid>
      <w:tr>
        <w:trPr>
          <w:tblHeader/>
        </w:trPr>
        <w:tc>
          <w:tcPr>
            <w:tcW w:type="dxa" w:w="25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工作站</w:t>
            </w:r>
          </w:p>
        </w:tc>
        <w:tc>
          <w:tcPr>
            <w:tcW w:type="dxa" w:w="23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主模组</w:t>
            </w:r>
          </w:p>
        </w:tc>
        <w:tc>
          <w:tcPr>
            <w:tcW w:type="dxa" w:w="13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平台耗时 (s)</w:t>
            </w:r>
          </w:p>
        </w:tc>
        <w:tc>
          <w:tcPr>
            <w:tcW w:type="dxa" w:w="9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 min</w:t>
            </w:r>
          </w:p>
        </w:tc>
        <w:tc>
          <w:tcPr>
            <w:tcW w:type="dxa" w:w="236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备注</w:t>
            </w:r>
          </w:p>
        </w:tc>
      </w:tr>
      <w:tr>
        <w:tc>
          <w:tcPr>
            <w:tcW w:type="dxa" w:w="25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WS1 制样·加内标</w:t>
            </w:r>
          </w:p>
        </w:tc>
        <w:tc>
          <w:tcPr>
            <w:tcW w:type="dxa" w:w="2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JZ-002+WX-006+DR-003</w:t>
            </w:r>
          </w:p>
        </w:tc>
        <w:tc>
          <w:tcPr>
            <w:tcW w:type="dxa" w:w="1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810</w:t>
            </w:r>
          </w:p>
        </w:tc>
        <w:tc>
          <w:tcPr>
            <w:tcW w:type="dxa" w:w="9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13.5</w:t>
            </w:r>
          </w:p>
        </w:tc>
        <w:tc>
          <w:tcPr>
            <w:tcW w:type="dxa" w:w="23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
            </w:r>
          </w:p>
        </w:tc>
      </w:tr>
      <w:tr>
        <w:tc>
          <w:tcPr>
            <w:tcW w:type="dxa" w:w="25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WS2 恒温酶解 ◆</w:t>
            </w:r>
          </w:p>
        </w:tc>
        <w:tc>
          <w:tcPr>
            <w:tcW w:type="dxa" w:w="23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FY-002（24 孔）</w:t>
            </w:r>
          </w:p>
        </w:tc>
        <w:tc>
          <w:tcPr>
            <w:tcW w:type="dxa" w:w="13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43260◆</w:t>
            </w:r>
          </w:p>
        </w:tc>
        <w:tc>
          <w:tcPr>
            <w:tcW w:type="dxa" w:w="9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w:t>
            </w:r>
          </w:p>
        </w:tc>
        <w:tc>
          <w:tcPr>
            <w:tcW w:type="dxa" w:w="23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12 h 离线过夜批处理，不计入在线节拍</w:t>
            </w:r>
          </w:p>
        </w:tc>
      </w:tr>
      <w:tr>
        <w:tc>
          <w:tcPr>
            <w:tcW w:type="dxa" w:w="25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WS3 甲醇超声</w:t>
            </w:r>
          </w:p>
        </w:tc>
        <w:tc>
          <w:tcPr>
            <w:tcW w:type="dxa" w:w="2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WX-006+CS-004</w:t>
            </w:r>
          </w:p>
        </w:tc>
        <w:tc>
          <w:tcPr>
            <w:tcW w:type="dxa" w:w="1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1860</w:t>
            </w:r>
          </w:p>
        </w:tc>
        <w:tc>
          <w:tcPr>
            <w:tcW w:type="dxa" w:w="9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31.0</w:t>
            </w:r>
          </w:p>
        </w:tc>
        <w:tc>
          <w:tcPr>
            <w:tcW w:type="dxa" w:w="23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
            </w:r>
          </w:p>
        </w:tc>
      </w:tr>
      <w:tr>
        <w:tc>
          <w:tcPr>
            <w:tcW w:type="dxa" w:w="25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WS4 离心·加水混匀</w:t>
            </w:r>
          </w:p>
        </w:tc>
        <w:tc>
          <w:tcPr>
            <w:tcW w:type="dxa" w:w="23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LX-001+JY-017</w:t>
            </w:r>
          </w:p>
        </w:tc>
        <w:tc>
          <w:tcPr>
            <w:tcW w:type="dxa" w:w="13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790</w:t>
            </w:r>
          </w:p>
        </w:tc>
        <w:tc>
          <w:tcPr>
            <w:tcW w:type="dxa" w:w="9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13.2</w:t>
            </w:r>
          </w:p>
        </w:tc>
        <w:tc>
          <w:tcPr>
            <w:tcW w:type="dxa" w:w="23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
            </w:r>
          </w:p>
        </w:tc>
      </w:tr>
      <w:tr>
        <w:tc>
          <w:tcPr>
            <w:tcW w:type="dxa" w:w="25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WS5 串接双柱 SPE ★</w:t>
            </w:r>
          </w:p>
        </w:tc>
        <w:tc>
          <w:tcPr>
            <w:tcW w:type="dxa" w:w="2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MOD-SPE-D01（新建）</w:t>
            </w:r>
          </w:p>
        </w:tc>
        <w:tc>
          <w:tcPr>
            <w:tcW w:type="dxa" w:w="1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3060★</w:t>
            </w:r>
          </w:p>
        </w:tc>
        <w:tc>
          <w:tcPr>
            <w:tcW w:type="dxa" w:w="9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51.0</w:t>
            </w:r>
          </w:p>
        </w:tc>
        <w:tc>
          <w:tcPr>
            <w:tcW w:type="dxa" w:w="23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上样 ~135 mL @ 2–3 mL/min 主导</w:t>
            </w:r>
          </w:p>
        </w:tc>
      </w:tr>
      <w:tr>
        <w:tc>
          <w:tcPr>
            <w:tcW w:type="dxa" w:w="25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WS6 浓缩蒸干 ★</w:t>
            </w:r>
          </w:p>
        </w:tc>
        <w:tc>
          <w:tcPr>
            <w:tcW w:type="dxa" w:w="23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NS-001（估算）</w:t>
            </w:r>
          </w:p>
        </w:tc>
        <w:tc>
          <w:tcPr>
            <w:tcW w:type="dxa" w:w="13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1860★</w:t>
            </w:r>
          </w:p>
        </w:tc>
        <w:tc>
          <w:tcPr>
            <w:tcW w:type="dxa" w:w="9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31.0</w:t>
            </w:r>
          </w:p>
        </w:tc>
        <w:tc>
          <w:tcPr>
            <w:tcW w:type="dxa" w:w="23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
            </w:r>
          </w:p>
        </w:tc>
      </w:tr>
      <w:tr>
        <w:tc>
          <w:tcPr>
            <w:tcW w:type="dxa" w:w="25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WS7 复溶·过滤</w:t>
            </w:r>
          </w:p>
        </w:tc>
        <w:tc>
          <w:tcPr>
            <w:tcW w:type="dxa" w:w="2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HY-001+GL-002</w:t>
            </w:r>
          </w:p>
        </w:tc>
        <w:tc>
          <w:tcPr>
            <w:tcW w:type="dxa" w:w="1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740</w:t>
            </w:r>
          </w:p>
        </w:tc>
        <w:tc>
          <w:tcPr>
            <w:tcW w:type="dxa" w:w="9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12.3</w:t>
            </w:r>
          </w:p>
        </w:tc>
        <w:tc>
          <w:tcPr>
            <w:tcW w:type="dxa" w:w="23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
            </w:r>
          </w:p>
        </w:tc>
      </w:tr>
      <w:tr>
        <w:tc>
          <w:tcPr>
            <w:tcW w:type="dxa" w:w="25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[object Object]</w:t>
            </w:r>
          </w:p>
        </w:tc>
        <w:tc>
          <w:tcPr>
            <w:tcW w:type="dxa" w:w="23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[object Object]</w:t>
            </w:r>
          </w:p>
        </w:tc>
        <w:tc>
          <w:tcPr>
            <w:tcW w:type="dxa" w:w="13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[object Object]</w:t>
            </w:r>
          </w:p>
        </w:tc>
        <w:tc>
          <w:tcPr>
            <w:tcW w:type="dxa" w:w="9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[object Object]</w:t>
            </w:r>
          </w:p>
        </w:tc>
        <w:tc>
          <w:tcPr>
            <w:tcW w:type="dxa" w:w="23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[object Object]</w:t>
            </w:r>
          </w:p>
        </w:tc>
      </w:tr>
    </w:tbl>
    <w:p>
      <w:pPr>
        <w:pStyle w:val="Heading2"/>
        <w:spacing w:after="120" w:before="240"/>
      </w:pPr>
      <w:r>
        <w:t xml:space="preserve">6.4 专项 / 复合检测与提升对比</w:t>
      </w:r>
    </w:p>
    <w:p>
      <w:pPr>
        <w:pStyle w:val="ListParagraph"/>
        <w:numPr>
          <w:ilvl w:val="0"/>
          <w:numId w:val="2"/>
        </w:numPr>
        <w:spacing w:after="60" w:line="290"/>
      </w:pPr>
      <w:r>
        <w:rPr>
          <w:b/>
          <w:bCs/>
        </w:rPr>
        <w:t xml:space="preserve">专项 / 痕量（硝基呋喃含衍生）：</w:t>
      </w:r>
      <w:r>
        <w:t xml:space="preserve">在方案一提取-净化主线基础上增加恒温衍生 / 反应环节（MOD-FY-002 承接），衍生为恒温长时操作，按离线 / 分时复用编排，避免占用在线瓶颈。</w:t>
      </w:r>
    </w:p>
    <w:p>
      <w:pPr>
        <w:pStyle w:val="ListParagraph"/>
        <w:numPr>
          <w:ilvl w:val="0"/>
          <w:numId w:val="2"/>
        </w:numPr>
        <w:spacing w:after="60" w:line="290"/>
      </w:pPr>
      <w:r>
        <w:rPr>
          <w:b/>
          <w:bCs/>
        </w:rPr>
        <w:t xml:space="preserve">多检项复合：</w:t>
      </w:r>
      <w:r>
        <w:t xml:space="preserve">磺胺 / 喹诺酮 / 四环素同主线并行；激素经酶解 + 双柱净化差异分支处理，模块分时复用，整体以中央调度均衡节拍。</w:t>
      </w:r>
    </w:p>
    <w:p>
      <w:pPr>
        <w:pStyle w:val="ListParagraph"/>
        <w:numPr>
          <w:ilvl w:val="0"/>
          <w:numId w:val="2"/>
        </w:numPr>
        <w:spacing w:after="60" w:line="290"/>
      </w:pPr>
      <w:r>
        <w:rPr>
          <w:b/>
          <w:bCs/>
        </w:rPr>
        <w:t xml:space="preserve">效率提升对比（vs 人工，定性结论 + 可量化方向）：</w:t>
      </w:r>
      <w:r>
        <w:t xml:space="preserve">全程自动上下料替代人工繁琐操作，规避均质不均 / 萃取乳化 / SPE 偏差 / 氮吹损失等痛点；人力由多人手工串行降为以系统为主、人工辅助上下样；错误率与个体差异显著降低，回收率与重复性稳定性提升。具体提升幅度与 N→M 人力数须经现场基线测试量化（建议作为验收 KPI）。</w:t>
      </w:r>
    </w:p>
    <w:p>
      <w:r>
        <w:br w:type="page"/>
      </w:r>
    </w:p>
    <w:p>
      <w:pPr>
        <w:pStyle w:val="Heading1"/>
        <w:spacing w:after="160" w:before="320"/>
      </w:pPr>
      <w:r>
        <w:t xml:space="preserve">7  项目实施与管理方案</w:t>
      </w:r>
    </w:p>
    <w:p>
      <w:pPr>
        <w:pStyle w:val="Heading2"/>
        <w:spacing w:after="120" w:before="240"/>
      </w:pPr>
      <w:r>
        <w:t xml:space="preserve">7.1 周期与组织</w:t>
      </w:r>
    </w:p>
    <w:p>
      <w:pPr>
        <w:spacing w:after="120" w:before="0" w:line="300"/>
      </w:pPr>
      <w:r>
        <w:rPr>
          <w:b/>
          <w:bCs/>
        </w:rPr>
        <w:t xml:space="preserve">总建设周期：</w:t>
      </w:r>
      <w:r>
        <w:t xml:space="preserve">约 12 周（平台标准交付约 8 周、工站集成约 12 周，引自平台 / 模组卡 lead_time_weeks，供参考；最终以合同为准）。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角色</w:t>
            </w:r>
          </w:p>
        </w:tc>
        <w:tc>
          <w:tcPr>
            <w:tcW w:type="dxa" w:w="706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职责</w:t>
            </w:r>
          </w:p>
        </w:tc>
      </w:tr>
      <w:tr>
        <w:tc>
          <w:tcPr>
            <w:tcW w:type="dxa" w:w="2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乙方项目经理</w:t>
            </w:r>
          </w:p>
        </w:tc>
        <w:tc>
          <w:tcPr>
            <w:tcW w:type="dxa" w:w="70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总协调、进度 / 质量 / 沟通 / 变更总控，对甲方单一接口</w:t>
            </w:r>
          </w:p>
        </w:tc>
      </w:tr>
      <w:tr>
        <w:tc>
          <w:tcPr>
            <w:tcW w:type="dxa" w:w="23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乙方技术团队</w:t>
            </w:r>
          </w:p>
        </w:tc>
        <w:tc>
          <w:tcPr>
            <w:tcW w:type="dxa" w:w="70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工艺与软件实现、FAT / SAT 调试、URS / 偏差处理</w:t>
            </w:r>
          </w:p>
        </w:tc>
      </w:tr>
      <w:tr>
        <w:tc>
          <w:tcPr>
            <w:tcW w:type="dxa" w:w="2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乙方质控团队</w:t>
            </w:r>
          </w:p>
        </w:tc>
        <w:tc>
          <w:tcPr>
            <w:tcW w:type="dxa" w:w="70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全流程质控节点把关、归档、PQ 验证</w:t>
            </w:r>
          </w:p>
        </w:tc>
      </w:tr>
      <w:tr>
        <w:tc>
          <w:tcPr>
            <w:tcW w:type="dxa" w:w="23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乙方售后工程师</w:t>
            </w:r>
          </w:p>
        </w:tc>
        <w:tc>
          <w:tcPr>
            <w:tcW w:type="dxa" w:w="70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前置参与调试，承接 7×24 远程 + 现场响应</w:t>
            </w:r>
          </w:p>
        </w:tc>
      </w:tr>
      <w:tr>
        <w:tc>
          <w:tcPr>
            <w:tcW w:type="dxa" w:w="23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甲方对接小组</w:t>
            </w:r>
          </w:p>
        </w:tc>
        <w:tc>
          <w:tcPr>
            <w:tcW w:type="dxa" w:w="70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需求确认、现场配合、验收、数据 / LIMS 对接配合</w:t>
            </w:r>
          </w:p>
        </w:tc>
      </w:tr>
    </w:tbl>
    <w:p>
      <w:pPr>
        <w:pStyle w:val="Heading2"/>
        <w:spacing w:after="120" w:before="240"/>
      </w:pPr>
      <w:r>
        <w:t xml:space="preserve">7.2 实施阶段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2200"/>
        <w:gridCol w:w="2000"/>
        <w:gridCol w:w="2160"/>
      </w:tblGrid>
      <w:tr>
        <w:trPr>
          <w:tblHeader/>
        </w:trPr>
        <w:tc>
          <w:tcPr>
            <w:tcW w:type="dxa" w:w="19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阶段</w:t>
            </w:r>
          </w:p>
        </w:tc>
        <w:tc>
          <w:tcPr>
            <w:tcW w:type="dxa" w:w="11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工期</w:t>
            </w:r>
          </w:p>
        </w:tc>
        <w:tc>
          <w:tcPr>
            <w:tcW w:type="dxa" w:w="22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核心任务</w:t>
            </w:r>
          </w:p>
        </w:tc>
        <w:tc>
          <w:tcPr>
            <w:tcW w:type="dxa" w:w="20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交付物</w:t>
            </w:r>
          </w:p>
        </w:tc>
        <w:tc>
          <w:tcPr>
            <w:tcW w:type="dxa" w:w="216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验收标准 / 管控要点</w:t>
            </w:r>
          </w:p>
        </w:tc>
      </w:tr>
      <w:tr>
        <w:tc>
          <w:tcPr>
            <w:tcW w:type="dxa" w:w="19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一 调研细化与方案确认</w:t>
            </w:r>
          </w:p>
        </w:tc>
        <w:tc>
          <w:tcPr>
            <w:tcW w:type="dxa" w:w="11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1–2 周</w:t>
            </w:r>
          </w:p>
        </w:tc>
        <w:tc>
          <w:tcPr>
            <w:tcW w:type="dxa" w:w="22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现场踏勘、URS 确认、布局 / 偏差对齐</w:t>
            </w:r>
          </w:p>
        </w:tc>
        <w:tc>
          <w:tcPr>
            <w:tcW w:type="dxa" w:w="20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确认版详细设计、URS、布局图</w:t>
            </w:r>
          </w:p>
        </w:tc>
        <w:tc>
          <w:tcPr>
            <w:tcW w:type="dxa" w:w="21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甲方书面确认；偏差项达成一致</w:t>
            </w:r>
          </w:p>
        </w:tc>
      </w:tr>
      <w:tr>
        <w:tc>
          <w:tcPr>
            <w:tcW w:type="dxa" w:w="19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二 模块生产与工厂预装调试</w:t>
            </w:r>
          </w:p>
        </w:tc>
        <w:tc>
          <w:tcPr>
            <w:tcW w:type="dxa" w:w="11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4–6 周</w:t>
            </w:r>
          </w:p>
        </w:tc>
        <w:tc>
          <w:tcPr>
            <w:tcW w:type="dxa" w:w="22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模组生产、平台预装、工厂联调 FAT</w:t>
            </w:r>
          </w:p>
        </w:tc>
        <w:tc>
          <w:tcPr>
            <w:tcW w:type="dxa" w:w="20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FAT 报告、设备合格证</w:t>
            </w:r>
          </w:p>
        </w:tc>
        <w:tc>
          <w:tcPr>
            <w:tcW w:type="dxa" w:w="21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FAT 通过；指标达标</w:t>
            </w:r>
          </w:p>
        </w:tc>
      </w:tr>
      <w:tr>
        <w:tc>
          <w:tcPr>
            <w:tcW w:type="dxa" w:w="19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三 现场基础施工与复核</w:t>
            </w:r>
          </w:p>
        </w:tc>
        <w:tc>
          <w:tcPr>
            <w:tcW w:type="dxa" w:w="11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并行 1–2 周</w:t>
            </w:r>
          </w:p>
        </w:tc>
        <w:tc>
          <w:tcPr>
            <w:tcW w:type="dxa" w:w="22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排风 / 气路 / 强弱电 / 给排水改造</w:t>
            </w:r>
          </w:p>
        </w:tc>
        <w:tc>
          <w:tcPr>
            <w:tcW w:type="dxa" w:w="20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施工图、隐蔽工程记录</w:t>
            </w:r>
          </w:p>
        </w:tc>
        <w:tc>
          <w:tcPr>
            <w:tcW w:type="dxa" w:w="21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公用工程复核合格</w:t>
            </w:r>
          </w:p>
        </w:tc>
      </w:tr>
      <w:tr>
        <w:tc>
          <w:tcPr>
            <w:tcW w:type="dxa" w:w="19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四 现场安装与模块拼接</w:t>
            </w:r>
          </w:p>
        </w:tc>
        <w:tc>
          <w:tcPr>
            <w:tcW w:type="dxa" w:w="11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1 周</w:t>
            </w:r>
          </w:p>
        </w:tc>
        <w:tc>
          <w:tcPr>
            <w:tcW w:type="dxa" w:w="22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平台就位、拼接、管线对接</w:t>
            </w:r>
          </w:p>
        </w:tc>
        <w:tc>
          <w:tcPr>
            <w:tcW w:type="dxa" w:w="20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安装 / 拼接验收单</w:t>
            </w:r>
          </w:p>
        </w:tc>
        <w:tc>
          <w:tcPr>
            <w:tcW w:type="dxa" w:w="21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就位精度、接口连通</w:t>
            </w:r>
          </w:p>
        </w:tc>
      </w:tr>
      <w:tr>
        <w:tc>
          <w:tcPr>
            <w:tcW w:type="dxa" w:w="19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五 系统调试与人员培训</w:t>
            </w:r>
          </w:p>
        </w:tc>
        <w:tc>
          <w:tcPr>
            <w:tcW w:type="dxa" w:w="11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1–2 周</w:t>
            </w:r>
          </w:p>
        </w:tc>
        <w:tc>
          <w:tcPr>
            <w:tcW w:type="dxa" w:w="22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SAT 联调、流程跑通、培训</w:t>
            </w:r>
          </w:p>
        </w:tc>
        <w:tc>
          <w:tcPr>
            <w:tcW w:type="dxa" w:w="20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SAT 报告、培训记录</w:t>
            </w:r>
          </w:p>
        </w:tc>
        <w:tc>
          <w:tcPr>
            <w:tcW w:type="dxa" w:w="21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全流程跑通；空白无污染；标曲 R² 达标</w:t>
            </w:r>
          </w:p>
        </w:tc>
      </w:tr>
      <w:tr>
        <w:tc>
          <w:tcPr>
            <w:tcW w:type="dxa" w:w="19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六 项目验收与交付归档</w:t>
            </w:r>
          </w:p>
        </w:tc>
        <w:tc>
          <w:tcPr>
            <w:tcW w:type="dxa" w:w="11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1 周</w:t>
            </w:r>
          </w:p>
        </w:tc>
        <w:tc>
          <w:tcPr>
            <w:tcW w:type="dxa" w:w="22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PQ 验证、终验、归档</w:t>
            </w:r>
          </w:p>
        </w:tc>
        <w:tc>
          <w:tcPr>
            <w:tcW w:type="dxa" w:w="20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验收报告、移交清单、全套资料</w:t>
            </w:r>
          </w:p>
        </w:tc>
        <w:tc>
          <w:tcPr>
            <w:tcW w:type="dxa" w:w="21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PQ 回收率 / RSD 达标；文档齐全</w:t>
            </w:r>
          </w:p>
        </w:tc>
      </w:tr>
    </w:tbl>
    <w:p>
      <w:pPr>
        <w:spacing w:after="120" w:before="0" w:line="300"/>
      </w:pPr>
      <w:r>
        <w:rPr>
          <w:i/>
          <w:iCs/>
          <w:color w:val="5B6B7E"/>
          <w:sz w:val="18"/>
          <w:szCs w:val="18"/>
        </w:rPr>
        <w:t xml:space="preserve">总工期甘特图：占位 → 实图（见附录 A）。</w:t>
      </w:r>
    </w:p>
    <w:p>
      <w:pPr>
        <w:pStyle w:val="Heading2"/>
        <w:spacing w:after="120" w:before="240"/>
      </w:pPr>
      <w:r>
        <w:t xml:space="preserve">7.3 项目管理措施</w:t>
      </w:r>
    </w:p>
    <w:p>
      <w:pPr>
        <w:pStyle w:val="ListParagraph"/>
        <w:numPr>
          <w:ilvl w:val="0"/>
          <w:numId w:val="2"/>
        </w:numPr>
        <w:spacing w:after="60" w:line="290"/>
      </w:pPr>
      <w:r>
        <w:rPr>
          <w:b/>
          <w:bCs/>
        </w:rPr>
        <w:t xml:space="preserve">进度管理：</w:t>
      </w:r>
      <w:r>
        <w:t xml:space="preserve">三级管控（项目经理 / 周例会 / 节点验收）+ 赶工预案。</w:t>
      </w:r>
    </w:p>
    <w:p>
      <w:pPr>
        <w:pStyle w:val="ListParagraph"/>
        <w:numPr>
          <w:ilvl w:val="0"/>
          <w:numId w:val="2"/>
        </w:numPr>
        <w:spacing w:after="60" w:line="290"/>
      </w:pPr>
      <w:r>
        <w:rPr>
          <w:b/>
          <w:bCs/>
        </w:rPr>
        <w:t xml:space="preserve">质量管理：</w:t>
      </w:r>
      <w:r>
        <w:t xml:space="preserve">全流程质控追溯、关键质控节点设卡、过程与结果归档。</w:t>
      </w:r>
    </w:p>
    <w:p>
      <w:pPr>
        <w:pStyle w:val="ListParagraph"/>
        <w:numPr>
          <w:ilvl w:val="0"/>
          <w:numId w:val="2"/>
        </w:numPr>
        <w:spacing w:after="60" w:line="290"/>
      </w:pPr>
      <w:r>
        <w:rPr>
          <w:b/>
          <w:bCs/>
        </w:rPr>
        <w:t xml:space="preserve">沟通管理：</w:t>
      </w:r>
      <w:r>
        <w:t xml:space="preserve">固定例会机制 + 专属沟通群 + 纪要留痕。</w:t>
      </w:r>
    </w:p>
    <w:p>
      <w:pPr>
        <w:pStyle w:val="ListParagraph"/>
        <w:numPr>
          <w:ilvl w:val="0"/>
          <w:numId w:val="2"/>
        </w:numPr>
        <w:spacing w:after="60" w:line="290"/>
      </w:pPr>
      <w:r>
        <w:rPr>
          <w:b/>
          <w:bCs/>
        </w:rPr>
        <w:t xml:space="preserve">安全管理：</w:t>
      </w:r>
      <w:r>
        <w:t xml:space="preserve">用电 / 动火 / 接地 / 应急停机规程，权限分级，二氯甲烷等危化流路密封 + 排风联锁。</w:t>
      </w:r>
    </w:p>
    <w:p>
      <w:pPr>
        <w:pStyle w:val="ListParagraph"/>
        <w:numPr>
          <w:ilvl w:val="0"/>
          <w:numId w:val="2"/>
        </w:numPr>
        <w:spacing w:after="60" w:line="290"/>
      </w:pPr>
      <w:r>
        <w:rPr>
          <w:b/>
          <w:bCs/>
        </w:rPr>
        <w:t xml:space="preserve">变更管理：</w:t>
      </w:r>
      <w:r>
        <w:t xml:space="preserve">书面申请 → 影响评估 → 签字确认，闭环可追溯。</w:t>
      </w:r>
    </w:p>
    <w:p>
      <w:pPr>
        <w:pStyle w:val="Heading2"/>
        <w:spacing w:after="120" w:before="240"/>
      </w:pPr>
      <w:r>
        <w:t xml:space="preserve">7.4 保障措施</w:t>
      </w:r>
    </w:p>
    <w:p>
      <w:pPr>
        <w:pStyle w:val="ListParagraph"/>
        <w:numPr>
          <w:ilvl w:val="0"/>
          <w:numId w:val="2"/>
        </w:numPr>
        <w:spacing w:after="60" w:line="290"/>
      </w:pPr>
      <w:r>
        <w:rPr>
          <w:b/>
          <w:bCs/>
        </w:rPr>
        <w:t xml:space="preserve">资源保障：</w:t>
      </w:r>
      <w:r>
        <w:t xml:space="preserve">资深工程师 + 专用调试设备 + 原厂部件；甲方配合现场条件与样品。</w:t>
      </w:r>
    </w:p>
    <w:p>
      <w:pPr>
        <w:pStyle w:val="ListParagraph"/>
        <w:numPr>
          <w:ilvl w:val="0"/>
          <w:numId w:val="2"/>
        </w:numPr>
        <w:spacing w:after="60" w:line="290"/>
      </w:pPr>
      <w:r>
        <w:rPr>
          <w:b/>
          <w:bCs/>
        </w:rPr>
        <w:t xml:space="preserve">技术保障：</w:t>
      </w:r>
      <w:r>
        <w:t xml:space="preserve">攻坚小组 + 7×24 远程支持 + 现场响应时限（以 SLA 约定）。</w:t>
      </w:r>
    </w:p>
    <w:p>
      <w:pPr>
        <w:pStyle w:val="ListParagraph"/>
        <w:numPr>
          <w:ilvl w:val="0"/>
          <w:numId w:val="2"/>
        </w:numPr>
        <w:spacing w:after="60" w:line="290"/>
      </w:pPr>
      <w:r>
        <w:rPr>
          <w:b/>
          <w:bCs/>
        </w:rPr>
        <w:t xml:space="preserve">售后前置：</w:t>
      </w:r>
      <w:r>
        <w:t xml:space="preserve">售后工程师参与调试，提前掌握系统状态。</w:t>
      </w:r>
    </w:p>
    <w:p>
      <w:pPr>
        <w:pStyle w:val="ListParagraph"/>
        <w:numPr>
          <w:ilvl w:val="0"/>
          <w:numId w:val="2"/>
        </w:numPr>
        <w:spacing w:after="60" w:line="290"/>
      </w:pPr>
      <w:r>
        <w:rPr>
          <w:b/>
          <w:bCs/>
        </w:rPr>
        <w:t xml:space="preserve">文档保障：</w:t>
      </w:r>
      <w:r>
        <w:t xml:space="preserve">全流程归档，纸质 + 电子双备份，可追溯。</w:t>
      </w:r>
    </w:p>
    <w:p>
      <w:r>
        <w:br w:type="page"/>
      </w:r>
    </w:p>
    <w:p>
      <w:pPr>
        <w:pStyle w:val="Heading1"/>
        <w:spacing w:after="160" w:before="320"/>
      </w:pPr>
      <w:r>
        <w:t xml:space="preserve">8  交付物清单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类别</w:t>
            </w:r>
          </w:p>
        </w:tc>
        <w:tc>
          <w:tcPr>
            <w:tcW w:type="dxa" w:w="716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交付物</w:t>
            </w:r>
          </w:p>
        </w:tc>
      </w:tr>
      <w:tr>
        <w:tc>
          <w:tcPr>
            <w:tcW w:type="dxa" w:w="22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正式技术文档</w:t>
            </w:r>
          </w:p>
        </w:tc>
        <w:tc>
          <w:tcPr>
            <w:tcW w:type="dxa" w:w="71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详细设计方案、各功能平台设计图、系统 / 功能架构图、布局 CAD 图</w:t>
            </w:r>
          </w:p>
        </w:tc>
      </w:tr>
      <w:tr>
        <w:tc>
          <w:tcPr>
            <w:tcW w:type="dxa" w:w="22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工程交付物</w:t>
            </w:r>
          </w:p>
        </w:tc>
        <w:tc>
          <w:tcPr>
            <w:tcW w:type="dxa" w:w="71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工厂 / 现场调试报告（FAT/SAT）、设备合格证、安装 / 拼接验收单、验收报告、设备移交清单</w:t>
            </w:r>
          </w:p>
        </w:tc>
      </w:tr>
      <w:tr>
        <w:tc>
          <w:tcPr>
            <w:tcW w:type="dxa" w:w="22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资料交付</w:t>
            </w:r>
          </w:p>
        </w:tc>
        <w:tc>
          <w:tcPr>
            <w:tcW w:type="dxa" w:w="71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操作手册、维护手册、技术资料（纸质 + 电子）、售后服务协议</w:t>
            </w:r>
          </w:p>
        </w:tc>
      </w:tr>
      <w:tr>
        <w:tc>
          <w:tcPr>
            <w:tcW w:type="dxa" w:w="22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软件交付</w:t>
            </w:r>
          </w:p>
        </w:tc>
        <w:tc>
          <w:tcPr>
            <w:tcW w:type="dxa" w:w="71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SmartLabOS 软件部署 + 配置文档、LIMS 接口文档、账号 / 权限清单</w:t>
            </w:r>
          </w:p>
        </w:tc>
      </w:tr>
    </w:tbl>
    <w:p>
      <w:r>
        <w:br w:type="page"/>
      </w:r>
    </w:p>
    <w:p>
      <w:pPr>
        <w:pStyle w:val="Heading1"/>
        <w:spacing w:after="160" w:before="320"/>
      </w:pPr>
      <w:r>
        <w:t xml:space="preserve">附录 A  图纸占位清单</w:t>
      </w:r>
    </w:p>
    <w:p>
      <w:pPr>
        <w:spacing w:after="120" w:before="0" w:line="300"/>
      </w:pPr>
      <w:r>
        <w:t xml:space="preserve">以下「图 X-X」占位须在现场 CAD 底图与工厂出图后替换为实图，作为详细设计正式交付的组成部分：</w:t>
      </w:r>
    </w:p>
    <w:p>
      <w:pPr>
        <w:pStyle w:val="ListParagraph"/>
        <w:numPr>
          <w:ilvl w:val="0"/>
          <w:numId w:val="2"/>
        </w:numPr>
        <w:spacing w:after="60" w:line="290"/>
      </w:pPr>
      <w:r>
        <w:t xml:space="preserve">图 3-1 智能化实验室规划布局图（含设备定位、通道、机械臂行程）</w:t>
      </w:r>
    </w:p>
    <w:p>
      <w:pPr>
        <w:pStyle w:val="ListParagraph"/>
        <w:numPr>
          <w:ilvl w:val="0"/>
          <w:numId w:val="2"/>
        </w:numPr>
        <w:spacing w:after="60" w:line="290"/>
      </w:pPr>
      <w:r>
        <w:t xml:space="preserve">图 3-2 管道排风系统改造图；图 3-3 气路分布系统改造图</w:t>
      </w:r>
    </w:p>
    <w:p>
      <w:pPr>
        <w:pStyle w:val="ListParagraph"/>
        <w:numPr>
          <w:ilvl w:val="0"/>
          <w:numId w:val="2"/>
        </w:numPr>
        <w:spacing w:after="60" w:line="290"/>
      </w:pPr>
      <w:r>
        <w:t xml:space="preserve">图 3-4 强弱电与网络系统改造图；图 3-5 给排水 / 纯水管路改造图</w:t>
      </w:r>
    </w:p>
    <w:p>
      <w:pPr>
        <w:pStyle w:val="ListParagraph"/>
        <w:numPr>
          <w:ilvl w:val="0"/>
          <w:numId w:val="2"/>
        </w:numPr>
        <w:spacing w:after="60" w:line="290"/>
      </w:pPr>
      <w:r>
        <w:t xml:space="preserve">图 4-1～4-8 各功能平台俯视布局示意图（模组位 + 托盘位）</w:t>
      </w:r>
    </w:p>
    <w:p>
      <w:pPr>
        <w:pStyle w:val="ListParagraph"/>
        <w:numPr>
          <w:ilvl w:val="0"/>
          <w:numId w:val="2"/>
        </w:numPr>
        <w:spacing w:after="60" w:line="290"/>
      </w:pPr>
      <w:r>
        <w:t xml:space="preserve">图 5-1 软件系统架构图；图 5-2 功能模块架构图；图 5-3 数字孪生可视化示例图</w:t>
      </w:r>
    </w:p>
    <w:p>
      <w:pPr>
        <w:pStyle w:val="ListParagraph"/>
        <w:numPr>
          <w:ilvl w:val="0"/>
          <w:numId w:val="2"/>
        </w:numPr>
        <w:spacing w:after="60" w:line="290"/>
      </w:pPr>
      <w:r>
        <w:t xml:space="preserve">图 7-1 总工期甘特图</w:t>
      </w:r>
    </w:p>
    <w:p>
      <w:pPr>
        <w:spacing w:after="120" w:before="0" w:line="300"/>
      </w:pPr>
      <w:r>
        <w:rPr>
          <w:i/>
          <w:iCs/>
          <w:color w:val="5B6B7E"/>
          <w:sz w:val="18"/>
          <w:szCs w:val="18"/>
        </w:rPr>
        <w:t xml:space="preserve">注：上述布局 / 流程示意已在配套 HTML 提案（1.html / 2.html / 串接双柱SPE净化-模块-URS.html）中以 SVG / Mermaid 形式给出，可作为出图依据。</w:t>
      </w:r>
    </w:p>
    <w:p>
      <w:pPr>
        <w:pStyle w:val="Heading1"/>
        <w:spacing w:after="160" w:before="320"/>
      </w:pPr>
      <w:r>
        <w:t xml:space="preserve">附录 B  工艺偏差与范围说明（诚实标注，需与客户确认）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400"/>
        <w:gridCol w:w="3360"/>
      </w:tblGrid>
      <w:tr>
        <w:trPr>
          <w:tblHeader/>
        </w:trPr>
        <w:tc>
          <w:tcPr>
            <w:tcW w:type="dxa" w:w="17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事项</w:t>
            </w:r>
          </w:p>
        </w:tc>
        <w:tc>
          <w:tcPr>
            <w:tcW w:type="dxa" w:w="19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标准要求</w:t>
            </w:r>
          </w:p>
        </w:tc>
        <w:tc>
          <w:tcPr>
            <w:tcW w:type="dxa" w:w="240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已确认模块能力</w:t>
            </w:r>
          </w:p>
        </w:tc>
        <w:tc>
          <w:tcPr>
            <w:tcW w:type="dxa" w:w="3360"/>
            <w:tcBorders>
              <w:top w:val="single" w:color="C9D6E4" w:sz="4"/>
              <w:left w:val="single" w:color="C9D6E4" w:sz="4"/>
              <w:bottom w:val="single" w:color="C9D6E4" w:sz="4"/>
              <w:right w:val="single" w:color="C9D6E4" w:sz="4"/>
            </w:tcBorders>
            <w:shd w:fill="0C5C8F" w:val="clear"/>
            <w:tcMar>
              <w:top w:type="dxa" w:w="54"/>
              <w:left w:type="dxa" w:w="100"/>
              <w:bottom w:type="dxa" w:w="54"/>
              <w:right w:type="dxa" w:w="100"/>
            </w:tcMar>
            <w:vAlign w:val="center"/>
          </w:tcPr>
          <w:p>
            <w:pPr>
              <w:spacing w:after="0" w:line="250"/>
            </w:pPr>
            <w:r>
              <w:rPr>
                <w:b/>
                <w:bCs/>
                <w:color w:val="FFFFFF"/>
                <w:sz w:val="19"/>
                <w:szCs w:val="19"/>
              </w:rPr>
              <w:t xml:space="preserve">建议处置</w:t>
            </w:r>
          </w:p>
        </w:tc>
      </w:tr>
      <w:tr>
        <w:tc>
          <w:tcPr>
            <w:tcW w:type="dxa" w:w="17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§8.1 提取离心</w:t>
            </w:r>
          </w:p>
        </w:tc>
        <w:tc>
          <w:tcPr>
            <w:tcW w:type="dxa" w:w="19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−2 ℃ / 10000 r/min</w:t>
            </w:r>
          </w:p>
        </w:tc>
        <w:tc>
          <w:tcPr>
            <w:tcW w:type="dxa" w:w="24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MOD-LX-001：2–7 ℃ / ≤8000 rpm</w:t>
            </w:r>
          </w:p>
        </w:tc>
        <w:tc>
          <w:tcPr>
            <w:tcW w:type="dxa" w:w="33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① 选配外置高速冷冻离心机集成；或 ② 方法学验证后以 ≤4 ℃·8000 r/min 等效</w:t>
            </w:r>
          </w:p>
        </w:tc>
      </w:tr>
      <w:tr>
        <w:tc>
          <w:tcPr>
            <w:tcW w:type="dxa" w:w="17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§8.2 复溶离心</w:t>
            </w:r>
          </w:p>
        </w:tc>
        <w:tc>
          <w:tcPr>
            <w:tcW w:type="dxa" w:w="19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14000 r/min</w:t>
            </w:r>
          </w:p>
        </w:tc>
        <w:tc>
          <w:tcPr>
            <w:tcW w:type="dxa" w:w="24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MOD-LX-001：≤8000 rpm</w:t>
            </w:r>
          </w:p>
        </w:tc>
        <w:tc>
          <w:tcPr>
            <w:tcW w:type="dxa" w:w="33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复溶澄清对转速要求较低，可验证后延长时间等效；严格达标须外置高速离心</w:t>
            </w:r>
          </w:p>
        </w:tc>
      </w:tr>
      <w:tr>
        <w:tc>
          <w:tcPr>
            <w:tcW w:type="dxa" w:w="17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浓缩耗时</w:t>
            </w:r>
          </w:p>
        </w:tc>
        <w:tc>
          <w:tcPr>
            <w:tcW w:type="dxa" w:w="19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w:t>
            </w:r>
          </w:p>
        </w:tc>
        <w:tc>
          <w:tcPr>
            <w:tcW w:type="dxa" w:w="24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MOD-NS-001：cycle_time 字段空白</w:t>
            </w:r>
          </w:p>
        </w:tc>
        <w:tc>
          <w:tcPr>
            <w:tcW w:type="dxa" w:w="33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工程估算 1800 s，须现场 URS 实测替换</w:t>
            </w:r>
          </w:p>
        </w:tc>
      </w:tr>
      <w:tr>
        <w:tc>
          <w:tcPr>
            <w:tcW w:type="dxa" w:w="17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称量（1 g 试样）</w:t>
            </w:r>
          </w:p>
        </w:tc>
        <w:tc>
          <w:tcPr>
            <w:tcW w:type="dxa" w:w="19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感量 0.01 g 天平</w:t>
            </w:r>
          </w:p>
        </w:tc>
        <w:tc>
          <w:tcPr>
            <w:tcW w:type="dxa" w:w="24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清单内无称量模组</w:t>
            </w:r>
          </w:p>
        </w:tc>
        <w:tc>
          <w:tcPr>
            <w:tcW w:type="dxa" w:w="33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按行业惯例人工称样后上样，不属本期自动化范围</w:t>
            </w:r>
          </w:p>
        </w:tc>
      </w:tr>
      <w:tr>
        <w:tc>
          <w:tcPr>
            <w:tcW w:type="dxa" w:w="17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方案二酶解容器</w:t>
            </w:r>
          </w:p>
        </w:tc>
        <w:tc>
          <w:tcPr>
            <w:tcW w:type="dxa" w:w="19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50 mL 体系 / 37 ℃ 12 h</w:t>
            </w:r>
          </w:p>
        </w:tc>
        <w:tc>
          <w:tcPr>
            <w:tcW w:type="dxa" w:w="24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MOD-FY-002 为 5 mL 管、控温精度 ±3 ℃</w:t>
            </w:r>
          </w:p>
        </w:tc>
        <w:tc>
          <w:tcPr>
            <w:tcW w:type="dxa" w:w="33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缩量验证或定制同系列 50 mL 恒温振荡变体</w:t>
            </w:r>
          </w:p>
        </w:tc>
      </w:tr>
      <w:tr>
        <w:tc>
          <w:tcPr>
            <w:tcW w:type="dxa" w:w="17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方案二微量加注</w:t>
            </w:r>
          </w:p>
        </w:tc>
        <w:tc>
          <w:tcPr>
            <w:tcW w:type="dxa" w:w="19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内标 / 酶各 100 µL</w:t>
            </w:r>
          </w:p>
        </w:tc>
        <w:tc>
          <w:tcPr>
            <w:tcW w:type="dxa" w:w="240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MOD-DR-003 标称 250–1000 µL</w:t>
            </w:r>
          </w:p>
        </w:tc>
        <w:tc>
          <w:tcPr>
            <w:tcW w:type="dxa" w:w="3360"/>
            <w:tcBorders>
              <w:top w:val="single" w:color="C9D6E4" w:sz="4"/>
              <w:left w:val="single" w:color="C9D6E4" w:sz="4"/>
              <w:bottom w:val="single" w:color="C9D6E4" w:sz="4"/>
              <w:right w:val="single" w:color="C9D6E4" w:sz="4"/>
            </w:tcBorders>
            <w:shd w:fill="F1F6FB" w:val="clear"/>
            <w:tcMar>
              <w:top w:type="dxa" w:w="54"/>
              <w:left w:type="dxa" w:w="100"/>
              <w:bottom w:type="dxa" w:w="54"/>
              <w:right w:type="dxa" w:w="100"/>
            </w:tcMar>
            <w:vAlign w:val="center"/>
          </w:tcPr>
          <w:p>
            <w:pPr>
              <w:spacing w:after="0" w:line="250"/>
            </w:pPr>
            <w:r>
              <w:rPr>
                <w:b w:val="false"/>
                <w:bCs w:val="false"/>
                <w:color w:val="0F1B2D"/>
                <w:sz w:val="18"/>
                <w:szCs w:val="18"/>
              </w:rPr>
              <w:t xml:space="preserve">选配小量程注射器（25/100 µL）</w:t>
            </w:r>
          </w:p>
        </w:tc>
      </w:tr>
      <w:tr>
        <w:tc>
          <w:tcPr>
            <w:tcW w:type="dxa" w:w="17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方案二加水稀释</w:t>
            </w:r>
          </w:p>
        </w:tc>
        <w:tc>
          <w:tcPr>
            <w:tcW w:type="dxa" w:w="19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加水 ~100 mL</w:t>
            </w:r>
          </w:p>
        </w:tc>
        <w:tc>
          <w:tcPr>
            <w:tcW w:type="dxa" w:w="240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MOD-JY-017 单次 ≤50 mL</w:t>
            </w:r>
          </w:p>
        </w:tc>
        <w:tc>
          <w:tcPr>
            <w:tcW w:type="dxa" w:w="3360"/>
            <w:tcBorders>
              <w:top w:val="single" w:color="C9D6E4" w:sz="4"/>
              <w:left w:val="single" w:color="C9D6E4" w:sz="4"/>
              <w:bottom w:val="single" w:color="C9D6E4" w:sz="4"/>
              <w:right w:val="single" w:color="C9D6E4" w:sz="4"/>
            </w:tcBorders>
            <w:shd w:fill="FFFFFF" w:val="clear"/>
            <w:tcMar>
              <w:top w:type="dxa" w:w="54"/>
              <w:left w:type="dxa" w:w="100"/>
              <w:bottom w:type="dxa" w:w="54"/>
              <w:right w:type="dxa" w:w="100"/>
            </w:tcMar>
            <w:vAlign w:val="center"/>
          </w:tcPr>
          <w:p>
            <w:pPr>
              <w:spacing w:after="0" w:line="250"/>
            </w:pPr>
            <w:r>
              <w:rPr>
                <w:b w:val="false"/>
                <w:bCs w:val="false"/>
                <w:color w:val="0F1B2D"/>
                <w:sz w:val="18"/>
                <w:szCs w:val="18"/>
              </w:rPr>
              <w:t xml:space="preserve">分 2 次加注</w:t>
            </w:r>
          </w:p>
        </w:tc>
      </w:tr>
    </w:tbl>
    <w:p>
      <w:pPr>
        <w:pStyle w:val="Heading1"/>
        <w:spacing w:after="160" w:before="320"/>
      </w:pPr>
      <w:r>
        <w:t xml:space="preserve">附录 C  新建模组 URS 摘要（MOD-SPE-D01 串接双柱 SPE）</w:t>
      </w:r>
    </w:p>
    <w:p>
      <w:pPr>
        <w:spacing w:after="120" w:before="0" w:line="300"/>
      </w:pPr>
      <w:r>
        <w:t xml:space="preserve">依据指令 §5.3，GB/T 21981—2008 §7.2「ENVI-Carb 柱串接氨基柱」双柱串接净化在 11 个已确认模组中无对应能力（</w:t>
      </w:r>
      <w:r>
        <w:rPr>
          <w:rFonts w:ascii="Consolas" w:cs="Consolas" w:eastAsia="Consolas" w:hAnsi="Consolas"/>
          <w:b/>
          <w:bCs/>
          <w:color w:val="0C5C8F"/>
        </w:rPr>
        <w:t xml:space="preserve">MOD-SPE-004</w:t>
      </w:r>
      <w:r>
        <w:t xml:space="preserve"> 为单柱结构），构成模组缺口，新建 URS（详见 </w:t>
      </w:r>
      <w:r>
        <w:rPr>
          <w:rFonts w:ascii="Consolas" w:cs="Consolas" w:eastAsia="Consolas" w:hAnsi="Consolas"/>
          <w:b/>
          <w:bCs/>
          <w:color w:val="0C5C8F"/>
        </w:rPr>
        <w:t xml:space="preserve">串接双柱SPE净化-模块-URS.html</w:t>
      </w:r>
      <w:r>
        <w:t xml:space="preserve">）。</w:t>
      </w:r>
    </w:p>
    <w:p>
      <w:pPr>
        <w:pStyle w:val="ListParagraph"/>
        <w:numPr>
          <w:ilvl w:val="0"/>
          <w:numId w:val="2"/>
        </w:numPr>
        <w:spacing w:after="60" w:line="290"/>
      </w:pPr>
      <w:r>
        <w:rPr>
          <w:b/>
          <w:bCs/>
        </w:rPr>
        <w:t xml:space="preserve">核心功能需求：</w:t>
      </w:r>
      <w:r>
        <w:t xml:space="preserve">双柱垂直串接夹持（上柱可独立取放、密封连通）、双柱独立活化、~135 mL 提取液 2–3 mL/min 上样、抽干 + 串接切换、二氯甲烷-甲醇 6 mL 串联洗脱 + 2 mL 二次洗下柱、自动上下料与洗针。</w:t>
      </w:r>
    </w:p>
    <w:p>
      <w:pPr>
        <w:pStyle w:val="ListParagraph"/>
        <w:numPr>
          <w:ilvl w:val="0"/>
          <w:numId w:val="2"/>
        </w:numPr>
        <w:spacing w:after="60" w:line="290"/>
      </w:pPr>
      <w:r>
        <w:rPr>
          <w:b/>
          <w:bCs/>
        </w:rPr>
        <w:t xml:space="preserve">关键参数：</w:t>
      </w:r>
      <w:r>
        <w:t xml:space="preserve">上样流速 2–3 mL/min（闭环 ±5%）、上样体积 1–150 mL、洗脱计量 ≤±2%、抽干真空 ≤−80 kPa、≥2 串接对并行、≤2 模组位；通讯 MODBUS TCP。</w:t>
      </w:r>
    </w:p>
    <w:p>
      <w:pPr>
        <w:pStyle w:val="ListParagraph"/>
        <w:numPr>
          <w:ilvl w:val="0"/>
          <w:numId w:val="2"/>
        </w:numPr>
        <w:spacing w:after="60" w:line="290"/>
      </w:pPr>
      <w:r>
        <w:rPr>
          <w:b/>
          <w:bCs/>
        </w:rPr>
        <w:t xml:space="preserve">处理时间：</w:t>
      </w:r>
      <w:r>
        <w:t xml:space="preserve">功能码 ≈3000 s（上样为主导项）+ 上下料 60 s = 3060 s，已计入方案二 WS5。</w:t>
      </w:r>
    </w:p>
    <w:p>
      <w:pPr>
        <w:pStyle w:val="ListParagraph"/>
        <w:numPr>
          <w:ilvl w:val="0"/>
          <w:numId w:val="2"/>
        </w:numPr>
        <w:spacing w:after="60" w:line="290"/>
      </w:pPr>
      <w:r>
        <w:rPr>
          <w:b/>
          <w:bCs/>
        </w:rPr>
        <w:t xml:space="preserve">验收（PQ）：</w:t>
      </w:r>
      <w:r>
        <w:t xml:space="preserve">以 50 种激素基质加标验证，回收率 75.2%~121.8%、RSD 2.4%~20.8% 区间内为通过。</w:t>
      </w:r>
    </w:p>
    <w:p>
      <w:pPr>
        <w:pStyle w:val="ListParagraph"/>
        <w:numPr>
          <w:ilvl w:val="0"/>
          <w:numId w:val="2"/>
        </w:numPr>
        <w:spacing w:after="60" w:line="290"/>
      </w:pPr>
      <w:r>
        <w:rPr>
          <w:b/>
          <w:bCs/>
        </w:rPr>
        <w:t xml:space="preserve">公用工程：</w:t>
      </w:r>
      <w:r>
        <w:t xml:space="preserve">二氯甲烷有机废液单独危废收集；工站强制防爆排风 + 抽气罩。</w:t>
      </w:r>
    </w:p>
    <w:p>
      <w:pPr>
        <w:pStyle w:val="Heading1"/>
        <w:spacing w:after="160" w:before="320"/>
      </w:pPr>
      <w:r>
        <w:t xml:space="preserve">附录 D  后续待确认事项</w:t>
      </w:r>
    </w:p>
    <w:p>
      <w:pPr>
        <w:pStyle w:val="ListParagraph"/>
        <w:numPr>
          <w:ilvl w:val="0"/>
          <w:numId w:val="3"/>
        </w:numPr>
        <w:spacing w:after="60" w:line="290"/>
      </w:pPr>
      <w:r>
        <w:t xml:space="preserve">高速冷冻离心达标方案（外置离心机集成 vs 8000 rpm 方法学等效验证）。</w:t>
      </w:r>
    </w:p>
    <w:p>
      <w:pPr>
        <w:pStyle w:val="ListParagraph"/>
        <w:numPr>
          <w:ilvl w:val="0"/>
          <w:numId w:val="3"/>
        </w:numPr>
        <w:spacing w:after="60" w:line="290"/>
      </w:pPr>
      <w:r>
        <w:t xml:space="preserve">MOD-NS-001 浓缩实际耗时现场实测（替换本方案工程估算值）。</w:t>
      </w:r>
    </w:p>
    <w:p>
      <w:pPr>
        <w:pStyle w:val="ListParagraph"/>
        <w:numPr>
          <w:ilvl w:val="0"/>
          <w:numId w:val="3"/>
        </w:numPr>
        <w:spacing w:after="60" w:line="290"/>
      </w:pPr>
      <w:r>
        <w:t xml:space="preserve">方案二酶解容器（5 mL 缩量 vs 定制 50 mL 恒温模块）与微量加注（小量程注射器）确认。</w:t>
      </w:r>
    </w:p>
    <w:p>
      <w:pPr>
        <w:pStyle w:val="ListParagraph"/>
        <w:numPr>
          <w:ilvl w:val="0"/>
          <w:numId w:val="3"/>
        </w:numPr>
        <w:spacing w:after="60" w:line="290"/>
      </w:pPr>
      <w:r>
        <w:t xml:space="preserve">新建模组 MOD-SPE-D01 的 URS 评审、样机开发与 PQ 验证。</w:t>
      </w:r>
    </w:p>
    <w:p>
      <w:pPr>
        <w:pStyle w:val="ListParagraph"/>
        <w:numPr>
          <w:ilvl w:val="0"/>
          <w:numId w:val="3"/>
        </w:numPr>
        <w:spacing w:after="60" w:line="290"/>
      </w:pPr>
      <w:r>
        <w:t xml:space="preserve">二氯甲烷 / 乙腈 / 氨性废液的危废分类收集与排风达标设计。</w:t>
      </w:r>
    </w:p>
    <w:p>
      <w:pPr>
        <w:pStyle w:val="ListParagraph"/>
        <w:numPr>
          <w:ilvl w:val="0"/>
          <w:numId w:val="3"/>
        </w:numPr>
        <w:spacing w:after="60" w:line="290"/>
      </w:pPr>
      <w:r>
        <w:t xml:space="preserve">场地原始尺寸图、楼层 / 房间用途与隔断改造范围（出布局施工图前置条件）。</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5C8F" w:sz="18"/>
              <w:left w:val="single" w:color="C9D6E4" w:sz="4"/>
              <w:bottom w:val="single" w:color="C9D6E4" w:sz="4"/>
              <w:right w:val="single" w:color="C9D6E4" w:sz="4"/>
            </w:tcBorders>
            <w:shd w:fill="E9F7EF" w:val="clear"/>
            <w:tcMar>
              <w:top w:type="dxa" w:w="100"/>
              <w:left w:type="dxa" w:w="160"/>
              <w:bottom w:type="dxa" w:w="100"/>
              <w:right w:type="dxa" w:w="160"/>
            </w:tcMar>
          </w:tcPr>
          <w:p>
            <w:pPr>
              <w:spacing w:after="60"/>
            </w:pPr>
            <w:r>
              <w:rPr>
                <w:b/>
                <w:bCs/>
                <w:color w:val="0F1B2D"/>
              </w:rPr>
              <w:t xml:space="preserve">报价说明</w:t>
            </w:r>
          </w:p>
          <w:p>
            <w:pPr>
              <w:pStyle w:val="ListParagraph"/>
              <w:numPr>
                <w:ilvl w:val="0"/>
                <w:numId w:val="2"/>
              </w:numPr>
              <w:spacing w:after="40" w:line="280"/>
            </w:pPr>
            <w:r>
              <w:t xml:space="preserve">本方案为售前技术配置建议。</w:t>
            </w:r>
            <w:r>
              <w:rPr>
                <w:b/>
                <w:bCs/>
              </w:rPr>
              <w:t xml:space="preserve">涉及价格、报价信息，请联系销售团队获取报价。</w:t>
            </w:r>
            <w:r>
              <w:t xml:space="preserve">交付周期与质保以最终合同为准。</w:t>
            </w:r>
          </w:p>
          <w:p>
            <w:pPr>
              <w:pStyle w:val="ListParagraph"/>
              <w:numPr>
                <w:ilvl w:val="0"/>
                <w:numId w:val="2"/>
              </w:numPr>
              <w:spacing w:after="40" w:line="280"/>
            </w:pPr>
            <w:r>
              <w:rPr>
                <w:b/>
                <w:bCs/>
              </w:rPr>
              <w:t xml:space="preserve">数据来源：</w:t>
            </w:r>
            <w:r>
              <w:t xml:space="preserve">全部技术参数引用自国家标准原文、本项目已生成 HTML 提案与 references/ 知识库（01-modules / 02-platforms / 06-pallet），模组严格限于 11 个已确认型号；技术参数以国标原文及现场 URS 确认为准。</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90A0"/>
        <w:sz w:val="16"/>
        <w:szCs w:val="16"/>
      </w:rPr>
      <w:t xml:space="preserve">第 </w:t>
    </w:r>
    <w:r>
      <w:rPr>
        <w:color w:val="8090A0"/>
        <w:sz w:val="16"/>
        <w:szCs w:val="16"/>
      </w:rPr>
      <w:fldChar w:fldCharType="begin"/>
      <w:instrText xml:space="preserve">PAGE</w:instrText>
      <w:fldChar w:fldCharType="separate"/>
      <w:fldChar w:fldCharType="end"/>
    </w:r>
    <w:r>
      <w:rPr>
        <w:color w:val="8090A0"/>
        <w:sz w:val="16"/>
        <w:szCs w:val="16"/>
      </w:rPr>
      <w:t xml:space="preserve"> 页 / 共 </w:t>
    </w:r>
    <w:r>
      <w:rPr>
        <w:color w:val="8090A0"/>
        <w:sz w:val="16"/>
        <w:szCs w:val="16"/>
      </w:rPr>
      <w:fldChar w:fldCharType="begin"/>
      <w:instrText xml:space="preserve">NUMPAGES</w:instrText>
      <w:fldChar w:fldCharType="separate"/>
      <w:fldChar w:fldCharType="end"/>
    </w:r>
    <w:r>
      <w:rPr>
        <w:color w:val="8090A0"/>
        <w:sz w:val="16"/>
        <w:szCs w:val="16"/>
      </w:rPr>
      <w:t xml:space="preserve"> 页　|　V1.0 · 2026-06-30　|　涉及报价请联系销售团队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C5C8F" w:sz="6" w:space="2"/>
      </w:pBdr>
      <w:jc w:val="right"/>
    </w:pPr>
    <w:r>
      <w:rPr>
        <w:color w:val="8090A0"/>
        <w:sz w:val="15"/>
        <w:szCs w:val="15"/>
      </w:rPr>
      <w:t xml:space="preserve">百泉聚兴 SmartLabOS · 成都市食品检验研究院 兽残专项详细设计方案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0F1B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Microsoft YaHei" w:cs="Microsoft YaHei" w:eastAsia="Microsoft YaHei" w:hAnsi="Microsoft YaHei"/>
      <w:b/>
      <w:bCs/>
      <w:color w:val="0C5C8F"/>
      <w:sz w:val="30"/>
      <w:szCs w:val="30"/>
    </w:rPr>
  </w:style>
  <w:style w:type="paragraph" w:styleId="Heading2">
    <w:name w:val="Heading 2"/>
    <w:basedOn w:val="Normal"/>
    <w:next w:val="Normal"/>
    <w:qFormat/>
    <w:pPr>
      <w:spacing w:after="120" w:before="240"/>
      <w:outlineLvl w:val="1"/>
    </w:pPr>
    <w:rPr>
      <w:rFonts w:ascii="Microsoft YaHei" w:cs="Microsoft YaHei" w:eastAsia="Microsoft YaHei" w:hAnsi="Microsoft YaHei"/>
      <w:b/>
      <w:bCs/>
      <w:color w:val="0F1B2D"/>
      <w:sz w:val="25"/>
      <w:szCs w:val="25"/>
    </w:rPr>
  </w:style>
  <w:style w:type="paragraph" w:styleId="Heading3">
    <w:name w:val="Heading 3"/>
    <w:basedOn w:val="Normal"/>
    <w:next w:val="Normal"/>
    <w:qFormat/>
    <w:pPr>
      <w:spacing w:after="80" w:before="160"/>
      <w:outlineLvl w:val="2"/>
    </w:pPr>
    <w:rPr>
      <w:rFonts w:ascii="Microsoft YaHei" w:cs="Microsoft YaHei" w:eastAsia="Microsoft YaHei" w:hAnsi="Microsoft YaHei"/>
      <w:b/>
      <w:bCs/>
      <w:color w:val="0A7A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成都市食品检验研究院 兽药残留专项自动化检测系统 详细设计方案</dc:title>
  <dc:creator>百泉聚兴 SmartLabOS 智能方案助手</dc:creator>
  <dc:description>SmartLabOS 售前 WORD 提案 · 项目：测试项目</dc:description>
  <cp:lastModifiedBy>Un-named</cp:lastModifiedBy>
  <cp:revision>1</cp:revision>
  <dcterms:created xsi:type="dcterms:W3CDTF">2026-06-30T08:08:38.078Z</dcterms:created>
  <dcterms:modified xsi:type="dcterms:W3CDTF">2026-06-30T08:08:38.079Z</dcterms:modified>
</cp:coreProperties>
</file>

<file path=docProps/custom.xml><?xml version="1.0" encoding="utf-8"?>
<Properties xmlns="http://schemas.openxmlformats.org/officeDocument/2006/custom-properties" xmlns:vt="http://schemas.openxmlformats.org/officeDocument/2006/docPropsVTypes"/>
</file>