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01:53:53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60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/>
    <w:p>
      <w:pPr>
        <w:pStyle w:val="Heading1"/>
      </w:pPr>
      <w:r>
        <w:t>整体评估</w:t>
      </w:r>
    </w:p>
    <w:p>
      <w:r>
        <w:t>存在严重安全隐患，需要立即整改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立即设置基坑安全防护栏杆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严重违规 - 基坑支护安全</w:t>
      </w:r>
    </w:p>
    <w:p>
      <w:r>
        <w:t>违规描述: 沟槽深度超过1.5m，两侧边缘未设置标准防护栏杆</w:t>
      </w:r>
    </w:p>
    <w:p>
      <w:r>
        <w:t>相关条例:</w:t>
      </w:r>
    </w:p>
    <w:p>
      <w:pPr>
        <w:pStyle w:val="ListBullet"/>
      </w:pPr>
      <w:r>
        <w:t>• JGJ59-2011 4.1.3: 基坑深度超过1.5m时，必须设置安全防护栏杆</w:t>
      </w:r>
    </w:p>
    <w:p>
      <w:r>
        <w:t>整改建议:</w:t>
      </w:r>
    </w:p>
    <w:p>
      <w:pPr>
        <w:pStyle w:val="ListBullet"/>
      </w:pPr>
      <w:r>
        <w:t>• 立即设置安全防护栏杆</w:t>
      </w:r>
    </w:p>
    <w:p>
      <w:pPr>
        <w:pStyle w:val="ListBullet"/>
      </w:pPr>
      <w:r>
        <w:t>• 加强现场安全巡查</w:t>
      </w:r>
    </w:p>
    <w:p>
      <w:r>
        <w:t>风险等级: 极高风险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