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357D" w:rsidRDefault="007E79DA">
      <w:pPr>
        <w:spacing w:before="1600"/>
      </w:pPr>
      <w:sdt>
        <w:sdtPr>
          <w:tag w:val="goog_rdk_0"/>
          <w:id w:val="794165766"/>
        </w:sdtPr>
        <w:sdtEndPr/>
        <w:sdtContent>
          <w:commentRangeStart w:id="0"/>
        </w:sdtContent>
      </w:sdt>
    </w:p>
    <w:commentRangeEnd w:id="0"/>
    <w:p w14:paraId="00000002" w14:textId="77777777" w:rsidR="0062357D" w:rsidRDefault="007E79DA">
      <w:pPr>
        <w:jc w:val="center"/>
      </w:pPr>
      <w:r>
        <w:commentReference w:id="0"/>
      </w:r>
      <w:proofErr w:type="spellStart"/>
      <w:r>
        <w:rPr>
          <w:b/>
          <w:bCs/>
          <w:color w:val="0F4A2E"/>
          <w:sz w:val="44"/>
          <w:szCs w:val="44"/>
        </w:rPr>
        <w:t>AIForE</w:t>
      </w:r>
      <w:proofErr w:type="spellEnd"/>
      <w:r>
        <w:rPr>
          <w:b/>
          <w:bCs/>
          <w:color w:val="0F4A2E"/>
          <w:sz w:val="44"/>
          <w:szCs w:val="44"/>
        </w:rPr>
        <w:t xml:space="preserve"> Sustainable Ecosystems SDK with Telemetry for Big Data</w:t>
      </w:r>
    </w:p>
    <w:p w14:paraId="00000003" w14:textId="77777777" w:rsidR="0062357D" w:rsidRDefault="007E79DA">
      <w:pPr>
        <w:spacing w:before="120" w:after="60"/>
        <w:jc w:val="center"/>
      </w:pPr>
      <w:r>
        <w:rPr>
          <w:b/>
          <w:bCs/>
          <w:i/>
          <w:iCs/>
          <w:color w:val="1E7A4C"/>
          <w:sz w:val="32"/>
          <w:szCs w:val="32"/>
        </w:rPr>
        <w:t>Code Name: STARDUST</w:t>
      </w:r>
    </w:p>
    <w:p w14:paraId="00000004" w14:textId="77777777" w:rsidR="0062357D" w:rsidRDefault="007E79DA">
      <w:pPr>
        <w:spacing w:before="200"/>
        <w:jc w:val="center"/>
      </w:pPr>
      <w:r>
        <w:rPr>
          <w:color w:val="5A5A5A"/>
          <w:sz w:val="24"/>
          <w:szCs w:val="24"/>
        </w:rPr>
        <w:t>Product Specification — v1.2 (Draft)</w:t>
      </w:r>
    </w:p>
    <w:p w14:paraId="00000005" w14:textId="77777777" w:rsidR="0062357D" w:rsidRDefault="007E79DA">
      <w:pPr>
        <w:spacing w:before="40"/>
        <w:jc w:val="center"/>
      </w:pPr>
      <w:r>
        <w:rPr>
          <w:color w:val="5A5A5A"/>
          <w:sz w:val="22"/>
          <w:szCs w:val="22"/>
        </w:rPr>
        <w:t>AI for Ecology (AIforE.org)</w:t>
      </w:r>
    </w:p>
    <w:p w14:paraId="00000006" w14:textId="77777777" w:rsidR="0062357D" w:rsidRDefault="007E79DA">
      <w:pPr>
        <w:spacing w:before="40"/>
        <w:jc w:val="center"/>
      </w:pPr>
      <w:r>
        <w:rPr>
          <w:color w:val="5A5A5A"/>
        </w:rPr>
        <w:t>Prepared for Charles Finkelstein, President &amp; Chairman</w:t>
      </w:r>
    </w:p>
    <w:p w14:paraId="00000007" w14:textId="77777777" w:rsidR="0062357D" w:rsidRDefault="007E79DA">
      <w:pPr>
        <w:spacing w:before="40"/>
        <w:jc w:val="center"/>
      </w:pPr>
      <w:r>
        <w:rPr>
          <w:color w:val="5A5A5A"/>
        </w:rPr>
        <w:t>August 2026</w:t>
      </w:r>
    </w:p>
    <w:p w14:paraId="00000008" w14:textId="77777777" w:rsidR="0062357D" w:rsidRDefault="007E79DA">
      <w:r>
        <w:br w:type="page"/>
      </w:r>
    </w:p>
    <w:p w14:paraId="000010D8" w14:textId="77777777" w:rsidR="0062357D" w:rsidRDefault="007E79DA">
      <w:pPr>
        <w:spacing w:after="360"/>
        <w:jc w:val="center"/>
      </w:pPr>
      <w:r>
        <w:rPr>
          <w:b/>
          <w:bCs/>
          <w:color w:val="0F4A2E"/>
          <w:sz w:val="34"/>
          <w:szCs w:val="34"/>
        </w:rPr>
        <w:t>Table of Contents</w:t>
      </w:r>
    </w:p>
    <w:sdt>
      <w:sdtPr>
        <w:id w:val="1000001"/>
        <w:docPartObj>
          <w:docPartGallery w:val="Table of Contents"/>
          <w:docPartUnique/>
        </w:docPartObj>
      </w:sdtPr>
      <w:sdtEndPr/>
      <w:sdtContent>
        <w:p w14:paraId="000010D9" w14:textId="77777777" w:rsidR="0062357D" w:rsidRDefault="007E79DA">
          <w:pPr>
            <w:spacing w:after="140"/>
          </w:pPr>
          <w:r>
            <w:rPr>
              <w:sz w:val="21"/>
              <w:szCs w:val="21"/>
            </w:rPr>
            <w:fldChar w:fldCharType="begin"/>
          </w:r>
          <w:r>
            <w:rPr>
              <w:sz w:val="21"/>
              <w:szCs w:val="21"/>
            </w:rPr>
            <w:instrText xml:space="preserve"> TOC \o "1-3" \h \z \u </w:instrText>
          </w:r>
          <w:r>
            <w:rPr>
              <w:sz w:val="21"/>
              <w:szCs w:val="21"/>
            </w:rPr>
            <w:fldChar w:fldCharType="separate"/>
          </w:r>
          <w:r>
            <w:rPr>
              <w:i/>
              <w:iCs/>
              <w:color w:val="808080"/>
              <w:sz w:val="21"/>
              <w:szCs w:val="21"/>
            </w:rPr>
            <w:t>Right-click and choose “Update Field” (or press F9) to generate the table of contents with page numbers and clickable links.</w:t>
          </w:r>
          <w:r>
            <w:rPr>
              <w:sz w:val="21"/>
              <w:szCs w:val="21"/>
            </w:rPr>
            <w:fldChar w:fldCharType="end"/>
          </w:r>
        </w:p>
      </w:sdtContent>
    </w:sdt>
    <w:p w14:paraId="000010DB" w14:textId="77777777" w:rsidR="0062357D" w:rsidRDefault="007E79DA">
      <w:r>
        <w:br w:type="page"/>
      </w:r>
    </w:p>
    <w:p w14:paraId="00000009" w14:textId="77777777" w:rsidR="0062357D" w:rsidRDefault="007E79DA">
      <w:pPr>
        <w:pStyle w:val="Heading1"/>
        <w:spacing w:before="360" w:after="160"/>
      </w:pPr>
      <w:r>
        <w:rPr>
          <w:b/>
          <w:bCs/>
          <w:color w:val="0F4A2E"/>
          <w:sz w:val="30"/>
          <w:szCs w:val="30"/>
        </w:rPr>
        <w:t>1. Executive Summary</w:t>
      </w:r>
    </w:p>
    <w:p w14:paraId="0000000A" w14:textId="77777777" w:rsidR="0062357D" w:rsidRDefault="007E79DA">
      <w:pPr>
        <w:spacing w:after="140"/>
      </w:pPr>
      <w:r>
        <w:rPr>
          <w:sz w:val="21"/>
          <w:szCs w:val="21"/>
        </w:rPr>
        <w:t>Stardust is a universal usage-and-impact metering layer for AI and cloud computing. It is delivered as a family of pluggable clients — an AI-chat-app plugin, a cross-browser extension, and an infrastructure-level SDK/agent — that all report into a common Stardust measurement core. Wherever a token is generated, a query is run, or a cloud resource is consumed, Stardust captures what was used, what it cost, and what it cost the planet, then renders that back to the user as a compact alphanumeric indicator and</w:t>
      </w:r>
      <w:r>
        <w:rPr>
          <w:sz w:val="21"/>
          <w:szCs w:val="21"/>
        </w:rPr>
        <w:t xml:space="preserve"> a richer visual breakdown.</w:t>
      </w:r>
    </w:p>
    <w:p w14:paraId="0000000B" w14:textId="77777777" w:rsidR="0062357D" w:rsidRDefault="007E79DA">
      <w:pPr>
        <w:spacing w:after="140"/>
      </w:pPr>
      <w:r>
        <w:rPr>
          <w:sz w:val="21"/>
          <w:szCs w:val="21"/>
        </w:rPr>
        <w:t xml:space="preserve">Stardust operationalizes </w:t>
      </w:r>
      <w:proofErr w:type="spellStart"/>
      <w:r>
        <w:rPr>
          <w:sz w:val="21"/>
          <w:szCs w:val="21"/>
        </w:rPr>
        <w:t>AIforE's</w:t>
      </w:r>
      <w:proofErr w:type="spellEnd"/>
      <w:r>
        <w:rPr>
          <w:sz w:val="21"/>
          <w:szCs w:val="21"/>
        </w:rPr>
        <w:t xml:space="preserve"> mission of building AI sustainability certification standards and universal energy-efficiency benchmarks. It is the metering backbone that the existing </w:t>
      </w:r>
      <w:proofErr w:type="spellStart"/>
      <w:r>
        <w:rPr>
          <w:sz w:val="21"/>
          <w:szCs w:val="21"/>
        </w:rPr>
        <w:t>AIforE</w:t>
      </w:r>
      <w:proofErr w:type="spellEnd"/>
      <w:r>
        <w:rPr>
          <w:sz w:val="21"/>
          <w:szCs w:val="21"/>
        </w:rPr>
        <w:t xml:space="preserve"> token-cost calculator prototype and 'Project 1' browser plug-in concept were the first sketch of, expanded here into a full cross-surface specification, and it is designed to interoperate with (but remain independent of) third-party remediation and offset marketplaces.</w:t>
      </w:r>
    </w:p>
    <w:p w14:paraId="00003001" w14:textId="77777777" w:rsidR="0062357D" w:rsidRDefault="007E79DA">
      <w:pPr>
        <w:spacing w:after="140"/>
      </w:pPr>
      <w:r>
        <w:rPr>
          <w:sz w:val="21"/>
          <w:szCs w:val="21"/>
        </w:rPr>
        <w:t>Beyond metering, Stardust intends to become the standard way to measure AI sustainability and right-sized efficiency — wherever possible, pairing Return on Investment (ROI) with Return on Impact, so a model, provider, or infrastructure choice can be judged by cost and environmental outcome together, not either one in isolation.</w:t>
      </w:r>
    </w:p>
    <w:p w14:paraId="7D000001" w14:textId="77777777" w:rsidR="0062357D" w:rsidRDefault="007E79DA">
      <w:pPr>
        <w:spacing w:after="140"/>
      </w:pPr>
      <w:r>
        <w:rPr>
          <w:sz w:val="21"/>
          <w:szCs w:val="21"/>
        </w:rPr>
        <w:t xml:space="preserve">Stardust’s larger purpose is to establish an industry-wide standard way of measuring environmental impact end to end: the negative impact of computing (carbon, electricity, water, heat and materials) and the positive impact of the solutions that answer it (carbon removal, renewable generation, water restoration and recycling, heat reuse, and materials recovery), expressed in one schema, one set of units, and one confidence framework. This is a major goal of the project, and the standard Stardust builds is </w:t>
      </w:r>
      <w:proofErr w:type="spellStart"/>
      <w:r>
        <w:rPr>
          <w:sz w:val="21"/>
          <w:szCs w:val="21"/>
        </w:rPr>
        <w:t>AIforE’s</w:t>
      </w:r>
      <w:proofErr w:type="spellEnd"/>
      <w:r>
        <w:rPr>
          <w:sz w:val="21"/>
          <w:szCs w:val="21"/>
        </w:rPr>
        <w:t xml:space="preserve"> contribution to the world as open, citable methodology (§22.7).</w:t>
      </w:r>
    </w:p>
    <w:p w14:paraId="0000000C" w14:textId="77777777" w:rsidR="0062357D" w:rsidRDefault="007E79DA">
      <w:pPr>
        <w:spacing w:after="140"/>
      </w:pPr>
      <w:r>
        <w:rPr>
          <w:sz w:val="21"/>
          <w:szCs w:val="21"/>
        </w:rPr>
        <w:t xml:space="preserve">Stardust is intended to be released as open source. </w:t>
      </w:r>
      <w:proofErr w:type="spellStart"/>
      <w:r>
        <w:rPr>
          <w:sz w:val="21"/>
          <w:szCs w:val="21"/>
        </w:rPr>
        <w:t>AIforE's</w:t>
      </w:r>
      <w:proofErr w:type="spellEnd"/>
      <w:r>
        <w:rPr>
          <w:sz w:val="21"/>
          <w:szCs w:val="21"/>
        </w:rPr>
        <w:t xml:space="preserve"> role is to build and steward the core metering layer, the environmental methodology, and the indicator standard; third-party companies building remediation marketplaces, enterprise dashboards, vertical integrations, or managed hosting on top of Stardust, are expected and encouraged to build their own products and revenue on top of the open core rather than around it. See §17 for the licensing model and ecosystem strategy, and §18 for how individual donations to </w:t>
      </w:r>
      <w:proofErr w:type="spellStart"/>
      <w:r>
        <w:rPr>
          <w:sz w:val="21"/>
          <w:szCs w:val="21"/>
        </w:rPr>
        <w:t>AIforE</w:t>
      </w:r>
      <w:proofErr w:type="spellEnd"/>
      <w:r>
        <w:rPr>
          <w:sz w:val="21"/>
          <w:szCs w:val="21"/>
        </w:rPr>
        <w:t xml:space="preserve"> itself fit alongside that.</w:t>
      </w:r>
    </w:p>
    <w:p w14:paraId="0000000D" w14:textId="77777777" w:rsidR="0062357D" w:rsidRDefault="007E79DA">
      <w:pPr>
        <w:spacing w:after="140"/>
      </w:pPr>
      <w:r>
        <w:rPr>
          <w:sz w:val="21"/>
          <w:szCs w:val="21"/>
        </w:rPr>
        <w:t xml:space="preserve">This document defines product scope, target integration surfaces, the metrics taxonomy, the alphanumeric indicator system, UI/UX requirements, system architecture, data sourcing and methodology for environmental-impact estimation, non-functional requirements, open source and ecosystem strategy, and a phased roadmap. It is a working draft intended to be reviewed and iterated with the </w:t>
      </w:r>
      <w:proofErr w:type="spellStart"/>
      <w:r>
        <w:rPr>
          <w:sz w:val="21"/>
          <w:szCs w:val="21"/>
        </w:rPr>
        <w:t>AIforE</w:t>
      </w:r>
      <w:proofErr w:type="spellEnd"/>
      <w:r>
        <w:rPr>
          <w:sz w:val="21"/>
          <w:szCs w:val="21"/>
        </w:rPr>
        <w:t xml:space="preserve"> board and technical contributors.</w:t>
      </w:r>
    </w:p>
    <w:p w14:paraId="0000000E" w14:textId="77777777" w:rsidR="0062357D" w:rsidRDefault="007E79DA">
      <w:pPr>
        <w:pStyle w:val="Heading2"/>
        <w:spacing w:before="280" w:after="120"/>
      </w:pPr>
      <w:r>
        <w:rPr>
          <w:b/>
          <w:bCs/>
          <w:color w:val="1E7A4C"/>
          <w:sz w:val="24"/>
          <w:szCs w:val="24"/>
        </w:rPr>
        <w:t>1.1 Problem Statement</w:t>
      </w:r>
    </w:p>
    <w:p w14:paraId="0000000F"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AI usage cost and environmental footprint are complex and not readily transparent to end users at the point of consumption — a chat reply typically shows neither; an API call's response does return raw token counts (§12 documents this for Claude, </w:t>
      </w:r>
      <w:proofErr w:type="spellStart"/>
      <w:r>
        <w:rPr>
          <w:color w:val="000000"/>
          <w:sz w:val="21"/>
          <w:szCs w:val="21"/>
        </w:rPr>
        <w:t>OpenAI</w:t>
      </w:r>
      <w:proofErr w:type="spellEnd"/>
      <w:r>
        <w:rPr>
          <w:color w:val="000000"/>
          <w:sz w:val="21"/>
          <w:szCs w:val="21"/>
        </w:rPr>
        <w:t>, and Gemini) but no dollar cost or environmental figure; and a database or infrastructure query gives no indication of any of the three.</w:t>
      </w:r>
    </w:p>
    <w:p w14:paraId="00000010"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Existing cost/usage dashboards (provider billing consoles) are </w:t>
      </w:r>
      <w:proofErr w:type="spellStart"/>
      <w:r>
        <w:rPr>
          <w:color w:val="000000"/>
          <w:sz w:val="21"/>
          <w:szCs w:val="21"/>
        </w:rPr>
        <w:t>siloed</w:t>
      </w:r>
      <w:proofErr w:type="spellEnd"/>
      <w:r>
        <w:rPr>
          <w:color w:val="000000"/>
          <w:sz w:val="21"/>
          <w:szCs w:val="21"/>
        </w:rPr>
        <w:t xml:space="preserve"> per vendor and lag by hours or days. Where cloud providers do publish separate environmental-impact tools (e.g., AWS's Sustainability service, Azure's Emissions Impact Dashboard, Google Cloud's Carbon Footprint export — §12.9), these run on a monthly cadence, live apart from the cost dashboards, and don't exist at all for AI token/query usage specifically.</w:t>
      </w:r>
    </w:p>
    <w:p w14:paraId="00000011" w14:textId="77777777" w:rsidR="0062357D" w:rsidRDefault="007E79DA">
      <w:pPr>
        <w:numPr>
          <w:ilvl w:val="0"/>
          <w:numId w:val="1"/>
        </w:numPr>
        <w:pBdr>
          <w:top w:val="nil"/>
          <w:left w:val="nil"/>
          <w:bottom w:val="nil"/>
          <w:right w:val="nil"/>
          <w:between w:val="nil"/>
        </w:pBdr>
        <w:spacing w:after="60"/>
      </w:pPr>
      <w:r>
        <w:rPr>
          <w:color w:val="000000"/>
          <w:sz w:val="21"/>
          <w:szCs w:val="21"/>
        </w:rPr>
        <w:t>While the Software Carbon Intensity specification (ISO/IEC 21031:2024) defines how to measure a software system's carbon rate in the abstract, there is no ratified way to represent it in telemetry or observability tooling (§11.2), no AI-inference-specific adaptation of it, and no consumer-facing, at-a-glance format a normal user or IT administrator can actually read.</w:t>
      </w:r>
    </w:p>
    <w:p w14:paraId="00000012" w14:textId="77777777" w:rsidR="0062357D" w:rsidRDefault="007E79DA">
      <w:pPr>
        <w:numPr>
          <w:ilvl w:val="0"/>
          <w:numId w:val="1"/>
        </w:numPr>
        <w:pBdr>
          <w:top w:val="nil"/>
          <w:left w:val="nil"/>
          <w:bottom w:val="nil"/>
          <w:right w:val="nil"/>
          <w:between w:val="nil"/>
        </w:pBdr>
        <w:spacing w:after="60"/>
      </w:pPr>
      <w:r>
        <w:rPr>
          <w:color w:val="000000"/>
          <w:sz w:val="21"/>
          <w:szCs w:val="21"/>
        </w:rPr>
        <w:t>Without a visible, standardized, per-operation signal, the market and regulatory pressure that does exist (rising enterprise LLM spend, emerging carbon-disclosure requirements) has no consistent way to reach an individual model, provider, or infrastructure choice at the point of use.</w:t>
      </w:r>
    </w:p>
    <w:p w14:paraId="00000013" w14:textId="77777777" w:rsidR="0062357D" w:rsidRDefault="007E79DA">
      <w:pPr>
        <w:pStyle w:val="Heading2"/>
        <w:spacing w:before="280" w:after="120"/>
      </w:pPr>
      <w:r>
        <w:rPr>
          <w:b/>
          <w:bCs/>
          <w:color w:val="1E7A4C"/>
          <w:sz w:val="24"/>
          <w:szCs w:val="24"/>
        </w:rPr>
        <w:t>1.2 Product Goals</w:t>
      </w:r>
    </w:p>
    <w:p w14:paraId="7D000002" w14:textId="77777777" w:rsidR="0062357D" w:rsidRDefault="007E79DA">
      <w:pPr>
        <w:numPr>
          <w:ilvl w:val="0"/>
          <w:numId w:val="1"/>
        </w:numPr>
        <w:spacing w:after="60"/>
      </w:pPr>
      <w:r>
        <w:rPr>
          <w:b/>
          <w:bCs/>
          <w:sz w:val="21"/>
          <w:szCs w:val="21"/>
        </w:rPr>
        <w:t>Develop and contribute an industry-wide measurement standard</w:t>
      </w:r>
      <w:r>
        <w:rPr>
          <w:sz w:val="21"/>
          <w:szCs w:val="21"/>
        </w:rPr>
        <w:t xml:space="preserve"> covering the full range from negative impact (emissions, energy, water, heat, materials) to positive impact (removals, renewable energy, water restoration, heat reuse, recycling), published openly so any organization can measure, compare and claim impact the same way (§22.7). This is a primary goal of Stardust.</w:t>
      </w:r>
    </w:p>
    <w:p w14:paraId="00000014" w14:textId="77777777" w:rsidR="0062357D" w:rsidRDefault="007E79DA">
      <w:pPr>
        <w:numPr>
          <w:ilvl w:val="0"/>
          <w:numId w:val="1"/>
        </w:numPr>
        <w:pBdr>
          <w:top w:val="nil"/>
          <w:left w:val="nil"/>
          <w:bottom w:val="nil"/>
          <w:right w:val="nil"/>
          <w:between w:val="nil"/>
        </w:pBdr>
        <w:spacing w:after="60"/>
      </w:pPr>
      <w:r>
        <w:rPr>
          <w:color w:val="000000"/>
          <w:sz w:val="21"/>
          <w:szCs w:val="21"/>
        </w:rPr>
        <w:t>Provide real-time or near-real-time visibility into token usage, dollar cost, and environmental impact across AI chat apps, browsers, and cloud/IT infrastructure.</w:t>
      </w:r>
    </w:p>
    <w:p w14:paraId="00000015" w14:textId="77777777" w:rsidR="0062357D" w:rsidRDefault="007E79DA">
      <w:pPr>
        <w:numPr>
          <w:ilvl w:val="0"/>
          <w:numId w:val="1"/>
        </w:numPr>
        <w:pBdr>
          <w:top w:val="nil"/>
          <w:left w:val="nil"/>
          <w:bottom w:val="nil"/>
          <w:right w:val="nil"/>
          <w:between w:val="nil"/>
        </w:pBdr>
        <w:spacing w:after="60"/>
      </w:pPr>
      <w:r>
        <w:rPr>
          <w:color w:val="000000"/>
          <w:sz w:val="21"/>
          <w:szCs w:val="21"/>
        </w:rPr>
        <w:t>Standardize that visibility behind a single alphanumeric indicator system and a single visual design language, regardless of which underlying service produced the usage.</w:t>
      </w:r>
    </w:p>
    <w:p w14:paraId="00000016" w14:textId="77777777" w:rsidR="0062357D" w:rsidRDefault="007E79DA">
      <w:pPr>
        <w:numPr>
          <w:ilvl w:val="0"/>
          <w:numId w:val="1"/>
        </w:numPr>
        <w:pBdr>
          <w:top w:val="nil"/>
          <w:left w:val="nil"/>
          <w:bottom w:val="nil"/>
          <w:right w:val="nil"/>
          <w:between w:val="nil"/>
        </w:pBdr>
        <w:spacing w:after="60"/>
      </w:pPr>
      <w:r>
        <w:rPr>
          <w:color w:val="000000"/>
          <w:sz w:val="21"/>
          <w:szCs w:val="21"/>
        </w:rPr>
        <w:t>Be genuinely pluggable: no forked browser, no proprietary client required from the underlying AI or cloud vendor — Stardust attaches as an extension, plugin, or lightweight SDK/sidecar.</w:t>
      </w:r>
    </w:p>
    <w:p w14:paraId="00000017" w14:textId="77777777" w:rsidR="0062357D" w:rsidRDefault="007E79DA">
      <w:pPr>
        <w:numPr>
          <w:ilvl w:val="0"/>
          <w:numId w:val="1"/>
        </w:numPr>
        <w:pBdr>
          <w:top w:val="nil"/>
          <w:left w:val="nil"/>
          <w:bottom w:val="nil"/>
          <w:right w:val="nil"/>
          <w:between w:val="nil"/>
        </w:pBdr>
        <w:spacing w:after="60"/>
      </w:pPr>
      <w:r>
        <w:rPr>
          <w:color w:val="000000"/>
          <w:sz w:val="21"/>
          <w:szCs w:val="21"/>
        </w:rPr>
        <w:t>Produce data clean enough to (optionally) drive remediation — feeding metered impact into an offset/restoration partner — without requiring that integration to use the core product.</w:t>
      </w:r>
    </w:p>
    <w:p w14:paraId="00000018"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Establish the measurement methodology as the seed of an open, citable </w:t>
      </w:r>
      <w:proofErr w:type="spellStart"/>
      <w:r>
        <w:rPr>
          <w:color w:val="000000"/>
          <w:sz w:val="21"/>
          <w:szCs w:val="21"/>
        </w:rPr>
        <w:t>AIforE</w:t>
      </w:r>
      <w:proofErr w:type="spellEnd"/>
      <w:r>
        <w:rPr>
          <w:color w:val="000000"/>
          <w:sz w:val="21"/>
          <w:szCs w:val="21"/>
        </w:rPr>
        <w:t xml:space="preserve"> efficiency/sustainability benchmark.</w:t>
      </w:r>
    </w:p>
    <w:p w14:paraId="00000019"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Release Stardust as open source so third-party companies — remediation and offset marketplaces, enterprise dashboard vendors, hosting providers, and others — can build their own value-added products and revenue on top of the metering layer, rather than needing </w:t>
      </w:r>
      <w:proofErr w:type="spellStart"/>
      <w:r>
        <w:rPr>
          <w:color w:val="000000"/>
          <w:sz w:val="21"/>
          <w:szCs w:val="21"/>
        </w:rPr>
        <w:t>AIforE's</w:t>
      </w:r>
      <w:proofErr w:type="spellEnd"/>
      <w:r>
        <w:rPr>
          <w:color w:val="000000"/>
          <w:sz w:val="21"/>
          <w:szCs w:val="21"/>
        </w:rPr>
        <w:t xml:space="preserve"> permission or a commercial license to do so.</w:t>
      </w:r>
    </w:p>
    <w:p w14:paraId="00003002" w14:textId="77777777" w:rsidR="0062357D" w:rsidRDefault="007E79DA">
      <w:pPr>
        <w:numPr>
          <w:ilvl w:val="0"/>
          <w:numId w:val="1"/>
        </w:numPr>
        <w:pBdr>
          <w:top w:val="nil"/>
          <w:left w:val="nil"/>
          <w:bottom w:val="nil"/>
          <w:right w:val="nil"/>
          <w:between w:val="nil"/>
        </w:pBdr>
        <w:spacing w:after="60"/>
      </w:pPr>
      <w:r>
        <w:rPr>
          <w:color w:val="000000"/>
          <w:sz w:val="21"/>
          <w:szCs w:val="21"/>
        </w:rPr>
        <w:t>Measure AI sustainability and right-sized efficiency directly, surfacing Return on Investment (ROI) alongside Return on Impact wherever possible so cost and environmental decisions are made jointly rather than separately.</w:t>
      </w:r>
    </w:p>
    <w:p w14:paraId="00002000" w14:textId="77777777" w:rsidR="0062357D" w:rsidRDefault="007E79DA">
      <w:pPr>
        <w:spacing w:before="120" w:after="60"/>
        <w:jc w:val="center"/>
      </w:pPr>
      <w:r>
        <w:rPr>
          <w:noProof/>
        </w:rPr>
        <w:drawing>
          <wp:inline distT="0" distB="0" distL="0" distR="0" wp14:anchorId="3B4E2EDF" wp14:editId="416902DE">
            <wp:extent cx="5852160" cy="4684068"/>
            <wp:effectExtent l="0" t="0" r="0" b="0"/>
            <wp:docPr id="1" name="Figure 1" descr="Stardust ecosystem diagram showing Providers, Subscribers, the Big Data and Telemetry core, and Carbon Credits and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9"/>
                    <a:stretch>
                      <a:fillRect/>
                    </a:stretch>
                  </pic:blipFill>
                  <pic:spPr>
                    <a:xfrm>
                      <a:off x="0" y="0"/>
                      <a:ext cx="5852160" cy="4684068"/>
                    </a:xfrm>
                    <a:prstGeom prst="rect">
                      <a:avLst/>
                    </a:prstGeom>
                  </pic:spPr>
                </pic:pic>
              </a:graphicData>
            </a:graphic>
          </wp:inline>
        </w:drawing>
      </w:r>
    </w:p>
    <w:p w14:paraId="00002001" w14:textId="77777777" w:rsidR="0062357D" w:rsidRDefault="007E79DA">
      <w:pPr>
        <w:spacing w:after="200"/>
        <w:jc w:val="center"/>
      </w:pPr>
      <w:r>
        <w:rPr>
          <w:i/>
          <w:iCs/>
          <w:color w:val="555555"/>
          <w:sz w:val="18"/>
          <w:szCs w:val="18"/>
        </w:rPr>
        <w:t>Figure 1. The Stardust ecosystem: Providers (carbon capture facilities and sequestration credit sources) feed verified telemetry into the Big Data core; Subscribers — including the AI chat apps, browser extensions, cloud/AI infrastructure, and databases they use — generate usage events and consume cost/impact indicators, and can purchase credits through the exchange.</w:t>
      </w:r>
    </w:p>
    <w:p w14:paraId="0000001A" w14:textId="77777777" w:rsidR="0062357D" w:rsidRDefault="007E79DA">
      <w:pPr>
        <w:pStyle w:val="Heading1"/>
        <w:spacing w:before="360" w:after="160"/>
      </w:pPr>
      <w:r>
        <w:rPr>
          <w:b/>
          <w:bCs/>
          <w:color w:val="0F4A2E"/>
          <w:sz w:val="30"/>
          <w:szCs w:val="30"/>
        </w:rPr>
        <w:t>2. Naming &amp; Product Structure</w:t>
      </w:r>
    </w:p>
    <w:p w14:paraId="0000001B" w14:textId="77777777" w:rsidR="0062357D" w:rsidRDefault="007E79DA">
      <w:pPr>
        <w:spacing w:after="140"/>
      </w:pPr>
      <w:r>
        <w:rPr>
          <w:sz w:val="21"/>
          <w:szCs w:val="21"/>
        </w:rPr>
        <w:t xml:space="preserve">“Stardust” is the internal code name for the engineering effort. The market-facing name is the </w:t>
      </w:r>
      <w:proofErr w:type="spellStart"/>
      <w:r>
        <w:rPr>
          <w:sz w:val="21"/>
          <w:szCs w:val="21"/>
        </w:rPr>
        <w:t>AIforE</w:t>
      </w:r>
      <w:proofErr w:type="spellEnd"/>
      <w:r>
        <w:rPr>
          <w:sz w:val="21"/>
          <w:szCs w:val="21"/>
        </w:rPr>
        <w:t xml:space="preserve"> Subscriber Plugin. “Subscriber” reflects that end users (individuals, teams, and IT departments) subscribe to the metering/reporting service; the underlying AI and cloud platforms being measured are not partners the product depends on for its core function, only integration surfaces.</w:t>
      </w: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200"/>
        <w:gridCol w:w="3000"/>
      </w:tblGrid>
      <w:tr w:rsidR="0062357D" w14:paraId="3D0CAC3E" w14:textId="77777777">
        <w:trPr>
          <w:tblHeader/>
        </w:trPr>
        <w:tc>
          <w:tcPr>
            <w:tcW w:w="2800" w:type="dxa"/>
            <w:shd w:val="clear" w:color="auto" w:fill="1E7A4C"/>
            <w:tcMar>
              <w:top w:w="80" w:type="dxa"/>
              <w:left w:w="100" w:type="dxa"/>
              <w:bottom w:w="80" w:type="dxa"/>
              <w:right w:w="100" w:type="dxa"/>
            </w:tcMar>
          </w:tcPr>
          <w:p w14:paraId="0000001C" w14:textId="77777777" w:rsidR="0062357D" w:rsidRDefault="007E79DA">
            <w:r>
              <w:rPr>
                <w:b/>
                <w:bCs/>
                <w:color w:val="FFFFFF"/>
                <w:sz w:val="19"/>
                <w:szCs w:val="19"/>
              </w:rPr>
              <w:t>Layer</w:t>
            </w:r>
          </w:p>
        </w:tc>
        <w:tc>
          <w:tcPr>
            <w:tcW w:w="4200" w:type="dxa"/>
            <w:shd w:val="clear" w:color="auto" w:fill="1E7A4C"/>
            <w:tcMar>
              <w:top w:w="80" w:type="dxa"/>
              <w:left w:w="100" w:type="dxa"/>
              <w:bottom w:w="80" w:type="dxa"/>
              <w:right w:w="100" w:type="dxa"/>
            </w:tcMar>
          </w:tcPr>
          <w:p w14:paraId="0000001D" w14:textId="77777777" w:rsidR="0062357D" w:rsidRDefault="007E79DA">
            <w:r>
              <w:rPr>
                <w:b/>
                <w:bCs/>
                <w:color w:val="FFFFFF"/>
                <w:sz w:val="19"/>
                <w:szCs w:val="19"/>
              </w:rPr>
              <w:t>Distribution form</w:t>
            </w:r>
          </w:p>
        </w:tc>
        <w:tc>
          <w:tcPr>
            <w:tcW w:w="3000" w:type="dxa"/>
            <w:shd w:val="clear" w:color="auto" w:fill="1E7A4C"/>
            <w:tcMar>
              <w:top w:w="80" w:type="dxa"/>
              <w:left w:w="100" w:type="dxa"/>
              <w:bottom w:w="80" w:type="dxa"/>
              <w:right w:w="100" w:type="dxa"/>
            </w:tcMar>
          </w:tcPr>
          <w:p w14:paraId="0000001E" w14:textId="77777777" w:rsidR="0062357D" w:rsidRDefault="007E79DA">
            <w:r>
              <w:rPr>
                <w:b/>
                <w:bCs/>
                <w:color w:val="FFFFFF"/>
                <w:sz w:val="19"/>
                <w:szCs w:val="19"/>
              </w:rPr>
              <w:t>Primary users</w:t>
            </w:r>
          </w:p>
        </w:tc>
      </w:tr>
      <w:tr w:rsidR="0062357D" w14:paraId="2A3892BA" w14:textId="77777777">
        <w:tc>
          <w:tcPr>
            <w:tcW w:w="2800" w:type="dxa"/>
            <w:tcMar>
              <w:top w:w="80" w:type="dxa"/>
              <w:left w:w="100" w:type="dxa"/>
              <w:bottom w:w="80" w:type="dxa"/>
              <w:right w:w="100" w:type="dxa"/>
            </w:tcMar>
          </w:tcPr>
          <w:p w14:paraId="0000001F" w14:textId="77777777" w:rsidR="0062357D" w:rsidRDefault="007E79DA">
            <w:r>
              <w:rPr>
                <w:sz w:val="19"/>
                <w:szCs w:val="19"/>
              </w:rPr>
              <w:t>Stardust Chat Plugin</w:t>
            </w:r>
          </w:p>
        </w:tc>
        <w:tc>
          <w:tcPr>
            <w:tcW w:w="4200" w:type="dxa"/>
            <w:tcMar>
              <w:top w:w="80" w:type="dxa"/>
              <w:left w:w="100" w:type="dxa"/>
              <w:bottom w:w="80" w:type="dxa"/>
              <w:right w:w="100" w:type="dxa"/>
            </w:tcMar>
          </w:tcPr>
          <w:p w14:paraId="00000020" w14:textId="77777777" w:rsidR="0062357D" w:rsidRDefault="007E79DA">
            <w:r>
              <w:rPr>
                <w:sz w:val="19"/>
                <w:szCs w:val="19"/>
              </w:rPr>
              <w:t xml:space="preserve">Native plugin/connector inside Claude, </w:t>
            </w:r>
            <w:proofErr w:type="spellStart"/>
            <w:r>
              <w:rPr>
                <w:sz w:val="19"/>
                <w:szCs w:val="19"/>
              </w:rPr>
              <w:t>ChatGPT</w:t>
            </w:r>
            <w:proofErr w:type="spellEnd"/>
            <w:r>
              <w:rPr>
                <w:sz w:val="19"/>
                <w:szCs w:val="19"/>
              </w:rPr>
              <w:t>, Gemini, and other AI chat apps where a plugin API exists</w:t>
            </w:r>
          </w:p>
        </w:tc>
        <w:tc>
          <w:tcPr>
            <w:tcW w:w="3000" w:type="dxa"/>
            <w:tcMar>
              <w:top w:w="80" w:type="dxa"/>
              <w:left w:w="100" w:type="dxa"/>
              <w:bottom w:w="80" w:type="dxa"/>
              <w:right w:w="100" w:type="dxa"/>
            </w:tcMar>
          </w:tcPr>
          <w:p w14:paraId="00000021" w14:textId="77777777" w:rsidR="0062357D" w:rsidRDefault="007E79DA">
            <w:r>
              <w:rPr>
                <w:sz w:val="19"/>
                <w:szCs w:val="19"/>
              </w:rPr>
              <w:t>Individual AI users, prosumers</w:t>
            </w:r>
          </w:p>
        </w:tc>
      </w:tr>
      <w:tr w:rsidR="0062357D" w14:paraId="5761B8FE" w14:textId="77777777">
        <w:tc>
          <w:tcPr>
            <w:tcW w:w="2800" w:type="dxa"/>
            <w:tcMar>
              <w:top w:w="80" w:type="dxa"/>
              <w:left w:w="100" w:type="dxa"/>
              <w:bottom w:w="80" w:type="dxa"/>
              <w:right w:w="100" w:type="dxa"/>
            </w:tcMar>
          </w:tcPr>
          <w:p w14:paraId="00000022" w14:textId="77777777" w:rsidR="0062357D" w:rsidRDefault="007E79DA">
            <w:r>
              <w:rPr>
                <w:sz w:val="19"/>
                <w:szCs w:val="19"/>
              </w:rPr>
              <w:t>Stardust Browser Extension</w:t>
            </w:r>
          </w:p>
        </w:tc>
        <w:tc>
          <w:tcPr>
            <w:tcW w:w="4200" w:type="dxa"/>
            <w:tcMar>
              <w:top w:w="80" w:type="dxa"/>
              <w:left w:w="100" w:type="dxa"/>
              <w:bottom w:w="80" w:type="dxa"/>
              <w:right w:w="100" w:type="dxa"/>
            </w:tcMar>
          </w:tcPr>
          <w:p w14:paraId="00000023" w14:textId="77777777" w:rsidR="0062357D" w:rsidRDefault="007E79DA">
            <w:r>
              <w:rPr>
                <w:sz w:val="19"/>
                <w:szCs w:val="19"/>
              </w:rPr>
              <w:t>Chrome, Edge, Safari, and Firefox extension (Manifest V3 + Safari Web Extension)</w:t>
            </w:r>
          </w:p>
        </w:tc>
        <w:tc>
          <w:tcPr>
            <w:tcW w:w="3000" w:type="dxa"/>
            <w:tcMar>
              <w:top w:w="80" w:type="dxa"/>
              <w:left w:w="100" w:type="dxa"/>
              <w:bottom w:w="80" w:type="dxa"/>
              <w:right w:w="100" w:type="dxa"/>
            </w:tcMar>
          </w:tcPr>
          <w:p w14:paraId="00000024" w14:textId="77777777" w:rsidR="0062357D" w:rsidRDefault="007E79DA">
            <w:r>
              <w:rPr>
                <w:sz w:val="19"/>
                <w:szCs w:val="19"/>
              </w:rPr>
              <w:t>Any browser user, including AI web-app usage without a native plugin API</w:t>
            </w:r>
          </w:p>
        </w:tc>
      </w:tr>
      <w:tr w:rsidR="0062357D" w14:paraId="5B02D6CB" w14:textId="77777777">
        <w:tc>
          <w:tcPr>
            <w:tcW w:w="2800" w:type="dxa"/>
            <w:tcMar>
              <w:top w:w="80" w:type="dxa"/>
              <w:left w:w="100" w:type="dxa"/>
              <w:bottom w:w="80" w:type="dxa"/>
              <w:right w:w="100" w:type="dxa"/>
            </w:tcMar>
          </w:tcPr>
          <w:p w14:paraId="00000025" w14:textId="77777777" w:rsidR="0062357D" w:rsidRDefault="007E79DA">
            <w:r>
              <w:rPr>
                <w:sz w:val="19"/>
                <w:szCs w:val="19"/>
              </w:rPr>
              <w:t>Stardust Infra Agent / SDK</w:t>
            </w:r>
          </w:p>
        </w:tc>
        <w:tc>
          <w:tcPr>
            <w:tcW w:w="4200" w:type="dxa"/>
            <w:tcMar>
              <w:top w:w="80" w:type="dxa"/>
              <w:left w:w="100" w:type="dxa"/>
              <w:bottom w:w="80" w:type="dxa"/>
              <w:right w:w="100" w:type="dxa"/>
            </w:tcMar>
          </w:tcPr>
          <w:p w14:paraId="00000026" w14:textId="77777777" w:rsidR="0062357D" w:rsidRDefault="007E79DA">
            <w:r>
              <w:rPr>
                <w:sz w:val="19"/>
                <w:szCs w:val="19"/>
              </w:rPr>
              <w:t>Lightweight SDK, sidecar container, or reverse-proxy agent instrumenting databases and cloud/AI infrastructure</w:t>
            </w:r>
          </w:p>
        </w:tc>
        <w:tc>
          <w:tcPr>
            <w:tcW w:w="3000" w:type="dxa"/>
            <w:tcMar>
              <w:top w:w="80" w:type="dxa"/>
              <w:left w:w="100" w:type="dxa"/>
              <w:bottom w:w="80" w:type="dxa"/>
              <w:right w:w="100" w:type="dxa"/>
            </w:tcMar>
          </w:tcPr>
          <w:p w14:paraId="00000027" w14:textId="77777777" w:rsidR="0062357D" w:rsidRDefault="007E79DA">
            <w:r>
              <w:rPr>
                <w:sz w:val="19"/>
                <w:szCs w:val="19"/>
              </w:rPr>
              <w:t>IT administrators, DevOps/</w:t>
            </w:r>
            <w:proofErr w:type="spellStart"/>
            <w:r>
              <w:rPr>
                <w:sz w:val="19"/>
                <w:szCs w:val="19"/>
              </w:rPr>
              <w:t>MLOps</w:t>
            </w:r>
            <w:proofErr w:type="spellEnd"/>
            <w:r>
              <w:rPr>
                <w:sz w:val="19"/>
                <w:szCs w:val="19"/>
              </w:rPr>
              <w:t xml:space="preserve"> teams, cloud architects</w:t>
            </w:r>
          </w:p>
        </w:tc>
      </w:tr>
      <w:tr w:rsidR="0062357D" w14:paraId="16F70084" w14:textId="77777777">
        <w:tc>
          <w:tcPr>
            <w:tcW w:w="2800" w:type="dxa"/>
            <w:tcMar>
              <w:top w:w="80" w:type="dxa"/>
              <w:left w:w="100" w:type="dxa"/>
              <w:bottom w:w="80" w:type="dxa"/>
              <w:right w:w="100" w:type="dxa"/>
            </w:tcMar>
          </w:tcPr>
          <w:p w14:paraId="00000028" w14:textId="77777777" w:rsidR="0062357D" w:rsidRDefault="007E79DA">
            <w:r>
              <w:rPr>
                <w:sz w:val="19"/>
                <w:szCs w:val="19"/>
              </w:rPr>
              <w:t>Stardust Core</w:t>
            </w:r>
          </w:p>
        </w:tc>
        <w:tc>
          <w:tcPr>
            <w:tcW w:w="4200" w:type="dxa"/>
            <w:tcMar>
              <w:top w:w="80" w:type="dxa"/>
              <w:left w:w="100" w:type="dxa"/>
              <w:bottom w:w="80" w:type="dxa"/>
              <w:right w:w="100" w:type="dxa"/>
            </w:tcMar>
          </w:tcPr>
          <w:p w14:paraId="00000029" w14:textId="77777777" w:rsidR="0062357D" w:rsidRDefault="007E79DA">
            <w:r>
              <w:rPr>
                <w:sz w:val="19"/>
                <w:szCs w:val="19"/>
              </w:rPr>
              <w:t>Shared measurement, normalization, and reporting service consumed by all three clients</w:t>
            </w:r>
          </w:p>
        </w:tc>
        <w:tc>
          <w:tcPr>
            <w:tcW w:w="3000" w:type="dxa"/>
            <w:tcMar>
              <w:top w:w="80" w:type="dxa"/>
              <w:left w:w="100" w:type="dxa"/>
              <w:bottom w:w="80" w:type="dxa"/>
              <w:right w:w="100" w:type="dxa"/>
            </w:tcMar>
          </w:tcPr>
          <w:p w14:paraId="0000002A" w14:textId="77777777" w:rsidR="0062357D" w:rsidRDefault="007E79DA">
            <w:r>
              <w:rPr>
                <w:sz w:val="19"/>
                <w:szCs w:val="19"/>
              </w:rPr>
              <w:t>N/A — internal service layer</w:t>
            </w:r>
          </w:p>
        </w:tc>
      </w:tr>
    </w:tbl>
    <w:p w14:paraId="0000002B" w14:textId="77777777" w:rsidR="0062357D" w:rsidRDefault="0062357D">
      <w:pPr>
        <w:spacing w:after="140"/>
      </w:pPr>
    </w:p>
    <w:p w14:paraId="0000002C" w14:textId="77777777" w:rsidR="0062357D" w:rsidRDefault="007E79DA">
      <w:pPr>
        <w:pStyle w:val="Heading1"/>
        <w:spacing w:before="360" w:after="160"/>
      </w:pPr>
      <w:r>
        <w:rPr>
          <w:b/>
          <w:bCs/>
          <w:color w:val="0F4A2E"/>
          <w:sz w:val="30"/>
          <w:szCs w:val="30"/>
        </w:rPr>
        <w:t>3. Target Integration Surfaces</w:t>
      </w:r>
    </w:p>
    <w:p w14:paraId="0000002D" w14:textId="77777777" w:rsidR="0062357D" w:rsidRDefault="007E79DA">
      <w:pPr>
        <w:pStyle w:val="Heading2"/>
        <w:spacing w:before="280" w:after="120"/>
      </w:pPr>
      <w:r>
        <w:rPr>
          <w:b/>
          <w:bCs/>
          <w:color w:val="1E7A4C"/>
          <w:sz w:val="24"/>
          <w:szCs w:val="24"/>
        </w:rPr>
        <w:t>3.1 AI Chat Applications</w:t>
      </w:r>
    </w:p>
    <w:p w14:paraId="0000002E" w14:textId="77777777" w:rsidR="0062357D" w:rsidRDefault="007E79DA">
      <w:pPr>
        <w:spacing w:after="140"/>
      </w:pPr>
      <w:r>
        <w:rPr>
          <w:sz w:val="21"/>
          <w:szCs w:val="21"/>
        </w:rPr>
        <w:t>Target platforms at launch: Claude (</w:t>
      </w:r>
      <w:proofErr w:type="spellStart"/>
      <w:r>
        <w:rPr>
          <w:sz w:val="21"/>
          <w:szCs w:val="21"/>
        </w:rPr>
        <w:t>claude.ai</w:t>
      </w:r>
      <w:proofErr w:type="spellEnd"/>
      <w:r>
        <w:rPr>
          <w:sz w:val="21"/>
          <w:szCs w:val="21"/>
        </w:rPr>
        <w:t xml:space="preserve">, Claude Code, Claude Desktop), </w:t>
      </w:r>
      <w:proofErr w:type="spellStart"/>
      <w:r>
        <w:rPr>
          <w:sz w:val="21"/>
          <w:szCs w:val="21"/>
        </w:rPr>
        <w:t>ChatGPT</w:t>
      </w:r>
      <w:proofErr w:type="spellEnd"/>
      <w:r>
        <w:rPr>
          <w:sz w:val="21"/>
          <w:szCs w:val="21"/>
        </w:rPr>
        <w:t xml:space="preserve"> (web and desktop), and Gemini (web and Workspace surfaces), with an extensible connector model for others (e.g., Perplexity, Copilot, Mistral le Chat) added post-launch.</w:t>
      </w:r>
    </w:p>
    <w:p w14:paraId="0000002F"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Where a first-party plugin/connector or extension API exists, Stardust integrates natively (e.g., a Claude connector, a </w:t>
      </w:r>
      <w:proofErr w:type="spellStart"/>
      <w:r>
        <w:rPr>
          <w:color w:val="000000"/>
          <w:sz w:val="21"/>
          <w:szCs w:val="21"/>
        </w:rPr>
        <w:t>ChatGPT</w:t>
      </w:r>
      <w:proofErr w:type="spellEnd"/>
      <w:r>
        <w:rPr>
          <w:color w:val="000000"/>
          <w:sz w:val="21"/>
          <w:szCs w:val="21"/>
        </w:rPr>
        <w:t xml:space="preserve"> plugin/GPT, a Gemini extension).</w:t>
      </w:r>
    </w:p>
    <w:p w14:paraId="00000030" w14:textId="77777777" w:rsidR="0062357D" w:rsidRDefault="007E79DA">
      <w:pPr>
        <w:numPr>
          <w:ilvl w:val="0"/>
          <w:numId w:val="1"/>
        </w:numPr>
        <w:pBdr>
          <w:top w:val="nil"/>
          <w:left w:val="nil"/>
          <w:bottom w:val="nil"/>
          <w:right w:val="nil"/>
          <w:between w:val="nil"/>
        </w:pBdr>
        <w:spacing w:after="60"/>
      </w:pPr>
      <w:r>
        <w:rPr>
          <w:color w:val="000000"/>
          <w:sz w:val="21"/>
          <w:szCs w:val="21"/>
        </w:rPr>
        <w:t>Where no native plugin surface exists, or a platform restricts third-party metering, Stardust falls back to the browser-extension layer reading the rendered conversation and any exposed usage telemetry (token counters, model indicators) in the page.</w:t>
      </w:r>
    </w:p>
    <w:p w14:paraId="00000031" w14:textId="77777777" w:rsidR="0062357D" w:rsidRDefault="007E79DA">
      <w:pPr>
        <w:numPr>
          <w:ilvl w:val="0"/>
          <w:numId w:val="1"/>
        </w:numPr>
        <w:pBdr>
          <w:top w:val="nil"/>
          <w:left w:val="nil"/>
          <w:bottom w:val="nil"/>
          <w:right w:val="nil"/>
          <w:between w:val="nil"/>
        </w:pBdr>
        <w:spacing w:after="60"/>
      </w:pPr>
      <w:r>
        <w:rPr>
          <w:color w:val="000000"/>
          <w:sz w:val="21"/>
          <w:szCs w:val="21"/>
        </w:rPr>
        <w:t>API-based usage (a user's own API key traffic to a given model provider) is captured via the Infra Agent/SDK layer, not the chat-app layer.</w:t>
      </w:r>
    </w:p>
    <w:p w14:paraId="00000032" w14:textId="77777777" w:rsidR="0062357D" w:rsidRDefault="007E79DA">
      <w:pPr>
        <w:pStyle w:val="Heading2"/>
        <w:spacing w:before="280" w:after="120"/>
      </w:pPr>
      <w:r>
        <w:rPr>
          <w:b/>
          <w:bCs/>
          <w:color w:val="1E7A4C"/>
          <w:sz w:val="24"/>
          <w:szCs w:val="24"/>
        </w:rPr>
        <w:t>3.2 Browsers</w:t>
      </w:r>
    </w:p>
    <w:p w14:paraId="00000033" w14:textId="77777777" w:rsidR="0062357D" w:rsidRDefault="007E79DA">
      <w:pPr>
        <w:spacing w:after="140"/>
      </w:pPr>
      <w:r>
        <w:rPr>
          <w:sz w:val="21"/>
          <w:szCs w:val="21"/>
        </w:rPr>
        <w:t>Target browsers at launch: Chrome, Edge, and Firefox on Manifest V3 (Edge and Chrome share a codebase; Firefox requires MV3 event-page adaptations). Safari is targeted via the Safari Web Extension converter, acknowledging Apple's stricter background-execution and telemetry constraints.</w:t>
      </w:r>
    </w:p>
    <w:p w14:paraId="00000034" w14:textId="77777777" w:rsidR="0062357D" w:rsidRDefault="007E79DA">
      <w:pPr>
        <w:numPr>
          <w:ilvl w:val="0"/>
          <w:numId w:val="1"/>
        </w:numPr>
        <w:pBdr>
          <w:top w:val="nil"/>
          <w:left w:val="nil"/>
          <w:bottom w:val="nil"/>
          <w:right w:val="nil"/>
          <w:between w:val="nil"/>
        </w:pBdr>
        <w:spacing w:after="60"/>
      </w:pPr>
      <w:r>
        <w:rPr>
          <w:color w:val="000000"/>
          <w:sz w:val="21"/>
          <w:szCs w:val="21"/>
        </w:rPr>
        <w:t>The extension is the universal fallback: any AI web app, whether or not it has a native Stardust plugin, can be measured here if it exposes usage data in its own UI or network responses that the extension is permitted to read.</w:t>
      </w:r>
    </w:p>
    <w:p w14:paraId="00000035" w14:textId="77777777" w:rsidR="0062357D" w:rsidRDefault="007E79DA">
      <w:pPr>
        <w:numPr>
          <w:ilvl w:val="0"/>
          <w:numId w:val="1"/>
        </w:numPr>
        <w:pBdr>
          <w:top w:val="nil"/>
          <w:left w:val="nil"/>
          <w:bottom w:val="nil"/>
          <w:right w:val="nil"/>
          <w:between w:val="nil"/>
        </w:pBdr>
        <w:spacing w:after="60"/>
      </w:pPr>
      <w:r>
        <w:rPr>
          <w:color w:val="000000"/>
          <w:sz w:val="21"/>
          <w:szCs w:val="21"/>
        </w:rPr>
        <w:t>The extension also captures general cloud-console browsing (e.g., a user viewing their own AWS/Azure/GCP billing dashboard) to enrich cost/impact context, subject to the domain allow-list in §14.</w:t>
      </w:r>
    </w:p>
    <w:p w14:paraId="00000036" w14:textId="77777777" w:rsidR="0062357D" w:rsidRDefault="007E79DA">
      <w:pPr>
        <w:pStyle w:val="Heading2"/>
        <w:spacing w:before="280" w:after="120"/>
      </w:pPr>
      <w:r>
        <w:rPr>
          <w:b/>
          <w:bCs/>
          <w:color w:val="1E7A4C"/>
          <w:sz w:val="24"/>
          <w:szCs w:val="24"/>
        </w:rPr>
        <w:t>3.3 IT Infrastructure and Cloud Services</w:t>
      </w:r>
    </w:p>
    <w:p w14:paraId="00000037" w14:textId="77777777" w:rsidR="0062357D" w:rsidRDefault="007E79DA">
      <w:pPr>
        <w:spacing w:after="140"/>
      </w:pPr>
      <w:r>
        <w:rPr>
          <w:sz w:val="21"/>
          <w:szCs w:val="21"/>
        </w:rPr>
        <w:t>Stardust extends past the browser into the infrastructure that AI and web applications run on, so organizations can see cost and environmental impact at the service level, not just the chat level.</w:t>
      </w:r>
    </w:p>
    <w:p w14:paraId="00000038"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Databases: managed and self-hosted (PostgreSQL, MySQL, MongoDB, </w:t>
      </w:r>
      <w:proofErr w:type="spellStart"/>
      <w:r>
        <w:rPr>
          <w:color w:val="000000"/>
          <w:sz w:val="21"/>
          <w:szCs w:val="21"/>
        </w:rPr>
        <w:t>DynamoDB</w:t>
      </w:r>
      <w:proofErr w:type="spellEnd"/>
      <w:r>
        <w:rPr>
          <w:color w:val="000000"/>
          <w:sz w:val="21"/>
          <w:szCs w:val="21"/>
        </w:rPr>
        <w:t>, Snowflake, etc.) instrumented via a lightweight driver wrapper or sidecar that observes query volume, compute time, and storage I/O.</w:t>
      </w:r>
    </w:p>
    <w:p w14:paraId="00000039" w14:textId="77777777" w:rsidR="0062357D" w:rsidRDefault="007E79DA">
      <w:pPr>
        <w:numPr>
          <w:ilvl w:val="0"/>
          <w:numId w:val="1"/>
        </w:numPr>
        <w:pBdr>
          <w:top w:val="nil"/>
          <w:left w:val="nil"/>
          <w:bottom w:val="nil"/>
          <w:right w:val="nil"/>
          <w:between w:val="nil"/>
        </w:pBdr>
        <w:spacing w:after="60"/>
      </w:pPr>
      <w:r>
        <w:rPr>
          <w:color w:val="000000"/>
          <w:sz w:val="21"/>
          <w:szCs w:val="21"/>
        </w:rPr>
        <w:t>AI infrastructure: inference endpoints and model-serving layers (e.g., vector databases, GPU inference clusters, managed model APIs) instrumented via SDK middleware or a reverse-proxy agent that sits in front of the endpoint.</w:t>
      </w:r>
    </w:p>
    <w:p w14:paraId="0000003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General cloud compute and storage: virtual machines, containers/Kubernetes, </w:t>
      </w:r>
      <w:proofErr w:type="spellStart"/>
      <w:r>
        <w:rPr>
          <w:color w:val="000000"/>
          <w:sz w:val="21"/>
          <w:szCs w:val="21"/>
        </w:rPr>
        <w:t>serverless</w:t>
      </w:r>
      <w:proofErr w:type="spellEnd"/>
      <w:r>
        <w:rPr>
          <w:color w:val="000000"/>
          <w:sz w:val="21"/>
          <w:szCs w:val="21"/>
        </w:rPr>
        <w:t xml:space="preserve"> functions, and object storage, instrumented via cloud-provider billing and metering APIs (AWS Cost Explorer, Azure Cost Management, GCP Billing) plus, where available, provider carbon/sustainability APIs.</w:t>
      </w:r>
    </w:p>
    <w:p w14:paraId="0000003B" w14:textId="77777777" w:rsidR="0062357D" w:rsidRDefault="007E79DA">
      <w:pPr>
        <w:numPr>
          <w:ilvl w:val="0"/>
          <w:numId w:val="1"/>
        </w:numPr>
        <w:pBdr>
          <w:top w:val="nil"/>
          <w:left w:val="nil"/>
          <w:bottom w:val="nil"/>
          <w:right w:val="nil"/>
          <w:between w:val="nil"/>
        </w:pBdr>
        <w:spacing w:after="60"/>
      </w:pPr>
      <w:r>
        <w:rPr>
          <w:color w:val="000000"/>
          <w:sz w:val="21"/>
          <w:szCs w:val="21"/>
        </w:rPr>
        <w:t>This layer is designed for opt-in deployment by an IT administrator, distinct from the individual-consumer chat/browser layers, and reports at a service or workload granularity rather than a per-message granularity.</w:t>
      </w:r>
    </w:p>
    <w:p w14:paraId="0000003C" w14:textId="77777777" w:rsidR="0062357D" w:rsidRDefault="007E79DA">
      <w:pPr>
        <w:pStyle w:val="Heading1"/>
        <w:spacing w:before="360" w:after="160"/>
      </w:pPr>
      <w:r>
        <w:rPr>
          <w:b/>
          <w:bCs/>
          <w:color w:val="0F4A2E"/>
          <w:sz w:val="30"/>
          <w:szCs w:val="30"/>
        </w:rPr>
        <w:t>4. Core Metrics Tracked</w:t>
      </w:r>
    </w:p>
    <w:p w14:paraId="0000003D" w14:textId="77777777" w:rsidR="0062357D" w:rsidRDefault="007E79DA">
      <w:pPr>
        <w:pStyle w:val="Heading2"/>
        <w:spacing w:before="280" w:after="120"/>
      </w:pPr>
      <w:r>
        <w:rPr>
          <w:b/>
          <w:bCs/>
          <w:color w:val="1E7A4C"/>
          <w:sz w:val="24"/>
          <w:szCs w:val="24"/>
        </w:rPr>
        <w:t>4.1 Usage Metrics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5200"/>
        <w:gridCol w:w="2200"/>
      </w:tblGrid>
      <w:tr w:rsidR="0062357D" w14:paraId="1CDB8878" w14:textId="77777777">
        <w:trPr>
          <w:tblHeader/>
        </w:trPr>
        <w:tc>
          <w:tcPr>
            <w:tcW w:w="2600" w:type="dxa"/>
            <w:shd w:val="clear" w:color="auto" w:fill="1E7A4C"/>
            <w:tcMar>
              <w:top w:w="80" w:type="dxa"/>
              <w:left w:w="100" w:type="dxa"/>
              <w:bottom w:w="80" w:type="dxa"/>
              <w:right w:w="100" w:type="dxa"/>
            </w:tcMar>
          </w:tcPr>
          <w:p w14:paraId="0000003E" w14:textId="77777777" w:rsidR="0062357D" w:rsidRDefault="007E79DA">
            <w:r>
              <w:rPr>
                <w:b/>
                <w:bCs/>
                <w:color w:val="FFFFFF"/>
                <w:sz w:val="19"/>
                <w:szCs w:val="19"/>
              </w:rPr>
              <w:t>Metric</w:t>
            </w:r>
          </w:p>
        </w:tc>
        <w:tc>
          <w:tcPr>
            <w:tcW w:w="5200" w:type="dxa"/>
            <w:shd w:val="clear" w:color="auto" w:fill="1E7A4C"/>
            <w:tcMar>
              <w:top w:w="80" w:type="dxa"/>
              <w:left w:w="100" w:type="dxa"/>
              <w:bottom w:w="80" w:type="dxa"/>
              <w:right w:w="100" w:type="dxa"/>
            </w:tcMar>
          </w:tcPr>
          <w:p w14:paraId="0000003F" w14:textId="77777777" w:rsidR="0062357D" w:rsidRDefault="007E79DA">
            <w:r>
              <w:rPr>
                <w:b/>
                <w:bCs/>
                <w:color w:val="FFFFFF"/>
                <w:sz w:val="19"/>
                <w:szCs w:val="19"/>
              </w:rPr>
              <w:t>Description</w:t>
            </w:r>
          </w:p>
        </w:tc>
        <w:tc>
          <w:tcPr>
            <w:tcW w:w="2200" w:type="dxa"/>
            <w:shd w:val="clear" w:color="auto" w:fill="1E7A4C"/>
            <w:tcMar>
              <w:top w:w="80" w:type="dxa"/>
              <w:left w:w="100" w:type="dxa"/>
              <w:bottom w:w="80" w:type="dxa"/>
              <w:right w:w="100" w:type="dxa"/>
            </w:tcMar>
          </w:tcPr>
          <w:p w14:paraId="00000040" w14:textId="77777777" w:rsidR="0062357D" w:rsidRDefault="007E79DA">
            <w:r>
              <w:rPr>
                <w:b/>
                <w:bCs/>
                <w:color w:val="FFFFFF"/>
                <w:sz w:val="19"/>
                <w:szCs w:val="19"/>
              </w:rPr>
              <w:t>Captured at</w:t>
            </w:r>
          </w:p>
        </w:tc>
      </w:tr>
      <w:tr w:rsidR="0062357D" w14:paraId="2D0F2622" w14:textId="77777777">
        <w:tc>
          <w:tcPr>
            <w:tcW w:w="2600" w:type="dxa"/>
            <w:tcMar>
              <w:top w:w="80" w:type="dxa"/>
              <w:left w:w="100" w:type="dxa"/>
              <w:bottom w:w="80" w:type="dxa"/>
              <w:right w:w="100" w:type="dxa"/>
            </w:tcMar>
          </w:tcPr>
          <w:p w14:paraId="00000041" w14:textId="77777777" w:rsidR="0062357D" w:rsidRDefault="007E79DA">
            <w:r>
              <w:rPr>
                <w:sz w:val="19"/>
                <w:szCs w:val="19"/>
              </w:rPr>
              <w:t>Input tokens</w:t>
            </w:r>
          </w:p>
        </w:tc>
        <w:tc>
          <w:tcPr>
            <w:tcW w:w="5200" w:type="dxa"/>
            <w:tcMar>
              <w:top w:w="80" w:type="dxa"/>
              <w:left w:w="100" w:type="dxa"/>
              <w:bottom w:w="80" w:type="dxa"/>
              <w:right w:w="100" w:type="dxa"/>
            </w:tcMar>
          </w:tcPr>
          <w:p w14:paraId="00000042" w14:textId="77777777" w:rsidR="0062357D" w:rsidRDefault="007E79DA">
            <w:r>
              <w:rPr>
                <w:sz w:val="19"/>
                <w:szCs w:val="19"/>
              </w:rPr>
              <w:t>Tokens sent to the model (prompt, context, system instructions)</w:t>
            </w:r>
          </w:p>
        </w:tc>
        <w:tc>
          <w:tcPr>
            <w:tcW w:w="2200" w:type="dxa"/>
            <w:tcMar>
              <w:top w:w="80" w:type="dxa"/>
              <w:left w:w="100" w:type="dxa"/>
              <w:bottom w:w="80" w:type="dxa"/>
              <w:right w:w="100" w:type="dxa"/>
            </w:tcMar>
          </w:tcPr>
          <w:p w14:paraId="00000043" w14:textId="77777777" w:rsidR="0062357D" w:rsidRDefault="007E79DA">
            <w:r>
              <w:rPr>
                <w:sz w:val="19"/>
                <w:szCs w:val="19"/>
              </w:rPr>
              <w:t>Chat plugin, Infra SDK</w:t>
            </w:r>
          </w:p>
        </w:tc>
      </w:tr>
      <w:tr w:rsidR="0062357D" w14:paraId="3936A538" w14:textId="77777777">
        <w:tc>
          <w:tcPr>
            <w:tcW w:w="2600" w:type="dxa"/>
            <w:tcMar>
              <w:top w:w="80" w:type="dxa"/>
              <w:left w:w="100" w:type="dxa"/>
              <w:bottom w:w="80" w:type="dxa"/>
              <w:right w:w="100" w:type="dxa"/>
            </w:tcMar>
          </w:tcPr>
          <w:p w14:paraId="00000044" w14:textId="77777777" w:rsidR="0062357D" w:rsidRDefault="007E79DA">
            <w:r>
              <w:rPr>
                <w:sz w:val="19"/>
                <w:szCs w:val="19"/>
              </w:rPr>
              <w:t>Output tokens</w:t>
            </w:r>
          </w:p>
        </w:tc>
        <w:tc>
          <w:tcPr>
            <w:tcW w:w="5200" w:type="dxa"/>
            <w:tcMar>
              <w:top w:w="80" w:type="dxa"/>
              <w:left w:w="100" w:type="dxa"/>
              <w:bottom w:w="80" w:type="dxa"/>
              <w:right w:w="100" w:type="dxa"/>
            </w:tcMar>
          </w:tcPr>
          <w:p w14:paraId="00000045" w14:textId="77777777" w:rsidR="0062357D" w:rsidRDefault="007E79DA">
            <w:r>
              <w:rPr>
                <w:sz w:val="19"/>
                <w:szCs w:val="19"/>
              </w:rPr>
              <w:t>Tokens generated by the model in response</w:t>
            </w:r>
          </w:p>
        </w:tc>
        <w:tc>
          <w:tcPr>
            <w:tcW w:w="2200" w:type="dxa"/>
            <w:tcMar>
              <w:top w:w="80" w:type="dxa"/>
              <w:left w:w="100" w:type="dxa"/>
              <w:bottom w:w="80" w:type="dxa"/>
              <w:right w:w="100" w:type="dxa"/>
            </w:tcMar>
          </w:tcPr>
          <w:p w14:paraId="00000046" w14:textId="77777777" w:rsidR="0062357D" w:rsidRDefault="007E79DA">
            <w:r>
              <w:rPr>
                <w:sz w:val="19"/>
                <w:szCs w:val="19"/>
              </w:rPr>
              <w:t>Chat plugin, Infra SDK</w:t>
            </w:r>
          </w:p>
        </w:tc>
      </w:tr>
      <w:tr w:rsidR="0062357D" w14:paraId="006D1809" w14:textId="77777777">
        <w:tc>
          <w:tcPr>
            <w:tcW w:w="2600" w:type="dxa"/>
            <w:tcMar>
              <w:top w:w="80" w:type="dxa"/>
              <w:left w:w="100" w:type="dxa"/>
              <w:bottom w:w="80" w:type="dxa"/>
              <w:right w:w="100" w:type="dxa"/>
            </w:tcMar>
          </w:tcPr>
          <w:p w14:paraId="00000047" w14:textId="77777777" w:rsidR="0062357D" w:rsidRDefault="007E79DA">
            <w:r>
              <w:rPr>
                <w:sz w:val="19"/>
                <w:szCs w:val="19"/>
              </w:rPr>
              <w:t>Requests / queries</w:t>
            </w:r>
          </w:p>
        </w:tc>
        <w:tc>
          <w:tcPr>
            <w:tcW w:w="5200" w:type="dxa"/>
            <w:tcMar>
              <w:top w:w="80" w:type="dxa"/>
              <w:left w:w="100" w:type="dxa"/>
              <w:bottom w:w="80" w:type="dxa"/>
              <w:right w:w="100" w:type="dxa"/>
            </w:tcMar>
          </w:tcPr>
          <w:p w14:paraId="00000048" w14:textId="77777777" w:rsidR="0062357D" w:rsidRDefault="007E79DA">
            <w:r>
              <w:rPr>
                <w:sz w:val="19"/>
                <w:szCs w:val="19"/>
              </w:rPr>
              <w:t>Count of discrete calls (chat turns, API calls, DB queries)</w:t>
            </w:r>
          </w:p>
        </w:tc>
        <w:tc>
          <w:tcPr>
            <w:tcW w:w="2200" w:type="dxa"/>
            <w:tcMar>
              <w:top w:w="80" w:type="dxa"/>
              <w:left w:w="100" w:type="dxa"/>
              <w:bottom w:w="80" w:type="dxa"/>
              <w:right w:w="100" w:type="dxa"/>
            </w:tcMar>
          </w:tcPr>
          <w:p w14:paraId="00000049" w14:textId="77777777" w:rsidR="0062357D" w:rsidRDefault="007E79DA">
            <w:r>
              <w:rPr>
                <w:sz w:val="19"/>
                <w:szCs w:val="19"/>
              </w:rPr>
              <w:t>All layers</w:t>
            </w:r>
          </w:p>
        </w:tc>
      </w:tr>
      <w:tr w:rsidR="0062357D" w14:paraId="743FB7B4" w14:textId="77777777">
        <w:tc>
          <w:tcPr>
            <w:tcW w:w="2600" w:type="dxa"/>
            <w:tcMar>
              <w:top w:w="80" w:type="dxa"/>
              <w:left w:w="100" w:type="dxa"/>
              <w:bottom w:w="80" w:type="dxa"/>
              <w:right w:w="100" w:type="dxa"/>
            </w:tcMar>
          </w:tcPr>
          <w:p w14:paraId="0000004A" w14:textId="77777777" w:rsidR="0062357D" w:rsidRDefault="007E79DA">
            <w:r>
              <w:rPr>
                <w:sz w:val="19"/>
                <w:szCs w:val="19"/>
              </w:rPr>
              <w:t>Compute time</w:t>
            </w:r>
          </w:p>
        </w:tc>
        <w:tc>
          <w:tcPr>
            <w:tcW w:w="5200" w:type="dxa"/>
            <w:tcMar>
              <w:top w:w="80" w:type="dxa"/>
              <w:left w:w="100" w:type="dxa"/>
              <w:bottom w:w="80" w:type="dxa"/>
              <w:right w:w="100" w:type="dxa"/>
            </w:tcMar>
          </w:tcPr>
          <w:p w14:paraId="0000004B" w14:textId="77777777" w:rsidR="0062357D" w:rsidRDefault="007E79DA">
            <w:r>
              <w:rPr>
                <w:sz w:val="19"/>
                <w:szCs w:val="19"/>
              </w:rPr>
              <w:t>Wall-clock and/or GPU/CPU-seconds consumed to produce the result</w:t>
            </w:r>
          </w:p>
        </w:tc>
        <w:tc>
          <w:tcPr>
            <w:tcW w:w="2200" w:type="dxa"/>
            <w:tcMar>
              <w:top w:w="80" w:type="dxa"/>
              <w:left w:w="100" w:type="dxa"/>
              <w:bottom w:w="80" w:type="dxa"/>
              <w:right w:w="100" w:type="dxa"/>
            </w:tcMar>
          </w:tcPr>
          <w:p w14:paraId="0000004C" w14:textId="77777777" w:rsidR="0062357D" w:rsidRDefault="007E79DA">
            <w:r>
              <w:rPr>
                <w:sz w:val="19"/>
                <w:szCs w:val="19"/>
              </w:rPr>
              <w:t>Infra SDK, Browser (est.)</w:t>
            </w:r>
          </w:p>
        </w:tc>
      </w:tr>
      <w:tr w:rsidR="0062357D" w14:paraId="4B777B90" w14:textId="77777777">
        <w:tc>
          <w:tcPr>
            <w:tcW w:w="2600" w:type="dxa"/>
            <w:tcMar>
              <w:top w:w="80" w:type="dxa"/>
              <w:left w:w="100" w:type="dxa"/>
              <w:bottom w:w="80" w:type="dxa"/>
              <w:right w:w="100" w:type="dxa"/>
            </w:tcMar>
          </w:tcPr>
          <w:p w14:paraId="0000004D" w14:textId="77777777" w:rsidR="0062357D" w:rsidRDefault="007E79DA">
            <w:r>
              <w:rPr>
                <w:sz w:val="19"/>
                <w:szCs w:val="19"/>
              </w:rPr>
              <w:t>Model / service identifier</w:t>
            </w:r>
          </w:p>
        </w:tc>
        <w:tc>
          <w:tcPr>
            <w:tcW w:w="5200" w:type="dxa"/>
            <w:tcMar>
              <w:top w:w="80" w:type="dxa"/>
              <w:left w:w="100" w:type="dxa"/>
              <w:bottom w:w="80" w:type="dxa"/>
              <w:right w:w="100" w:type="dxa"/>
            </w:tcMar>
          </w:tcPr>
          <w:p w14:paraId="0000004E" w14:textId="77777777" w:rsidR="0062357D" w:rsidRDefault="007E79DA">
            <w:r>
              <w:rPr>
                <w:sz w:val="19"/>
                <w:szCs w:val="19"/>
              </w:rPr>
              <w:t>Which model or service version handled the request</w:t>
            </w:r>
          </w:p>
        </w:tc>
        <w:tc>
          <w:tcPr>
            <w:tcW w:w="2200" w:type="dxa"/>
            <w:tcMar>
              <w:top w:w="80" w:type="dxa"/>
              <w:left w:w="100" w:type="dxa"/>
              <w:bottom w:w="80" w:type="dxa"/>
              <w:right w:w="100" w:type="dxa"/>
            </w:tcMar>
          </w:tcPr>
          <w:p w14:paraId="0000004F" w14:textId="77777777" w:rsidR="0062357D" w:rsidRDefault="007E79DA">
            <w:r>
              <w:rPr>
                <w:sz w:val="19"/>
                <w:szCs w:val="19"/>
              </w:rPr>
              <w:t>All layers</w:t>
            </w:r>
          </w:p>
        </w:tc>
      </w:tr>
      <w:tr w:rsidR="0062357D" w14:paraId="41CC1C67" w14:textId="77777777">
        <w:tc>
          <w:tcPr>
            <w:tcW w:w="2600" w:type="dxa"/>
            <w:tcMar>
              <w:top w:w="80" w:type="dxa"/>
              <w:left w:w="100" w:type="dxa"/>
              <w:bottom w:w="80" w:type="dxa"/>
              <w:right w:w="100" w:type="dxa"/>
            </w:tcMar>
          </w:tcPr>
          <w:p w14:paraId="00000050" w14:textId="77777777" w:rsidR="0062357D" w:rsidRDefault="007E79DA">
            <w:r>
              <w:rPr>
                <w:sz w:val="19"/>
                <w:szCs w:val="19"/>
              </w:rPr>
              <w:t>Data transferred</w:t>
            </w:r>
          </w:p>
        </w:tc>
        <w:tc>
          <w:tcPr>
            <w:tcW w:w="5200" w:type="dxa"/>
            <w:tcMar>
              <w:top w:w="80" w:type="dxa"/>
              <w:left w:w="100" w:type="dxa"/>
              <w:bottom w:w="80" w:type="dxa"/>
              <w:right w:w="100" w:type="dxa"/>
            </w:tcMar>
          </w:tcPr>
          <w:p w14:paraId="00000051" w14:textId="77777777" w:rsidR="0062357D" w:rsidRDefault="007E79DA">
            <w:r>
              <w:rPr>
                <w:sz w:val="19"/>
                <w:szCs w:val="19"/>
              </w:rPr>
              <w:t>Bytes sent/received for the operation</w:t>
            </w:r>
          </w:p>
        </w:tc>
        <w:tc>
          <w:tcPr>
            <w:tcW w:w="2200" w:type="dxa"/>
            <w:tcMar>
              <w:top w:w="80" w:type="dxa"/>
              <w:left w:w="100" w:type="dxa"/>
              <w:bottom w:w="80" w:type="dxa"/>
              <w:right w:w="100" w:type="dxa"/>
            </w:tcMar>
          </w:tcPr>
          <w:p w14:paraId="00000052" w14:textId="77777777" w:rsidR="0062357D" w:rsidRDefault="007E79DA">
            <w:r>
              <w:rPr>
                <w:sz w:val="19"/>
                <w:szCs w:val="19"/>
              </w:rPr>
              <w:t>Browser, Infra SDK</w:t>
            </w:r>
          </w:p>
        </w:tc>
      </w:tr>
      <w:tr w:rsidR="0062357D" w14:paraId="4E6A7422" w14:textId="77777777">
        <w:tc>
          <w:tcPr>
            <w:tcW w:w="2600" w:type="dxa"/>
            <w:tcMar>
              <w:top w:w="80" w:type="dxa"/>
              <w:left w:w="100" w:type="dxa"/>
              <w:bottom w:w="80" w:type="dxa"/>
              <w:right w:w="100" w:type="dxa"/>
            </w:tcMar>
          </w:tcPr>
          <w:p w14:paraId="00000053" w14:textId="77777777" w:rsidR="0062357D" w:rsidRDefault="007E79DA">
            <w:r>
              <w:rPr>
                <w:sz w:val="19"/>
                <w:szCs w:val="19"/>
              </w:rPr>
              <w:t>Storage delta</w:t>
            </w:r>
          </w:p>
        </w:tc>
        <w:tc>
          <w:tcPr>
            <w:tcW w:w="5200" w:type="dxa"/>
            <w:tcMar>
              <w:top w:w="80" w:type="dxa"/>
              <w:left w:w="100" w:type="dxa"/>
              <w:bottom w:w="80" w:type="dxa"/>
              <w:right w:w="100" w:type="dxa"/>
            </w:tcMar>
          </w:tcPr>
          <w:p w14:paraId="00000054" w14:textId="77777777" w:rsidR="0062357D" w:rsidRDefault="007E79DA">
            <w:r>
              <w:rPr>
                <w:sz w:val="19"/>
                <w:szCs w:val="19"/>
              </w:rPr>
              <w:t>Net new data written/retained (for DB and storage operations)</w:t>
            </w:r>
          </w:p>
        </w:tc>
        <w:tc>
          <w:tcPr>
            <w:tcW w:w="2200" w:type="dxa"/>
            <w:tcMar>
              <w:top w:w="80" w:type="dxa"/>
              <w:left w:w="100" w:type="dxa"/>
              <w:bottom w:w="80" w:type="dxa"/>
              <w:right w:w="100" w:type="dxa"/>
            </w:tcMar>
          </w:tcPr>
          <w:p w14:paraId="00000055" w14:textId="77777777" w:rsidR="0062357D" w:rsidRDefault="007E79DA">
            <w:r>
              <w:rPr>
                <w:sz w:val="19"/>
                <w:szCs w:val="19"/>
              </w:rPr>
              <w:t>Infra SDK</w:t>
            </w:r>
          </w:p>
        </w:tc>
      </w:tr>
    </w:tbl>
    <w:p w14:paraId="00000056" w14:textId="77777777" w:rsidR="0062357D" w:rsidRDefault="0062357D">
      <w:pPr>
        <w:spacing w:after="140"/>
      </w:pPr>
    </w:p>
    <w:p w14:paraId="00000057" w14:textId="77777777" w:rsidR="0062357D" w:rsidRDefault="007E79DA">
      <w:pPr>
        <w:pStyle w:val="Heading2"/>
        <w:spacing w:before="280" w:after="120"/>
      </w:pPr>
      <w:r>
        <w:rPr>
          <w:b/>
          <w:bCs/>
          <w:color w:val="1E7A4C"/>
          <w:sz w:val="24"/>
          <w:szCs w:val="24"/>
        </w:rPr>
        <w:t>4.2 Cost Metrics</w:t>
      </w:r>
    </w:p>
    <w:p w14:paraId="00000058" w14:textId="77777777" w:rsidR="0062357D" w:rsidRDefault="007E79DA">
      <w:pPr>
        <w:numPr>
          <w:ilvl w:val="0"/>
          <w:numId w:val="1"/>
        </w:numPr>
        <w:pBdr>
          <w:top w:val="nil"/>
          <w:left w:val="nil"/>
          <w:bottom w:val="nil"/>
          <w:right w:val="nil"/>
          <w:between w:val="nil"/>
        </w:pBdr>
        <w:spacing w:after="60"/>
      </w:pPr>
      <w:r>
        <w:rPr>
          <w:color w:val="000000"/>
          <w:sz w:val="21"/>
          <w:szCs w:val="21"/>
        </w:rPr>
        <w:t>Cost per token (input and output, priced per the originating provider's published or metered rate) and blended cost per request.</w:t>
      </w:r>
    </w:p>
    <w:p w14:paraId="00000059" w14:textId="77777777" w:rsidR="0062357D" w:rsidRDefault="007E79DA">
      <w:pPr>
        <w:numPr>
          <w:ilvl w:val="0"/>
          <w:numId w:val="1"/>
        </w:numPr>
        <w:pBdr>
          <w:top w:val="nil"/>
          <w:left w:val="nil"/>
          <w:bottom w:val="nil"/>
          <w:right w:val="nil"/>
          <w:between w:val="nil"/>
        </w:pBdr>
        <w:spacing w:after="60"/>
      </w:pPr>
      <w:r>
        <w:rPr>
          <w:color w:val="000000"/>
          <w:sz w:val="21"/>
          <w:szCs w:val="21"/>
        </w:rPr>
        <w:t>Cost per compute-second / per GB-transferred / per GB-stored, for infrastructure-layer operations, sourced from the provider's billing API where available.</w:t>
      </w:r>
    </w:p>
    <w:p w14:paraId="0000005A" w14:textId="77777777" w:rsidR="0062357D" w:rsidRDefault="007E79DA">
      <w:pPr>
        <w:numPr>
          <w:ilvl w:val="0"/>
          <w:numId w:val="1"/>
        </w:numPr>
        <w:pBdr>
          <w:top w:val="nil"/>
          <w:left w:val="nil"/>
          <w:bottom w:val="nil"/>
          <w:right w:val="nil"/>
          <w:between w:val="nil"/>
        </w:pBdr>
        <w:spacing w:after="60"/>
      </w:pPr>
      <w:r>
        <w:rPr>
          <w:color w:val="000000"/>
          <w:sz w:val="21"/>
          <w:szCs w:val="21"/>
        </w:rPr>
        <w:t>Running session, daily, and monthly cost totals, with per-service and per-model breakdowns.</w:t>
      </w:r>
    </w:p>
    <w:p w14:paraId="0000005B" w14:textId="77777777" w:rsidR="0062357D" w:rsidRDefault="007E79DA">
      <w:pPr>
        <w:numPr>
          <w:ilvl w:val="0"/>
          <w:numId w:val="1"/>
        </w:numPr>
        <w:pBdr>
          <w:top w:val="nil"/>
          <w:left w:val="nil"/>
          <w:bottom w:val="nil"/>
          <w:right w:val="nil"/>
          <w:between w:val="nil"/>
        </w:pBdr>
        <w:spacing w:after="60"/>
      </w:pPr>
      <w:r>
        <w:rPr>
          <w:color w:val="000000"/>
          <w:sz w:val="21"/>
          <w:szCs w:val="21"/>
        </w:rPr>
        <w:t>Currency-normalized reporting (default USD, configurable).</w:t>
      </w:r>
    </w:p>
    <w:p w14:paraId="0000005C" w14:textId="77777777" w:rsidR="0062357D" w:rsidRDefault="007E79DA">
      <w:pPr>
        <w:pStyle w:val="Heading2"/>
        <w:spacing w:before="280" w:after="120"/>
      </w:pPr>
      <w:r>
        <w:rPr>
          <w:b/>
          <w:bCs/>
          <w:color w:val="1E7A4C"/>
          <w:sz w:val="24"/>
          <w:szCs w:val="24"/>
        </w:rPr>
        <w:t>4.3 Environmental Impact Metrics</w:t>
      </w:r>
    </w:p>
    <w:p w14:paraId="0000005D" w14:textId="77777777" w:rsidR="0062357D" w:rsidRDefault="007E79DA">
      <w:pPr>
        <w:spacing w:after="140"/>
      </w:pPr>
      <w:r>
        <w:rPr>
          <w:sz w:val="21"/>
          <w:szCs w:val="21"/>
        </w:rPr>
        <w:t>Environmental metrics are estimated from usage metrics using the methodology in §8. Every estimate carries a confidence tier (Measured / Modeled / Estimated) so users can see how directly a figure was sourced versus inferred.</w:t>
      </w:r>
    </w:p>
    <w:tbl>
      <w:tblPr>
        <w:tblStyle w:val="a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200"/>
        <w:gridCol w:w="2600"/>
      </w:tblGrid>
      <w:tr w:rsidR="0062357D" w14:paraId="64F61896" w14:textId="77777777">
        <w:trPr>
          <w:tblHeader/>
        </w:trPr>
        <w:tc>
          <w:tcPr>
            <w:tcW w:w="3200" w:type="dxa"/>
            <w:shd w:val="clear" w:color="auto" w:fill="1E7A4C"/>
            <w:tcMar>
              <w:top w:w="80" w:type="dxa"/>
              <w:left w:w="100" w:type="dxa"/>
              <w:bottom w:w="80" w:type="dxa"/>
              <w:right w:w="100" w:type="dxa"/>
            </w:tcMar>
          </w:tcPr>
          <w:p w14:paraId="0000005E" w14:textId="77777777" w:rsidR="0062357D" w:rsidRDefault="007E79DA">
            <w:r>
              <w:rPr>
                <w:b/>
                <w:bCs/>
                <w:color w:val="FFFFFF"/>
                <w:sz w:val="19"/>
                <w:szCs w:val="19"/>
              </w:rPr>
              <w:t>Category</w:t>
            </w:r>
          </w:p>
        </w:tc>
        <w:tc>
          <w:tcPr>
            <w:tcW w:w="4200" w:type="dxa"/>
            <w:shd w:val="clear" w:color="auto" w:fill="1E7A4C"/>
            <w:tcMar>
              <w:top w:w="80" w:type="dxa"/>
              <w:left w:w="100" w:type="dxa"/>
              <w:bottom w:w="80" w:type="dxa"/>
              <w:right w:w="100" w:type="dxa"/>
            </w:tcMar>
          </w:tcPr>
          <w:p w14:paraId="0000005F" w14:textId="77777777" w:rsidR="0062357D" w:rsidRDefault="007E79DA">
            <w:r>
              <w:rPr>
                <w:b/>
                <w:bCs/>
                <w:color w:val="FFFFFF"/>
                <w:sz w:val="19"/>
                <w:szCs w:val="19"/>
              </w:rPr>
              <w:t>Metric</w:t>
            </w:r>
          </w:p>
        </w:tc>
        <w:tc>
          <w:tcPr>
            <w:tcW w:w="2600" w:type="dxa"/>
            <w:shd w:val="clear" w:color="auto" w:fill="1E7A4C"/>
            <w:tcMar>
              <w:top w:w="80" w:type="dxa"/>
              <w:left w:w="100" w:type="dxa"/>
              <w:bottom w:w="80" w:type="dxa"/>
              <w:right w:w="100" w:type="dxa"/>
            </w:tcMar>
          </w:tcPr>
          <w:p w14:paraId="00000060" w14:textId="77777777" w:rsidR="0062357D" w:rsidRDefault="007E79DA">
            <w:r>
              <w:rPr>
                <w:b/>
                <w:bCs/>
                <w:color w:val="FFFFFF"/>
                <w:sz w:val="19"/>
                <w:szCs w:val="19"/>
              </w:rPr>
              <w:t>Unit</w:t>
            </w:r>
          </w:p>
        </w:tc>
      </w:tr>
      <w:tr w:rsidR="0062357D" w14:paraId="501A2355" w14:textId="77777777">
        <w:tc>
          <w:tcPr>
            <w:tcW w:w="3200" w:type="dxa"/>
            <w:tcMar>
              <w:top w:w="80" w:type="dxa"/>
              <w:left w:w="100" w:type="dxa"/>
              <w:bottom w:w="80" w:type="dxa"/>
              <w:right w:w="100" w:type="dxa"/>
            </w:tcMar>
          </w:tcPr>
          <w:p w14:paraId="00000061" w14:textId="77777777" w:rsidR="0062357D" w:rsidRDefault="007E79DA">
            <w:r>
              <w:rPr>
                <w:sz w:val="19"/>
                <w:szCs w:val="19"/>
              </w:rPr>
              <w:t>Electricity &amp; energy</w:t>
            </w:r>
          </w:p>
        </w:tc>
        <w:tc>
          <w:tcPr>
            <w:tcW w:w="4200" w:type="dxa"/>
            <w:tcMar>
              <w:top w:w="80" w:type="dxa"/>
              <w:left w:w="100" w:type="dxa"/>
              <w:bottom w:w="80" w:type="dxa"/>
              <w:right w:w="100" w:type="dxa"/>
            </w:tcMar>
          </w:tcPr>
          <w:p w14:paraId="00000062" w14:textId="77777777" w:rsidR="0062357D" w:rsidRDefault="007E79DA">
            <w:r>
              <w:rPr>
                <w:sz w:val="19"/>
                <w:szCs w:val="19"/>
              </w:rPr>
              <w:t>Energy consumed</w:t>
            </w:r>
          </w:p>
        </w:tc>
        <w:tc>
          <w:tcPr>
            <w:tcW w:w="2600" w:type="dxa"/>
            <w:tcMar>
              <w:top w:w="80" w:type="dxa"/>
              <w:left w:w="100" w:type="dxa"/>
              <w:bottom w:w="80" w:type="dxa"/>
              <w:right w:w="100" w:type="dxa"/>
            </w:tcMar>
          </w:tcPr>
          <w:p w14:paraId="00000063" w14:textId="77777777" w:rsidR="0062357D" w:rsidRDefault="007E79DA">
            <w:proofErr w:type="spellStart"/>
            <w:r>
              <w:rPr>
                <w:sz w:val="19"/>
                <w:szCs w:val="19"/>
              </w:rPr>
              <w:t>Wh</w:t>
            </w:r>
            <w:proofErr w:type="spellEnd"/>
            <w:r>
              <w:rPr>
                <w:sz w:val="19"/>
                <w:szCs w:val="19"/>
              </w:rPr>
              <w:t xml:space="preserve"> / kWh</w:t>
            </w:r>
          </w:p>
        </w:tc>
      </w:tr>
      <w:tr w:rsidR="0062357D" w14:paraId="15CA62DA" w14:textId="77777777">
        <w:tc>
          <w:tcPr>
            <w:tcW w:w="3200" w:type="dxa"/>
            <w:tcMar>
              <w:top w:w="80" w:type="dxa"/>
              <w:left w:w="100" w:type="dxa"/>
              <w:bottom w:w="80" w:type="dxa"/>
              <w:right w:w="100" w:type="dxa"/>
            </w:tcMar>
          </w:tcPr>
          <w:p w14:paraId="00000064" w14:textId="77777777" w:rsidR="0062357D" w:rsidRDefault="007E79DA">
            <w:r>
              <w:rPr>
                <w:sz w:val="19"/>
                <w:szCs w:val="19"/>
              </w:rPr>
              <w:t>Electricity &amp; energy</w:t>
            </w:r>
          </w:p>
        </w:tc>
        <w:tc>
          <w:tcPr>
            <w:tcW w:w="4200" w:type="dxa"/>
            <w:tcMar>
              <w:top w:w="80" w:type="dxa"/>
              <w:left w:w="100" w:type="dxa"/>
              <w:bottom w:w="80" w:type="dxa"/>
              <w:right w:w="100" w:type="dxa"/>
            </w:tcMar>
          </w:tcPr>
          <w:p w14:paraId="00000065" w14:textId="77777777" w:rsidR="0062357D" w:rsidRDefault="007E79DA">
            <w:r>
              <w:rPr>
                <w:sz w:val="19"/>
                <w:szCs w:val="19"/>
              </w:rPr>
              <w:t>Grid carbon intensity applied</w:t>
            </w:r>
          </w:p>
        </w:tc>
        <w:tc>
          <w:tcPr>
            <w:tcW w:w="2600" w:type="dxa"/>
            <w:tcMar>
              <w:top w:w="80" w:type="dxa"/>
              <w:left w:w="100" w:type="dxa"/>
              <w:bottom w:w="80" w:type="dxa"/>
              <w:right w:w="100" w:type="dxa"/>
            </w:tcMar>
          </w:tcPr>
          <w:p w14:paraId="00000066" w14:textId="77777777" w:rsidR="0062357D" w:rsidRDefault="007E79DA">
            <w:proofErr w:type="spellStart"/>
            <w:r>
              <w:rPr>
                <w:sz w:val="19"/>
                <w:szCs w:val="19"/>
              </w:rPr>
              <w:t>gCO₂e</w:t>
            </w:r>
            <w:proofErr w:type="spellEnd"/>
            <w:r>
              <w:rPr>
                <w:sz w:val="19"/>
                <w:szCs w:val="19"/>
              </w:rPr>
              <w:t>/kWh</w:t>
            </w:r>
          </w:p>
        </w:tc>
      </w:tr>
      <w:tr w:rsidR="0062357D" w14:paraId="103EF90D" w14:textId="77777777">
        <w:tc>
          <w:tcPr>
            <w:tcW w:w="3200" w:type="dxa"/>
            <w:tcMar>
              <w:top w:w="80" w:type="dxa"/>
              <w:left w:w="100" w:type="dxa"/>
              <w:bottom w:w="80" w:type="dxa"/>
              <w:right w:w="100" w:type="dxa"/>
            </w:tcMar>
          </w:tcPr>
          <w:p w14:paraId="00000067" w14:textId="77777777" w:rsidR="0062357D" w:rsidRDefault="007E79DA">
            <w:r>
              <w:rPr>
                <w:sz w:val="19"/>
                <w:szCs w:val="19"/>
              </w:rPr>
              <w:t>Greenhouse gases</w:t>
            </w:r>
          </w:p>
        </w:tc>
        <w:tc>
          <w:tcPr>
            <w:tcW w:w="4200" w:type="dxa"/>
            <w:tcMar>
              <w:top w:w="80" w:type="dxa"/>
              <w:left w:w="100" w:type="dxa"/>
              <w:bottom w:w="80" w:type="dxa"/>
              <w:right w:w="100" w:type="dxa"/>
            </w:tcMar>
          </w:tcPr>
          <w:p w14:paraId="00000068" w14:textId="77777777" w:rsidR="0062357D" w:rsidRDefault="007E79DA">
            <w:r>
              <w:rPr>
                <w:sz w:val="19"/>
                <w:szCs w:val="19"/>
              </w:rPr>
              <w:t>Carbon dioxide equivalent emitted</w:t>
            </w:r>
          </w:p>
        </w:tc>
        <w:tc>
          <w:tcPr>
            <w:tcW w:w="2600" w:type="dxa"/>
            <w:tcMar>
              <w:top w:w="80" w:type="dxa"/>
              <w:left w:w="100" w:type="dxa"/>
              <w:bottom w:w="80" w:type="dxa"/>
              <w:right w:w="100" w:type="dxa"/>
            </w:tcMar>
          </w:tcPr>
          <w:p w14:paraId="00000069" w14:textId="77777777" w:rsidR="0062357D" w:rsidRDefault="007E79DA">
            <w:proofErr w:type="spellStart"/>
            <w:r>
              <w:rPr>
                <w:sz w:val="19"/>
                <w:szCs w:val="19"/>
              </w:rPr>
              <w:t>gCO₂e</w:t>
            </w:r>
            <w:proofErr w:type="spellEnd"/>
            <w:r>
              <w:rPr>
                <w:sz w:val="19"/>
                <w:szCs w:val="19"/>
              </w:rPr>
              <w:t xml:space="preserve"> / </w:t>
            </w:r>
            <w:proofErr w:type="spellStart"/>
            <w:r>
              <w:rPr>
                <w:sz w:val="19"/>
                <w:szCs w:val="19"/>
              </w:rPr>
              <w:t>kgCO₂e</w:t>
            </w:r>
            <w:proofErr w:type="spellEnd"/>
          </w:p>
        </w:tc>
      </w:tr>
      <w:tr w:rsidR="0062357D" w14:paraId="5AE50F82" w14:textId="77777777">
        <w:tc>
          <w:tcPr>
            <w:tcW w:w="3200" w:type="dxa"/>
            <w:tcMar>
              <w:top w:w="80" w:type="dxa"/>
              <w:left w:w="100" w:type="dxa"/>
              <w:bottom w:w="80" w:type="dxa"/>
              <w:right w:w="100" w:type="dxa"/>
            </w:tcMar>
          </w:tcPr>
          <w:p w14:paraId="0000006A" w14:textId="77777777" w:rsidR="0062357D" w:rsidRDefault="007E79DA">
            <w:r>
              <w:rPr>
                <w:sz w:val="19"/>
                <w:szCs w:val="19"/>
              </w:rPr>
              <w:t>Water</w:t>
            </w:r>
          </w:p>
        </w:tc>
        <w:tc>
          <w:tcPr>
            <w:tcW w:w="4200" w:type="dxa"/>
            <w:tcMar>
              <w:top w:w="80" w:type="dxa"/>
              <w:left w:w="100" w:type="dxa"/>
              <w:bottom w:w="80" w:type="dxa"/>
              <w:right w:w="100" w:type="dxa"/>
            </w:tcMar>
          </w:tcPr>
          <w:p w14:paraId="0000006B" w14:textId="77777777" w:rsidR="0062357D" w:rsidRDefault="007E79DA">
            <w:r>
              <w:rPr>
                <w:sz w:val="19"/>
                <w:szCs w:val="19"/>
              </w:rPr>
              <w:t>Water withdrawn (cooling + power generation)</w:t>
            </w:r>
          </w:p>
        </w:tc>
        <w:tc>
          <w:tcPr>
            <w:tcW w:w="2600" w:type="dxa"/>
            <w:tcMar>
              <w:top w:w="80" w:type="dxa"/>
              <w:left w:w="100" w:type="dxa"/>
              <w:bottom w:w="80" w:type="dxa"/>
              <w:right w:w="100" w:type="dxa"/>
            </w:tcMar>
          </w:tcPr>
          <w:p w14:paraId="0000006C" w14:textId="77777777" w:rsidR="0062357D" w:rsidRDefault="007E79DA">
            <w:r>
              <w:rPr>
                <w:sz w:val="19"/>
                <w:szCs w:val="19"/>
              </w:rPr>
              <w:t>mL / L</w:t>
            </w:r>
          </w:p>
        </w:tc>
      </w:tr>
      <w:tr w:rsidR="0062357D" w14:paraId="2090D960" w14:textId="77777777">
        <w:tc>
          <w:tcPr>
            <w:tcW w:w="3200" w:type="dxa"/>
            <w:tcMar>
              <w:top w:w="80" w:type="dxa"/>
              <w:left w:w="100" w:type="dxa"/>
              <w:bottom w:w="80" w:type="dxa"/>
              <w:right w:w="100" w:type="dxa"/>
            </w:tcMar>
          </w:tcPr>
          <w:p w14:paraId="0000006D" w14:textId="77777777" w:rsidR="0062357D" w:rsidRDefault="007E79DA">
            <w:r>
              <w:rPr>
                <w:sz w:val="19"/>
                <w:szCs w:val="19"/>
              </w:rPr>
              <w:t>Particulate &amp; waste</w:t>
            </w:r>
          </w:p>
        </w:tc>
        <w:tc>
          <w:tcPr>
            <w:tcW w:w="4200" w:type="dxa"/>
            <w:tcMar>
              <w:top w:w="80" w:type="dxa"/>
              <w:left w:w="100" w:type="dxa"/>
              <w:bottom w:w="80" w:type="dxa"/>
              <w:right w:w="100" w:type="dxa"/>
            </w:tcMar>
          </w:tcPr>
          <w:p w14:paraId="0000006E" w14:textId="77777777" w:rsidR="0062357D" w:rsidRDefault="007E79DA">
            <w:r>
              <w:rPr>
                <w:sz w:val="19"/>
                <w:szCs w:val="19"/>
              </w:rPr>
              <w:t>Associated particulate matter / air pollutant burden</w:t>
            </w:r>
          </w:p>
        </w:tc>
        <w:tc>
          <w:tcPr>
            <w:tcW w:w="2600" w:type="dxa"/>
            <w:tcMar>
              <w:top w:w="80" w:type="dxa"/>
              <w:left w:w="100" w:type="dxa"/>
              <w:bottom w:w="80" w:type="dxa"/>
              <w:right w:w="100" w:type="dxa"/>
            </w:tcMar>
          </w:tcPr>
          <w:p w14:paraId="0000006F" w14:textId="77777777" w:rsidR="0062357D" w:rsidRDefault="007E79DA">
            <w:r>
              <w:rPr>
                <w:sz w:val="19"/>
                <w:szCs w:val="19"/>
              </w:rPr>
              <w:t>mg PM2.5-eq</w:t>
            </w:r>
          </w:p>
        </w:tc>
      </w:tr>
      <w:tr w:rsidR="0062357D" w14:paraId="6FF007F9" w14:textId="77777777">
        <w:tc>
          <w:tcPr>
            <w:tcW w:w="3200" w:type="dxa"/>
            <w:tcMar>
              <w:top w:w="80" w:type="dxa"/>
              <w:left w:w="100" w:type="dxa"/>
              <w:bottom w:w="80" w:type="dxa"/>
              <w:right w:w="100" w:type="dxa"/>
            </w:tcMar>
          </w:tcPr>
          <w:p w14:paraId="00000070" w14:textId="77777777" w:rsidR="0062357D" w:rsidRDefault="007E79DA">
            <w:r>
              <w:rPr>
                <w:sz w:val="19"/>
                <w:szCs w:val="19"/>
              </w:rPr>
              <w:t>Particulate &amp; waste</w:t>
            </w:r>
          </w:p>
        </w:tc>
        <w:tc>
          <w:tcPr>
            <w:tcW w:w="4200" w:type="dxa"/>
            <w:tcMar>
              <w:top w:w="80" w:type="dxa"/>
              <w:left w:w="100" w:type="dxa"/>
              <w:bottom w:w="80" w:type="dxa"/>
              <w:right w:w="100" w:type="dxa"/>
            </w:tcMar>
          </w:tcPr>
          <w:p w14:paraId="00000071" w14:textId="77777777" w:rsidR="0062357D" w:rsidRDefault="007E79DA">
            <w:r>
              <w:rPr>
                <w:sz w:val="19"/>
                <w:szCs w:val="19"/>
              </w:rPr>
              <w:t>Hardware/e-waste amortization share</w:t>
            </w:r>
          </w:p>
        </w:tc>
        <w:tc>
          <w:tcPr>
            <w:tcW w:w="2600" w:type="dxa"/>
            <w:tcMar>
              <w:top w:w="80" w:type="dxa"/>
              <w:left w:w="100" w:type="dxa"/>
              <w:bottom w:w="80" w:type="dxa"/>
              <w:right w:w="100" w:type="dxa"/>
            </w:tcMar>
          </w:tcPr>
          <w:p w14:paraId="00000072" w14:textId="77777777" w:rsidR="0062357D" w:rsidRDefault="007E79DA">
            <w:r>
              <w:rPr>
                <w:sz w:val="19"/>
                <w:szCs w:val="19"/>
              </w:rPr>
              <w:t>mg e-waste-</w:t>
            </w:r>
            <w:proofErr w:type="spellStart"/>
            <w:r>
              <w:rPr>
                <w:sz w:val="19"/>
                <w:szCs w:val="19"/>
              </w:rPr>
              <w:t>eq</w:t>
            </w:r>
            <w:proofErr w:type="spellEnd"/>
          </w:p>
        </w:tc>
      </w:tr>
      <w:tr w:rsidR="0062357D" w14:paraId="666EBBF6" w14:textId="77777777">
        <w:tc>
          <w:tcPr>
            <w:tcW w:w="3200" w:type="dxa"/>
            <w:tcMar>
              <w:top w:w="80" w:type="dxa"/>
              <w:left w:w="100" w:type="dxa"/>
              <w:bottom w:w="80" w:type="dxa"/>
              <w:right w:w="100" w:type="dxa"/>
            </w:tcMar>
          </w:tcPr>
          <w:p w14:paraId="00000073" w14:textId="77777777" w:rsidR="0062357D" w:rsidRDefault="007E79DA">
            <w:r>
              <w:rPr>
                <w:sz w:val="19"/>
                <w:szCs w:val="19"/>
              </w:rPr>
              <w:t>Land &amp; materials (extended)</w:t>
            </w:r>
          </w:p>
        </w:tc>
        <w:tc>
          <w:tcPr>
            <w:tcW w:w="4200" w:type="dxa"/>
            <w:tcMar>
              <w:top w:w="80" w:type="dxa"/>
              <w:left w:w="100" w:type="dxa"/>
              <w:bottom w:w="80" w:type="dxa"/>
              <w:right w:w="100" w:type="dxa"/>
            </w:tcMar>
          </w:tcPr>
          <w:p w14:paraId="00000074" w14:textId="77777777" w:rsidR="0062357D" w:rsidRDefault="007E79DA">
            <w:r>
              <w:rPr>
                <w:sz w:val="19"/>
                <w:szCs w:val="19"/>
              </w:rPr>
              <w:t>Mineral/material footprint share (rare-earth, silicon)</w:t>
            </w:r>
          </w:p>
        </w:tc>
        <w:tc>
          <w:tcPr>
            <w:tcW w:w="2600" w:type="dxa"/>
            <w:tcMar>
              <w:top w:w="80" w:type="dxa"/>
              <w:left w:w="100" w:type="dxa"/>
              <w:bottom w:w="80" w:type="dxa"/>
              <w:right w:w="100" w:type="dxa"/>
            </w:tcMar>
          </w:tcPr>
          <w:p w14:paraId="00000075" w14:textId="77777777" w:rsidR="0062357D" w:rsidRDefault="007E79DA">
            <w:r>
              <w:rPr>
                <w:sz w:val="19"/>
                <w:szCs w:val="19"/>
              </w:rPr>
              <w:t>mg material-</w:t>
            </w:r>
            <w:proofErr w:type="spellStart"/>
            <w:r>
              <w:rPr>
                <w:sz w:val="19"/>
                <w:szCs w:val="19"/>
              </w:rPr>
              <w:t>eq</w:t>
            </w:r>
            <w:proofErr w:type="spellEnd"/>
          </w:p>
        </w:tc>
      </w:tr>
    </w:tbl>
    <w:p w14:paraId="00000076" w14:textId="77777777" w:rsidR="0062357D" w:rsidRDefault="007E79DA">
      <w:pPr>
        <w:spacing w:after="140"/>
      </w:pPr>
      <w:r>
        <w:rPr>
          <w:sz w:val="21"/>
          <w:szCs w:val="21"/>
        </w:rPr>
        <w:t xml:space="preserve">The category list is deliberately extensible: additional impact categories (e.g., noise, biodiversity-adjacent land use for data-center siting) can be added as </w:t>
      </w:r>
      <w:proofErr w:type="spellStart"/>
      <w:r>
        <w:rPr>
          <w:sz w:val="21"/>
          <w:szCs w:val="21"/>
        </w:rPr>
        <w:t>AIforE's</w:t>
      </w:r>
      <w:proofErr w:type="spellEnd"/>
      <w:r>
        <w:rPr>
          <w:sz w:val="21"/>
          <w:szCs w:val="21"/>
        </w:rPr>
        <w:t xml:space="preserve"> benchmark methodology matures, without changing the client-side data model.</w:t>
      </w:r>
    </w:p>
    <w:p w14:paraId="00000077" w14:textId="77777777" w:rsidR="0062357D" w:rsidRDefault="007E79DA">
      <w:pPr>
        <w:pStyle w:val="Heading1"/>
        <w:spacing w:before="360" w:after="160"/>
      </w:pPr>
      <w:r>
        <w:rPr>
          <w:b/>
          <w:bCs/>
          <w:color w:val="0F4A2E"/>
          <w:sz w:val="30"/>
          <w:szCs w:val="30"/>
        </w:rPr>
        <w:t>5. Alphanumeric Indicator System</w:t>
      </w:r>
    </w:p>
    <w:p w14:paraId="00000078" w14:textId="77777777" w:rsidR="0062357D" w:rsidRDefault="007E79DA">
      <w:pPr>
        <w:spacing w:after="140"/>
      </w:pPr>
      <w:r>
        <w:rPr>
          <w:sz w:val="21"/>
          <w:szCs w:val="21"/>
        </w:rPr>
        <w:t>Every measured operation resolves to a compact code so impact can be read, compared, and logged without opening the full visual breakdown — similar in spirit to an EU energy-efficiency label or a nutrition-facts shorthand, but AI/cloud-native.</w:t>
      </w:r>
    </w:p>
    <w:p w14:paraId="00000079" w14:textId="77777777" w:rsidR="0062357D" w:rsidRDefault="007E79DA">
      <w:pPr>
        <w:pStyle w:val="Heading2"/>
        <w:spacing w:before="280" w:after="120"/>
      </w:pPr>
      <w:r>
        <w:rPr>
          <w:b/>
          <w:bCs/>
          <w:color w:val="1E7A4C"/>
          <w:sz w:val="24"/>
          <w:szCs w:val="24"/>
        </w:rPr>
        <w:t>5.1 Code Structure</w:t>
      </w:r>
    </w:p>
    <w:p w14:paraId="0000007A" w14:textId="77777777" w:rsidR="0062357D" w:rsidRDefault="007E79DA">
      <w:pPr>
        <w:spacing w:after="140"/>
      </w:pPr>
      <w:r>
        <w:rPr>
          <w:sz w:val="21"/>
          <w:szCs w:val="21"/>
        </w:rPr>
        <w:t>Proposed format: [Impact Grade][Cost Tier]-[Token Volume Class] — e.g. B2-M, D4-XL.</w:t>
      </w:r>
    </w:p>
    <w:tbl>
      <w:tblPr>
        <w:tblStyle w:val="a2"/>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800"/>
      </w:tblGrid>
      <w:tr w:rsidR="0062357D" w14:paraId="412DCAC5" w14:textId="77777777">
        <w:trPr>
          <w:tblHeader/>
        </w:trPr>
        <w:tc>
          <w:tcPr>
            <w:tcW w:w="2600" w:type="dxa"/>
            <w:shd w:val="clear" w:color="auto" w:fill="1E7A4C"/>
            <w:tcMar>
              <w:top w:w="80" w:type="dxa"/>
              <w:left w:w="100" w:type="dxa"/>
              <w:bottom w:w="80" w:type="dxa"/>
              <w:right w:w="100" w:type="dxa"/>
            </w:tcMar>
          </w:tcPr>
          <w:p w14:paraId="0000007B" w14:textId="77777777" w:rsidR="0062357D" w:rsidRDefault="007E79DA">
            <w:r>
              <w:rPr>
                <w:b/>
                <w:bCs/>
                <w:color w:val="FFFFFF"/>
                <w:sz w:val="19"/>
                <w:szCs w:val="19"/>
              </w:rPr>
              <w:t>Segment</w:t>
            </w:r>
          </w:p>
        </w:tc>
        <w:tc>
          <w:tcPr>
            <w:tcW w:w="2600" w:type="dxa"/>
            <w:shd w:val="clear" w:color="auto" w:fill="1E7A4C"/>
            <w:tcMar>
              <w:top w:w="80" w:type="dxa"/>
              <w:left w:w="100" w:type="dxa"/>
              <w:bottom w:w="80" w:type="dxa"/>
              <w:right w:w="100" w:type="dxa"/>
            </w:tcMar>
          </w:tcPr>
          <w:p w14:paraId="0000007C" w14:textId="77777777" w:rsidR="0062357D" w:rsidRDefault="007E79DA">
            <w:r>
              <w:rPr>
                <w:b/>
                <w:bCs/>
                <w:color w:val="FFFFFF"/>
                <w:sz w:val="19"/>
                <w:szCs w:val="19"/>
              </w:rPr>
              <w:t>Values</w:t>
            </w:r>
          </w:p>
        </w:tc>
        <w:tc>
          <w:tcPr>
            <w:tcW w:w="4800" w:type="dxa"/>
            <w:shd w:val="clear" w:color="auto" w:fill="1E7A4C"/>
            <w:tcMar>
              <w:top w:w="80" w:type="dxa"/>
              <w:left w:w="100" w:type="dxa"/>
              <w:bottom w:w="80" w:type="dxa"/>
              <w:right w:w="100" w:type="dxa"/>
            </w:tcMar>
          </w:tcPr>
          <w:p w14:paraId="0000007D" w14:textId="77777777" w:rsidR="0062357D" w:rsidRDefault="007E79DA">
            <w:r>
              <w:rPr>
                <w:b/>
                <w:bCs/>
                <w:color w:val="FFFFFF"/>
                <w:sz w:val="19"/>
                <w:szCs w:val="19"/>
              </w:rPr>
              <w:t>Meaning</w:t>
            </w:r>
          </w:p>
        </w:tc>
      </w:tr>
      <w:tr w:rsidR="0062357D" w14:paraId="14C8D1D1" w14:textId="77777777">
        <w:tc>
          <w:tcPr>
            <w:tcW w:w="2600" w:type="dxa"/>
            <w:tcMar>
              <w:top w:w="80" w:type="dxa"/>
              <w:left w:w="100" w:type="dxa"/>
              <w:bottom w:w="80" w:type="dxa"/>
              <w:right w:w="100" w:type="dxa"/>
            </w:tcMar>
          </w:tcPr>
          <w:p w14:paraId="0000007E" w14:textId="77777777" w:rsidR="0062357D" w:rsidRDefault="007E79DA">
            <w:r>
              <w:rPr>
                <w:sz w:val="19"/>
                <w:szCs w:val="19"/>
              </w:rPr>
              <w:t>Impact Grade</w:t>
            </w:r>
          </w:p>
        </w:tc>
        <w:tc>
          <w:tcPr>
            <w:tcW w:w="2600" w:type="dxa"/>
            <w:tcMar>
              <w:top w:w="80" w:type="dxa"/>
              <w:left w:w="100" w:type="dxa"/>
              <w:bottom w:w="80" w:type="dxa"/>
              <w:right w:w="100" w:type="dxa"/>
            </w:tcMar>
          </w:tcPr>
          <w:p w14:paraId="0000007F" w14:textId="77777777" w:rsidR="0062357D" w:rsidRDefault="007E79DA">
            <w:r>
              <w:rPr>
                <w:sz w:val="19"/>
                <w:szCs w:val="19"/>
              </w:rPr>
              <w:t>A – F</w:t>
            </w:r>
          </w:p>
        </w:tc>
        <w:tc>
          <w:tcPr>
            <w:tcW w:w="4800" w:type="dxa"/>
            <w:tcMar>
              <w:top w:w="80" w:type="dxa"/>
              <w:left w:w="100" w:type="dxa"/>
              <w:bottom w:w="80" w:type="dxa"/>
              <w:right w:w="100" w:type="dxa"/>
            </w:tcMar>
          </w:tcPr>
          <w:p w14:paraId="00000080" w14:textId="77777777" w:rsidR="0062357D" w:rsidRDefault="007E79DA">
            <w:r>
              <w:rPr>
                <w:sz w:val="19"/>
                <w:szCs w:val="19"/>
              </w:rPr>
              <w:t>Composite environmental grade for this operation relative to a rolling benchmark of comparable operations (A = lowest impact per unit of output)</w:t>
            </w:r>
          </w:p>
        </w:tc>
      </w:tr>
      <w:tr w:rsidR="0062357D" w14:paraId="77260821" w14:textId="77777777">
        <w:tc>
          <w:tcPr>
            <w:tcW w:w="2600" w:type="dxa"/>
            <w:tcMar>
              <w:top w:w="80" w:type="dxa"/>
              <w:left w:w="100" w:type="dxa"/>
              <w:bottom w:w="80" w:type="dxa"/>
              <w:right w:w="100" w:type="dxa"/>
            </w:tcMar>
          </w:tcPr>
          <w:p w14:paraId="00000081" w14:textId="77777777" w:rsidR="0062357D" w:rsidRDefault="007E79DA">
            <w:r>
              <w:rPr>
                <w:sz w:val="19"/>
                <w:szCs w:val="19"/>
              </w:rPr>
              <w:t>Cost Tier</w:t>
            </w:r>
          </w:p>
        </w:tc>
        <w:tc>
          <w:tcPr>
            <w:tcW w:w="2600" w:type="dxa"/>
            <w:tcMar>
              <w:top w:w="80" w:type="dxa"/>
              <w:left w:w="100" w:type="dxa"/>
              <w:bottom w:w="80" w:type="dxa"/>
              <w:right w:w="100" w:type="dxa"/>
            </w:tcMar>
          </w:tcPr>
          <w:p w14:paraId="00000082" w14:textId="77777777" w:rsidR="0062357D" w:rsidRDefault="007E79DA">
            <w:r>
              <w:rPr>
                <w:sz w:val="19"/>
                <w:szCs w:val="19"/>
              </w:rPr>
              <w:t>1 – 5</w:t>
            </w:r>
          </w:p>
        </w:tc>
        <w:tc>
          <w:tcPr>
            <w:tcW w:w="4800" w:type="dxa"/>
            <w:tcMar>
              <w:top w:w="80" w:type="dxa"/>
              <w:left w:w="100" w:type="dxa"/>
              <w:bottom w:w="80" w:type="dxa"/>
              <w:right w:w="100" w:type="dxa"/>
            </w:tcMar>
          </w:tcPr>
          <w:p w14:paraId="00000083" w14:textId="77777777" w:rsidR="0062357D" w:rsidRDefault="007E79DA">
            <w:r>
              <w:rPr>
                <w:sz w:val="19"/>
                <w:szCs w:val="19"/>
              </w:rPr>
              <w:t>Relative dollar-cost tier for this operation vs. the user's own historical baseline</w:t>
            </w:r>
          </w:p>
        </w:tc>
      </w:tr>
      <w:tr w:rsidR="0062357D" w14:paraId="0912C597" w14:textId="77777777">
        <w:tc>
          <w:tcPr>
            <w:tcW w:w="2600" w:type="dxa"/>
            <w:tcMar>
              <w:top w:w="80" w:type="dxa"/>
              <w:left w:w="100" w:type="dxa"/>
              <w:bottom w:w="80" w:type="dxa"/>
              <w:right w:w="100" w:type="dxa"/>
            </w:tcMar>
          </w:tcPr>
          <w:p w14:paraId="00000084" w14:textId="77777777" w:rsidR="0062357D" w:rsidRDefault="007E79DA">
            <w:r>
              <w:rPr>
                <w:sz w:val="19"/>
                <w:szCs w:val="19"/>
              </w:rPr>
              <w:t>Token Volume Class</w:t>
            </w:r>
          </w:p>
        </w:tc>
        <w:tc>
          <w:tcPr>
            <w:tcW w:w="2600" w:type="dxa"/>
            <w:tcMar>
              <w:top w:w="80" w:type="dxa"/>
              <w:left w:w="100" w:type="dxa"/>
              <w:bottom w:w="80" w:type="dxa"/>
              <w:right w:w="100" w:type="dxa"/>
            </w:tcMar>
          </w:tcPr>
          <w:p w14:paraId="00000085" w14:textId="77777777" w:rsidR="0062357D" w:rsidRDefault="007E79DA">
            <w:r>
              <w:rPr>
                <w:sz w:val="19"/>
                <w:szCs w:val="19"/>
              </w:rPr>
              <w:t>XS / S / M / L / XL</w:t>
            </w:r>
          </w:p>
        </w:tc>
        <w:tc>
          <w:tcPr>
            <w:tcW w:w="4800" w:type="dxa"/>
            <w:tcMar>
              <w:top w:w="80" w:type="dxa"/>
              <w:left w:w="100" w:type="dxa"/>
              <w:bottom w:w="80" w:type="dxa"/>
              <w:right w:w="100" w:type="dxa"/>
            </w:tcMar>
          </w:tcPr>
          <w:p w14:paraId="00000086" w14:textId="77777777" w:rsidR="0062357D" w:rsidRDefault="007E79DA">
            <w:r>
              <w:rPr>
                <w:sz w:val="19"/>
                <w:szCs w:val="19"/>
              </w:rPr>
              <w:t>Size class of the operation by total tokens or compute consumed</w:t>
            </w:r>
          </w:p>
        </w:tc>
      </w:tr>
    </w:tbl>
    <w:p w14:paraId="00000087" w14:textId="77777777" w:rsidR="0062357D" w:rsidRDefault="0062357D">
      <w:pPr>
        <w:spacing w:after="140"/>
      </w:pPr>
    </w:p>
    <w:p w14:paraId="00000088" w14:textId="77777777" w:rsidR="0062357D" w:rsidRDefault="007E79DA">
      <w:pPr>
        <w:spacing w:after="140"/>
      </w:pPr>
      <w:r>
        <w:rPr>
          <w:sz w:val="21"/>
          <w:szCs w:val="21"/>
        </w:rPr>
        <w:t>The grading benchmark, weighting between categories in the Impact Grade, and the exact thresholds per class are open design questions to be validated with real usage data before the code is finalized (see §19).</w:t>
      </w:r>
    </w:p>
    <w:p w14:paraId="00000089" w14:textId="77777777" w:rsidR="0062357D" w:rsidRDefault="007E79DA">
      <w:pPr>
        <w:pStyle w:val="Heading2"/>
        <w:spacing w:before="280" w:after="120"/>
      </w:pPr>
      <w:r>
        <w:rPr>
          <w:b/>
          <w:bCs/>
          <w:color w:val="1E7A4C"/>
          <w:sz w:val="24"/>
          <w:szCs w:val="24"/>
        </w:rPr>
        <w:t>5.2 Display Rules</w:t>
      </w:r>
    </w:p>
    <w:p w14:paraId="0000008A" w14:textId="77777777" w:rsidR="0062357D" w:rsidRDefault="007E79DA">
      <w:pPr>
        <w:numPr>
          <w:ilvl w:val="0"/>
          <w:numId w:val="1"/>
        </w:numPr>
        <w:pBdr>
          <w:top w:val="nil"/>
          <w:left w:val="nil"/>
          <w:bottom w:val="nil"/>
          <w:right w:val="nil"/>
          <w:between w:val="nil"/>
        </w:pBdr>
        <w:spacing w:after="60"/>
      </w:pPr>
      <w:r>
        <w:rPr>
          <w:color w:val="000000"/>
          <w:sz w:val="21"/>
          <w:szCs w:val="21"/>
        </w:rPr>
        <w:t>The code appears inline next to the measured item: beside a chat response, in a browser-extension badge, or attached to an infrastructure log line / dashboard row.</w:t>
      </w:r>
    </w:p>
    <w:p w14:paraId="0000008B" w14:textId="77777777" w:rsidR="0062357D" w:rsidRDefault="007E79DA">
      <w:pPr>
        <w:numPr>
          <w:ilvl w:val="0"/>
          <w:numId w:val="1"/>
        </w:numPr>
        <w:pBdr>
          <w:top w:val="nil"/>
          <w:left w:val="nil"/>
          <w:bottom w:val="nil"/>
          <w:right w:val="nil"/>
          <w:between w:val="nil"/>
        </w:pBdr>
        <w:spacing w:after="60"/>
      </w:pPr>
      <w:r>
        <w:rPr>
          <w:color w:val="000000"/>
          <w:sz w:val="21"/>
          <w:szCs w:val="21"/>
        </w:rPr>
        <w:t>Hovering, tapping, or clicking the code expands the full visual breakdown (§6).</w:t>
      </w:r>
    </w:p>
    <w:p w14:paraId="0000008C" w14:textId="77777777" w:rsidR="0062357D" w:rsidRDefault="007E79DA">
      <w:pPr>
        <w:numPr>
          <w:ilvl w:val="0"/>
          <w:numId w:val="1"/>
        </w:numPr>
        <w:pBdr>
          <w:top w:val="nil"/>
          <w:left w:val="nil"/>
          <w:bottom w:val="nil"/>
          <w:right w:val="nil"/>
          <w:between w:val="nil"/>
        </w:pBdr>
        <w:spacing w:after="60"/>
      </w:pPr>
      <w:r>
        <w:rPr>
          <w:color w:val="000000"/>
          <w:sz w:val="21"/>
          <w:szCs w:val="21"/>
        </w:rPr>
        <w:t>Codes are cumulative-aware: a session or dashboard view can show an aggregated code alongside the per-operation codes.</w:t>
      </w:r>
    </w:p>
    <w:p w14:paraId="0000008D" w14:textId="77777777" w:rsidR="0062357D" w:rsidRDefault="007E79DA">
      <w:pPr>
        <w:pStyle w:val="Heading2"/>
        <w:spacing w:before="280" w:after="120"/>
      </w:pPr>
      <w:r>
        <w:rPr>
          <w:b/>
          <w:bCs/>
          <w:color w:val="1E7A4C"/>
          <w:sz w:val="24"/>
          <w:szCs w:val="24"/>
        </w:rPr>
        <w:t>5.3 Stardust Job Identifier (SJI) and Energy-Source Code</w:t>
      </w:r>
    </w:p>
    <w:p w14:paraId="0000008E" w14:textId="77777777" w:rsidR="0062357D" w:rsidRDefault="007E79DA">
      <w:pPr>
        <w:spacing w:after="140"/>
      </w:pPr>
      <w:r>
        <w:rPr>
          <w:sz w:val="21"/>
          <w:szCs w:val="21"/>
        </w:rPr>
        <w:t>Each measured AI job — a chat turn, an API call, an inference request — is identified by a Stardust Job Identifier (SJI): a GUID-formatted token that, unlike a standard random RFC 4122 UUID, has one reserved segment carrying a human-readable 3-character Energy Source Code (ESC) for the power plant type or category believed to have supplied the electricity behind that job. This keeps the uniqueness guarantee of a GUID while making the dominant energy source legible at a glance in logs, dashboards, and export</w:t>
      </w:r>
      <w:r>
        <w:rPr>
          <w:sz w:val="21"/>
          <w:szCs w:val="21"/>
        </w:rPr>
        <w:t>s, without a lookup.</w:t>
      </w:r>
    </w:p>
    <w:p w14:paraId="0000008F" w14:textId="77777777" w:rsidR="0062357D" w:rsidRDefault="007E79DA">
      <w:pPr>
        <w:numPr>
          <w:ilvl w:val="0"/>
          <w:numId w:val="1"/>
        </w:numPr>
        <w:pBdr>
          <w:top w:val="nil"/>
          <w:left w:val="nil"/>
          <w:bottom w:val="nil"/>
          <w:right w:val="nil"/>
          <w:between w:val="nil"/>
        </w:pBdr>
        <w:spacing w:after="60"/>
      </w:pPr>
      <w:r>
        <w:rPr>
          <w:color w:val="000000"/>
          <w:sz w:val="21"/>
          <w:szCs w:val="21"/>
        </w:rPr>
        <w:t>Format: XXXXXXXX-ESC-XXXX-XXXX-XXXXXXXXXXXX — a standard 8-4-4-4-12 GUID shape with the ESC in the second segment (e.g. 3F2A9C10-HYD-4E1A-9C3D-2B6F1A0E7C55 for a job attributed to hydroelectric generation).</w:t>
      </w:r>
    </w:p>
    <w:p w14:paraId="00000090"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Because a 3-letter alphabetic code in that segment is not valid hexadecimal, the SJI is a Stardust-specific structured identifier, not a strict RFC 4122 UUID. It is kept separate from the </w:t>
      </w:r>
      <w:proofErr w:type="spellStart"/>
      <w:r>
        <w:rPr>
          <w:color w:val="000000"/>
          <w:sz w:val="21"/>
          <w:szCs w:val="21"/>
        </w:rPr>
        <w:t>event_id</w:t>
      </w:r>
      <w:proofErr w:type="spellEnd"/>
      <w:r>
        <w:rPr>
          <w:color w:val="000000"/>
          <w:sz w:val="21"/>
          <w:szCs w:val="21"/>
        </w:rPr>
        <w:t xml:space="preserve"> field in the data model (§7), which remains a standard RFC 4122 UUID for database keys, joins, and any system that expects a compliant UUID. The SJI is a human-facing companion identifier for the same event, generated alongside </w:t>
      </w:r>
      <w:proofErr w:type="spellStart"/>
      <w:r>
        <w:rPr>
          <w:color w:val="000000"/>
          <w:sz w:val="21"/>
          <w:szCs w:val="21"/>
        </w:rPr>
        <w:t>event_id</w:t>
      </w:r>
      <w:proofErr w:type="spellEnd"/>
      <w:r>
        <w:rPr>
          <w:color w:val="000000"/>
          <w:sz w:val="21"/>
          <w:szCs w:val="21"/>
        </w:rPr>
        <w:t>, not a replacement for it.</w:t>
      </w:r>
    </w:p>
    <w:p w14:paraId="00000091" w14:textId="77777777" w:rsidR="0062357D" w:rsidRDefault="007E79DA">
      <w:pPr>
        <w:numPr>
          <w:ilvl w:val="0"/>
          <w:numId w:val="1"/>
        </w:numPr>
        <w:pBdr>
          <w:top w:val="nil"/>
          <w:left w:val="nil"/>
          <w:bottom w:val="nil"/>
          <w:right w:val="nil"/>
          <w:between w:val="nil"/>
        </w:pBdr>
        <w:spacing w:after="60"/>
      </w:pPr>
      <w:r>
        <w:rPr>
          <w:color w:val="000000"/>
          <w:sz w:val="21"/>
          <w:szCs w:val="21"/>
        </w:rPr>
        <w:t>Where the electricity source is a blend from a regional grid rather than a single identifiable plant (the common case), the ESC reflects the dominant source in the applicable grid mix at the job's timestamp and region (§8.5–§8.6), with the full mix breakdown available in the expanded panel (§6.2) and the underlying data model (§7) — see §5.3.3 for how that dominant-source bias is flagged and quantified rather than left implicit.</w:t>
      </w:r>
    </w:p>
    <w:p w14:paraId="00000092" w14:textId="77777777" w:rsidR="0062357D" w:rsidRDefault="007E79DA">
      <w:pPr>
        <w:pStyle w:val="Heading3"/>
        <w:spacing w:before="200" w:after="100"/>
      </w:pPr>
      <w:r>
        <w:rPr>
          <w:b/>
          <w:bCs/>
          <w:color w:val="333333"/>
          <w:sz w:val="21"/>
          <w:szCs w:val="21"/>
        </w:rPr>
        <w:t>5.3.1 Energy Source Codes (ESC)</w:t>
      </w:r>
    </w:p>
    <w:p w14:paraId="00000093" w14:textId="77777777" w:rsidR="0062357D" w:rsidRDefault="007E79DA">
      <w:pPr>
        <w:spacing w:after="140"/>
      </w:pPr>
      <w:r>
        <w:rPr>
          <w:sz w:val="21"/>
          <w:szCs w:val="21"/>
        </w:rPr>
        <w:t>Working code list, keyed by power-plant/energy-source type. Extensible: additional codes are added the same way as any other factor-table entry (§8.4) — via versioned configuration, not a client release.</w:t>
      </w:r>
    </w:p>
    <w:tbl>
      <w:tblPr>
        <w:tblStyle w:val="a3"/>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8000"/>
      </w:tblGrid>
      <w:tr w:rsidR="0062357D" w14:paraId="3032DF0A" w14:textId="77777777">
        <w:trPr>
          <w:tblHeader/>
        </w:trPr>
        <w:tc>
          <w:tcPr>
            <w:tcW w:w="1800" w:type="dxa"/>
            <w:shd w:val="clear" w:color="auto" w:fill="1E7A4C"/>
            <w:tcMar>
              <w:top w:w="80" w:type="dxa"/>
              <w:left w:w="100" w:type="dxa"/>
              <w:bottom w:w="80" w:type="dxa"/>
              <w:right w:w="100" w:type="dxa"/>
            </w:tcMar>
          </w:tcPr>
          <w:p w14:paraId="00000094" w14:textId="77777777" w:rsidR="0062357D" w:rsidRDefault="007E79DA">
            <w:r>
              <w:rPr>
                <w:b/>
                <w:bCs/>
                <w:color w:val="FFFFFF"/>
                <w:sz w:val="19"/>
                <w:szCs w:val="19"/>
              </w:rPr>
              <w:t>Code</w:t>
            </w:r>
          </w:p>
        </w:tc>
        <w:tc>
          <w:tcPr>
            <w:tcW w:w="8000" w:type="dxa"/>
            <w:shd w:val="clear" w:color="auto" w:fill="1E7A4C"/>
            <w:tcMar>
              <w:top w:w="80" w:type="dxa"/>
              <w:left w:w="100" w:type="dxa"/>
              <w:bottom w:w="80" w:type="dxa"/>
              <w:right w:w="100" w:type="dxa"/>
            </w:tcMar>
          </w:tcPr>
          <w:p w14:paraId="00000095" w14:textId="77777777" w:rsidR="0062357D" w:rsidRDefault="007E79DA">
            <w:r>
              <w:rPr>
                <w:b/>
                <w:bCs/>
                <w:color w:val="FFFFFF"/>
                <w:sz w:val="19"/>
                <w:szCs w:val="19"/>
              </w:rPr>
              <w:t>Source / plant type</w:t>
            </w:r>
          </w:p>
        </w:tc>
      </w:tr>
      <w:tr w:rsidR="0062357D" w14:paraId="2AA34A6A" w14:textId="77777777">
        <w:tc>
          <w:tcPr>
            <w:tcW w:w="1800" w:type="dxa"/>
            <w:tcMar>
              <w:top w:w="80" w:type="dxa"/>
              <w:left w:w="100" w:type="dxa"/>
              <w:bottom w:w="80" w:type="dxa"/>
              <w:right w:w="100" w:type="dxa"/>
            </w:tcMar>
          </w:tcPr>
          <w:p w14:paraId="00000096" w14:textId="77777777" w:rsidR="0062357D" w:rsidRDefault="007E79DA">
            <w:r>
              <w:rPr>
                <w:sz w:val="19"/>
                <w:szCs w:val="19"/>
              </w:rPr>
              <w:t>NGP</w:t>
            </w:r>
          </w:p>
        </w:tc>
        <w:tc>
          <w:tcPr>
            <w:tcW w:w="8000" w:type="dxa"/>
            <w:tcMar>
              <w:top w:w="80" w:type="dxa"/>
              <w:left w:w="100" w:type="dxa"/>
              <w:bottom w:w="80" w:type="dxa"/>
              <w:right w:w="100" w:type="dxa"/>
            </w:tcMar>
          </w:tcPr>
          <w:p w14:paraId="00000097" w14:textId="77777777" w:rsidR="0062357D" w:rsidRDefault="007E79DA">
            <w:r>
              <w:rPr>
                <w:sz w:val="19"/>
                <w:szCs w:val="19"/>
              </w:rPr>
              <w:t>Natural gas power plant</w:t>
            </w:r>
          </w:p>
        </w:tc>
      </w:tr>
      <w:tr w:rsidR="0062357D" w14:paraId="556A9ECC" w14:textId="77777777">
        <w:tc>
          <w:tcPr>
            <w:tcW w:w="1800" w:type="dxa"/>
            <w:tcMar>
              <w:top w:w="80" w:type="dxa"/>
              <w:left w:w="100" w:type="dxa"/>
              <w:bottom w:w="80" w:type="dxa"/>
              <w:right w:w="100" w:type="dxa"/>
            </w:tcMar>
          </w:tcPr>
          <w:p w14:paraId="00000098" w14:textId="77777777" w:rsidR="0062357D" w:rsidRDefault="007E79DA">
            <w:r>
              <w:rPr>
                <w:sz w:val="19"/>
                <w:szCs w:val="19"/>
              </w:rPr>
              <w:t>RNG</w:t>
            </w:r>
          </w:p>
        </w:tc>
        <w:tc>
          <w:tcPr>
            <w:tcW w:w="8000" w:type="dxa"/>
            <w:tcMar>
              <w:top w:w="80" w:type="dxa"/>
              <w:left w:w="100" w:type="dxa"/>
              <w:bottom w:w="80" w:type="dxa"/>
              <w:right w:w="100" w:type="dxa"/>
            </w:tcMar>
          </w:tcPr>
          <w:p w14:paraId="00000099" w14:textId="77777777" w:rsidR="0062357D" w:rsidRDefault="007E79DA">
            <w:r>
              <w:rPr>
                <w:sz w:val="19"/>
                <w:szCs w:val="19"/>
              </w:rPr>
              <w:t>Renewable natural gas / biogas power plant</w:t>
            </w:r>
          </w:p>
        </w:tc>
      </w:tr>
      <w:tr w:rsidR="0062357D" w14:paraId="765ACD3A" w14:textId="77777777">
        <w:tc>
          <w:tcPr>
            <w:tcW w:w="1800" w:type="dxa"/>
            <w:tcMar>
              <w:top w:w="80" w:type="dxa"/>
              <w:left w:w="100" w:type="dxa"/>
              <w:bottom w:w="80" w:type="dxa"/>
              <w:right w:w="100" w:type="dxa"/>
            </w:tcMar>
          </w:tcPr>
          <w:p w14:paraId="0000009A" w14:textId="77777777" w:rsidR="0062357D" w:rsidRDefault="007E79DA">
            <w:r>
              <w:rPr>
                <w:sz w:val="19"/>
                <w:szCs w:val="19"/>
              </w:rPr>
              <w:t>OPP</w:t>
            </w:r>
          </w:p>
        </w:tc>
        <w:tc>
          <w:tcPr>
            <w:tcW w:w="8000" w:type="dxa"/>
            <w:tcMar>
              <w:top w:w="80" w:type="dxa"/>
              <w:left w:w="100" w:type="dxa"/>
              <w:bottom w:w="80" w:type="dxa"/>
              <w:right w:w="100" w:type="dxa"/>
            </w:tcMar>
          </w:tcPr>
          <w:p w14:paraId="0000009B" w14:textId="77777777" w:rsidR="0062357D" w:rsidRDefault="007E79DA">
            <w:r>
              <w:rPr>
                <w:sz w:val="19"/>
                <w:szCs w:val="19"/>
              </w:rPr>
              <w:t>Oil-fired power plant</w:t>
            </w:r>
          </w:p>
        </w:tc>
      </w:tr>
      <w:tr w:rsidR="0062357D" w14:paraId="1480111A" w14:textId="77777777">
        <w:tc>
          <w:tcPr>
            <w:tcW w:w="1800" w:type="dxa"/>
            <w:tcMar>
              <w:top w:w="80" w:type="dxa"/>
              <w:left w:w="100" w:type="dxa"/>
              <w:bottom w:w="80" w:type="dxa"/>
              <w:right w:w="100" w:type="dxa"/>
            </w:tcMar>
          </w:tcPr>
          <w:p w14:paraId="0000009C" w14:textId="77777777" w:rsidR="0062357D" w:rsidRDefault="007E79DA">
            <w:r>
              <w:rPr>
                <w:sz w:val="19"/>
                <w:szCs w:val="19"/>
              </w:rPr>
              <w:t>NPP</w:t>
            </w:r>
          </w:p>
        </w:tc>
        <w:tc>
          <w:tcPr>
            <w:tcW w:w="8000" w:type="dxa"/>
            <w:tcMar>
              <w:top w:w="80" w:type="dxa"/>
              <w:left w:w="100" w:type="dxa"/>
              <w:bottom w:w="80" w:type="dxa"/>
              <w:right w:w="100" w:type="dxa"/>
            </w:tcMar>
          </w:tcPr>
          <w:p w14:paraId="0000009D" w14:textId="77777777" w:rsidR="0062357D" w:rsidRDefault="007E79DA">
            <w:r>
              <w:rPr>
                <w:sz w:val="19"/>
                <w:szCs w:val="19"/>
              </w:rPr>
              <w:t>Nuclear power plant (conventional)</w:t>
            </w:r>
          </w:p>
        </w:tc>
      </w:tr>
      <w:tr w:rsidR="0062357D" w14:paraId="101CBCA2" w14:textId="77777777">
        <w:tc>
          <w:tcPr>
            <w:tcW w:w="1800" w:type="dxa"/>
            <w:tcMar>
              <w:top w:w="80" w:type="dxa"/>
              <w:left w:w="100" w:type="dxa"/>
              <w:bottom w:w="80" w:type="dxa"/>
              <w:right w:w="100" w:type="dxa"/>
            </w:tcMar>
          </w:tcPr>
          <w:p w14:paraId="0000009E" w14:textId="77777777" w:rsidR="0062357D" w:rsidRDefault="007E79DA">
            <w:r>
              <w:rPr>
                <w:sz w:val="19"/>
                <w:szCs w:val="19"/>
              </w:rPr>
              <w:t>SMR</w:t>
            </w:r>
          </w:p>
        </w:tc>
        <w:tc>
          <w:tcPr>
            <w:tcW w:w="8000" w:type="dxa"/>
            <w:tcMar>
              <w:top w:w="80" w:type="dxa"/>
              <w:left w:w="100" w:type="dxa"/>
              <w:bottom w:w="80" w:type="dxa"/>
              <w:right w:w="100" w:type="dxa"/>
            </w:tcMar>
          </w:tcPr>
          <w:p w14:paraId="0000009F" w14:textId="77777777" w:rsidR="0062357D" w:rsidRDefault="007E79DA">
            <w:r>
              <w:rPr>
                <w:sz w:val="19"/>
                <w:szCs w:val="19"/>
              </w:rPr>
              <w:t>Small modular reactor</w:t>
            </w:r>
          </w:p>
        </w:tc>
      </w:tr>
      <w:tr w:rsidR="0062357D" w14:paraId="397D5071" w14:textId="77777777">
        <w:tc>
          <w:tcPr>
            <w:tcW w:w="1800" w:type="dxa"/>
            <w:tcMar>
              <w:top w:w="80" w:type="dxa"/>
              <w:left w:w="100" w:type="dxa"/>
              <w:bottom w:w="80" w:type="dxa"/>
              <w:right w:w="100" w:type="dxa"/>
            </w:tcMar>
          </w:tcPr>
          <w:p w14:paraId="000000A0" w14:textId="77777777" w:rsidR="0062357D" w:rsidRDefault="007E79DA">
            <w:r>
              <w:rPr>
                <w:sz w:val="19"/>
                <w:szCs w:val="19"/>
              </w:rPr>
              <w:t>WEC</w:t>
            </w:r>
          </w:p>
        </w:tc>
        <w:tc>
          <w:tcPr>
            <w:tcW w:w="8000" w:type="dxa"/>
            <w:tcMar>
              <w:top w:w="80" w:type="dxa"/>
              <w:left w:w="100" w:type="dxa"/>
              <w:bottom w:w="80" w:type="dxa"/>
              <w:right w:w="100" w:type="dxa"/>
            </w:tcMar>
          </w:tcPr>
          <w:p w14:paraId="000000A1" w14:textId="77777777" w:rsidR="0062357D" w:rsidRDefault="007E79DA">
            <w:r>
              <w:rPr>
                <w:sz w:val="19"/>
                <w:szCs w:val="19"/>
              </w:rPr>
              <w:t>Wave/marine energy converter</w:t>
            </w:r>
          </w:p>
        </w:tc>
      </w:tr>
      <w:tr w:rsidR="0062357D" w14:paraId="1783E4BB" w14:textId="77777777">
        <w:tc>
          <w:tcPr>
            <w:tcW w:w="1800" w:type="dxa"/>
            <w:tcMar>
              <w:top w:w="80" w:type="dxa"/>
              <w:left w:w="100" w:type="dxa"/>
              <w:bottom w:w="80" w:type="dxa"/>
              <w:right w:w="100" w:type="dxa"/>
            </w:tcMar>
          </w:tcPr>
          <w:p w14:paraId="000000A2" w14:textId="77777777" w:rsidR="0062357D" w:rsidRDefault="007E79DA">
            <w:r>
              <w:rPr>
                <w:sz w:val="19"/>
                <w:szCs w:val="19"/>
              </w:rPr>
              <w:t>HYD</w:t>
            </w:r>
          </w:p>
        </w:tc>
        <w:tc>
          <w:tcPr>
            <w:tcW w:w="8000" w:type="dxa"/>
            <w:tcMar>
              <w:top w:w="80" w:type="dxa"/>
              <w:left w:w="100" w:type="dxa"/>
              <w:bottom w:w="80" w:type="dxa"/>
              <w:right w:w="100" w:type="dxa"/>
            </w:tcMar>
          </w:tcPr>
          <w:p w14:paraId="000000A3" w14:textId="77777777" w:rsidR="0062357D" w:rsidRDefault="007E79DA">
            <w:r>
              <w:rPr>
                <w:sz w:val="19"/>
                <w:szCs w:val="19"/>
              </w:rPr>
              <w:t>Hydroelectric power plant</w:t>
            </w:r>
          </w:p>
        </w:tc>
      </w:tr>
      <w:tr w:rsidR="0062357D" w14:paraId="39EAA011" w14:textId="77777777">
        <w:tc>
          <w:tcPr>
            <w:tcW w:w="1800" w:type="dxa"/>
            <w:tcMar>
              <w:top w:w="80" w:type="dxa"/>
              <w:left w:w="100" w:type="dxa"/>
              <w:bottom w:w="80" w:type="dxa"/>
              <w:right w:w="100" w:type="dxa"/>
            </w:tcMar>
          </w:tcPr>
          <w:p w14:paraId="000000A4" w14:textId="77777777" w:rsidR="0062357D" w:rsidRDefault="007E79DA">
            <w:r>
              <w:rPr>
                <w:sz w:val="19"/>
                <w:szCs w:val="19"/>
              </w:rPr>
              <w:t>SPP</w:t>
            </w:r>
          </w:p>
        </w:tc>
        <w:tc>
          <w:tcPr>
            <w:tcW w:w="8000" w:type="dxa"/>
            <w:tcMar>
              <w:top w:w="80" w:type="dxa"/>
              <w:left w:w="100" w:type="dxa"/>
              <w:bottom w:w="80" w:type="dxa"/>
              <w:right w:w="100" w:type="dxa"/>
            </w:tcMar>
          </w:tcPr>
          <w:p w14:paraId="000000A5" w14:textId="77777777" w:rsidR="0062357D" w:rsidRDefault="007E79DA">
            <w:r>
              <w:rPr>
                <w:sz w:val="19"/>
                <w:szCs w:val="19"/>
              </w:rPr>
              <w:t>Solar power plant (utility-scale PV or thermal)</w:t>
            </w:r>
          </w:p>
        </w:tc>
      </w:tr>
      <w:tr w:rsidR="0062357D" w14:paraId="790B869C" w14:textId="77777777">
        <w:tc>
          <w:tcPr>
            <w:tcW w:w="1800" w:type="dxa"/>
            <w:tcMar>
              <w:top w:w="80" w:type="dxa"/>
              <w:left w:w="100" w:type="dxa"/>
              <w:bottom w:w="80" w:type="dxa"/>
              <w:right w:w="100" w:type="dxa"/>
            </w:tcMar>
          </w:tcPr>
          <w:p w14:paraId="000000A6" w14:textId="77777777" w:rsidR="0062357D" w:rsidRDefault="007E79DA">
            <w:r>
              <w:rPr>
                <w:sz w:val="19"/>
                <w:szCs w:val="19"/>
              </w:rPr>
              <w:t>WPP</w:t>
            </w:r>
          </w:p>
        </w:tc>
        <w:tc>
          <w:tcPr>
            <w:tcW w:w="8000" w:type="dxa"/>
            <w:tcMar>
              <w:top w:w="80" w:type="dxa"/>
              <w:left w:w="100" w:type="dxa"/>
              <w:bottom w:w="80" w:type="dxa"/>
              <w:right w:w="100" w:type="dxa"/>
            </w:tcMar>
          </w:tcPr>
          <w:p w14:paraId="000000A7" w14:textId="77777777" w:rsidR="0062357D" w:rsidRDefault="007E79DA">
            <w:r>
              <w:rPr>
                <w:sz w:val="19"/>
                <w:szCs w:val="19"/>
              </w:rPr>
              <w:t>Wind power plant</w:t>
            </w:r>
          </w:p>
        </w:tc>
      </w:tr>
      <w:tr w:rsidR="0062357D" w14:paraId="4A381817" w14:textId="77777777">
        <w:tc>
          <w:tcPr>
            <w:tcW w:w="1800" w:type="dxa"/>
            <w:tcMar>
              <w:top w:w="80" w:type="dxa"/>
              <w:left w:w="100" w:type="dxa"/>
              <w:bottom w:w="80" w:type="dxa"/>
              <w:right w:w="100" w:type="dxa"/>
            </w:tcMar>
          </w:tcPr>
          <w:p w14:paraId="000000A8" w14:textId="77777777" w:rsidR="0062357D" w:rsidRDefault="007E79DA">
            <w:r>
              <w:rPr>
                <w:sz w:val="19"/>
                <w:szCs w:val="19"/>
              </w:rPr>
              <w:t>GPP</w:t>
            </w:r>
          </w:p>
        </w:tc>
        <w:tc>
          <w:tcPr>
            <w:tcW w:w="8000" w:type="dxa"/>
            <w:tcMar>
              <w:top w:w="80" w:type="dxa"/>
              <w:left w:w="100" w:type="dxa"/>
              <w:bottom w:w="80" w:type="dxa"/>
              <w:right w:w="100" w:type="dxa"/>
            </w:tcMar>
          </w:tcPr>
          <w:p w14:paraId="000000A9" w14:textId="77777777" w:rsidR="0062357D" w:rsidRDefault="007E79DA">
            <w:r>
              <w:rPr>
                <w:sz w:val="19"/>
                <w:szCs w:val="19"/>
              </w:rPr>
              <w:t>Geothermal power plant</w:t>
            </w:r>
          </w:p>
        </w:tc>
      </w:tr>
    </w:tbl>
    <w:p w14:paraId="000000AA" w14:textId="77777777" w:rsidR="0062357D" w:rsidRDefault="0062357D">
      <w:pPr>
        <w:spacing w:after="140"/>
      </w:pPr>
    </w:p>
    <w:p w14:paraId="000000AB" w14:textId="77777777" w:rsidR="0062357D" w:rsidRDefault="007E79DA">
      <w:pPr>
        <w:spacing w:after="140"/>
      </w:pPr>
      <w:r>
        <w:rPr>
          <w:sz w:val="21"/>
          <w:szCs w:val="21"/>
        </w:rPr>
        <w:t>Additional codes (e.g., for coal, biomass, tidal, or battery storage discharge) are added as appropriate following the same convention, subject to board/technical review before being added to the published code table.</w:t>
      </w:r>
    </w:p>
    <w:p w14:paraId="000000AC" w14:textId="77777777" w:rsidR="0062357D" w:rsidRDefault="007E79DA">
      <w:pPr>
        <w:pStyle w:val="Heading3"/>
        <w:spacing w:before="200" w:after="100"/>
      </w:pPr>
      <w:r>
        <w:rPr>
          <w:b/>
          <w:bCs/>
          <w:color w:val="333333"/>
          <w:sz w:val="21"/>
          <w:szCs w:val="21"/>
        </w:rPr>
        <w:t>5.3.2 Fallback Codes for Partial Confidence</w:t>
      </w:r>
    </w:p>
    <w:p w14:paraId="000000AD" w14:textId="77777777" w:rsidR="0062357D" w:rsidRDefault="007E79DA">
      <w:pPr>
        <w:spacing w:after="140"/>
      </w:pPr>
      <w:r>
        <w:rPr>
          <w:sz w:val="21"/>
          <w:szCs w:val="21"/>
        </w:rPr>
        <w:t>Grid mix and per-plant attribution are not always resolvable to a specific plant type, especially at Estimated confidence (§8.3) or where a provider/region discloses only an aggregate split. Three fallback codes cover the cases where only a broader category is known:</w:t>
      </w:r>
    </w:p>
    <w:tbl>
      <w:tblPr>
        <w:tblStyle w:val="a4"/>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600"/>
        <w:gridCol w:w="4600"/>
      </w:tblGrid>
      <w:tr w:rsidR="0062357D" w14:paraId="65010923" w14:textId="77777777">
        <w:trPr>
          <w:tblHeader/>
        </w:trPr>
        <w:tc>
          <w:tcPr>
            <w:tcW w:w="1600" w:type="dxa"/>
            <w:shd w:val="clear" w:color="auto" w:fill="1E7A4C"/>
            <w:tcMar>
              <w:top w:w="80" w:type="dxa"/>
              <w:left w:w="100" w:type="dxa"/>
              <w:bottom w:w="80" w:type="dxa"/>
              <w:right w:w="100" w:type="dxa"/>
            </w:tcMar>
          </w:tcPr>
          <w:p w14:paraId="000000AE" w14:textId="77777777" w:rsidR="0062357D" w:rsidRDefault="007E79DA">
            <w:r>
              <w:rPr>
                <w:b/>
                <w:bCs/>
                <w:color w:val="FFFFFF"/>
                <w:sz w:val="19"/>
                <w:szCs w:val="19"/>
              </w:rPr>
              <w:t>Code</w:t>
            </w:r>
          </w:p>
        </w:tc>
        <w:tc>
          <w:tcPr>
            <w:tcW w:w="3600" w:type="dxa"/>
            <w:shd w:val="clear" w:color="auto" w:fill="1E7A4C"/>
            <w:tcMar>
              <w:top w:w="80" w:type="dxa"/>
              <w:left w:w="100" w:type="dxa"/>
              <w:bottom w:w="80" w:type="dxa"/>
              <w:right w:w="100" w:type="dxa"/>
            </w:tcMar>
          </w:tcPr>
          <w:p w14:paraId="000000AF" w14:textId="77777777" w:rsidR="0062357D" w:rsidRDefault="007E79DA">
            <w:r>
              <w:rPr>
                <w:b/>
                <w:bCs/>
                <w:color w:val="FFFFFF"/>
                <w:sz w:val="19"/>
                <w:szCs w:val="19"/>
              </w:rPr>
              <w:t>Meaning</w:t>
            </w:r>
          </w:p>
        </w:tc>
        <w:tc>
          <w:tcPr>
            <w:tcW w:w="4600" w:type="dxa"/>
            <w:shd w:val="clear" w:color="auto" w:fill="1E7A4C"/>
            <w:tcMar>
              <w:top w:w="80" w:type="dxa"/>
              <w:left w:w="100" w:type="dxa"/>
              <w:bottom w:w="80" w:type="dxa"/>
              <w:right w:w="100" w:type="dxa"/>
            </w:tcMar>
          </w:tcPr>
          <w:p w14:paraId="000000B0" w14:textId="77777777" w:rsidR="0062357D" w:rsidRDefault="007E79DA">
            <w:r>
              <w:rPr>
                <w:b/>
                <w:bCs/>
                <w:color w:val="FFFFFF"/>
                <w:sz w:val="19"/>
                <w:szCs w:val="19"/>
              </w:rPr>
              <w:t>Used when</w:t>
            </w:r>
          </w:p>
        </w:tc>
      </w:tr>
      <w:tr w:rsidR="0062357D" w14:paraId="73C87B4C" w14:textId="77777777">
        <w:tc>
          <w:tcPr>
            <w:tcW w:w="1600" w:type="dxa"/>
            <w:tcMar>
              <w:top w:w="80" w:type="dxa"/>
              <w:left w:w="100" w:type="dxa"/>
              <w:bottom w:w="80" w:type="dxa"/>
              <w:right w:w="100" w:type="dxa"/>
            </w:tcMar>
          </w:tcPr>
          <w:p w14:paraId="000000B1" w14:textId="77777777" w:rsidR="0062357D" w:rsidRDefault="007E79DA">
            <w:r>
              <w:rPr>
                <w:sz w:val="19"/>
                <w:szCs w:val="19"/>
              </w:rPr>
              <w:t>FPP</w:t>
            </w:r>
          </w:p>
        </w:tc>
        <w:tc>
          <w:tcPr>
            <w:tcW w:w="3600" w:type="dxa"/>
            <w:tcMar>
              <w:top w:w="80" w:type="dxa"/>
              <w:left w:w="100" w:type="dxa"/>
              <w:bottom w:w="80" w:type="dxa"/>
              <w:right w:w="100" w:type="dxa"/>
            </w:tcMar>
          </w:tcPr>
          <w:p w14:paraId="000000B2" w14:textId="77777777" w:rsidR="0062357D" w:rsidRDefault="007E79DA">
            <w:r>
              <w:rPr>
                <w:sz w:val="19"/>
                <w:szCs w:val="19"/>
              </w:rPr>
              <w:t>Fossil fuel power plant (unspecified type)</w:t>
            </w:r>
          </w:p>
        </w:tc>
        <w:tc>
          <w:tcPr>
            <w:tcW w:w="4600" w:type="dxa"/>
            <w:tcMar>
              <w:top w:w="80" w:type="dxa"/>
              <w:left w:w="100" w:type="dxa"/>
              <w:bottom w:w="80" w:type="dxa"/>
              <w:right w:w="100" w:type="dxa"/>
            </w:tcMar>
          </w:tcPr>
          <w:p w14:paraId="000000B3" w14:textId="77777777" w:rsidR="0062357D" w:rsidRDefault="007E79DA">
            <w:r>
              <w:rPr>
                <w:sz w:val="19"/>
                <w:szCs w:val="19"/>
              </w:rPr>
              <w:t>Known to be fossil-sourced, but the specific fuel (gas/oil/coal) isn't resolvable</w:t>
            </w:r>
          </w:p>
        </w:tc>
      </w:tr>
      <w:tr w:rsidR="0062357D" w14:paraId="6D2F0EEA" w14:textId="77777777">
        <w:tc>
          <w:tcPr>
            <w:tcW w:w="1600" w:type="dxa"/>
            <w:tcMar>
              <w:top w:w="80" w:type="dxa"/>
              <w:left w:w="100" w:type="dxa"/>
              <w:bottom w:w="80" w:type="dxa"/>
              <w:right w:w="100" w:type="dxa"/>
            </w:tcMar>
          </w:tcPr>
          <w:p w14:paraId="000000B4" w14:textId="77777777" w:rsidR="0062357D" w:rsidRDefault="007E79DA">
            <w:r>
              <w:rPr>
                <w:sz w:val="19"/>
                <w:szCs w:val="19"/>
              </w:rPr>
              <w:t>ZEP</w:t>
            </w:r>
          </w:p>
        </w:tc>
        <w:tc>
          <w:tcPr>
            <w:tcW w:w="3600" w:type="dxa"/>
            <w:tcMar>
              <w:top w:w="80" w:type="dxa"/>
              <w:left w:w="100" w:type="dxa"/>
              <w:bottom w:w="80" w:type="dxa"/>
              <w:right w:w="100" w:type="dxa"/>
            </w:tcMar>
          </w:tcPr>
          <w:p w14:paraId="000000B5" w14:textId="77777777" w:rsidR="0062357D" w:rsidRDefault="007E79DA">
            <w:r>
              <w:rPr>
                <w:sz w:val="19"/>
                <w:szCs w:val="19"/>
              </w:rPr>
              <w:t>Zero-emissions power plant (unspecified type)</w:t>
            </w:r>
          </w:p>
        </w:tc>
        <w:tc>
          <w:tcPr>
            <w:tcW w:w="4600" w:type="dxa"/>
            <w:tcMar>
              <w:top w:w="80" w:type="dxa"/>
              <w:left w:w="100" w:type="dxa"/>
              <w:bottom w:w="80" w:type="dxa"/>
              <w:right w:w="100" w:type="dxa"/>
            </w:tcMar>
          </w:tcPr>
          <w:p w14:paraId="000000B6" w14:textId="77777777" w:rsidR="0062357D" w:rsidRDefault="007E79DA">
            <w:r>
              <w:rPr>
                <w:sz w:val="19"/>
                <w:szCs w:val="19"/>
              </w:rPr>
              <w:t>Known to be a zero-carbon-at-generation source, but not resolvable to nuclear vs. SMR vs. another zero-emission type</w:t>
            </w:r>
          </w:p>
        </w:tc>
      </w:tr>
      <w:tr w:rsidR="0062357D" w14:paraId="415C0E09" w14:textId="77777777">
        <w:tc>
          <w:tcPr>
            <w:tcW w:w="1600" w:type="dxa"/>
            <w:tcMar>
              <w:top w:w="80" w:type="dxa"/>
              <w:left w:w="100" w:type="dxa"/>
              <w:bottom w:w="80" w:type="dxa"/>
              <w:right w:w="100" w:type="dxa"/>
            </w:tcMar>
          </w:tcPr>
          <w:p w14:paraId="000000B7" w14:textId="77777777" w:rsidR="0062357D" w:rsidRDefault="007E79DA">
            <w:r>
              <w:rPr>
                <w:sz w:val="19"/>
                <w:szCs w:val="19"/>
              </w:rPr>
              <w:t>REP</w:t>
            </w:r>
          </w:p>
        </w:tc>
        <w:tc>
          <w:tcPr>
            <w:tcW w:w="3600" w:type="dxa"/>
            <w:tcMar>
              <w:top w:w="80" w:type="dxa"/>
              <w:left w:w="100" w:type="dxa"/>
              <w:bottom w:w="80" w:type="dxa"/>
              <w:right w:w="100" w:type="dxa"/>
            </w:tcMar>
          </w:tcPr>
          <w:p w14:paraId="000000B8" w14:textId="77777777" w:rsidR="0062357D" w:rsidRDefault="007E79DA">
            <w:r>
              <w:rPr>
                <w:sz w:val="19"/>
                <w:szCs w:val="19"/>
              </w:rPr>
              <w:t>Renewable energy power plant (unspecified type)</w:t>
            </w:r>
          </w:p>
        </w:tc>
        <w:tc>
          <w:tcPr>
            <w:tcW w:w="4600" w:type="dxa"/>
            <w:tcMar>
              <w:top w:w="80" w:type="dxa"/>
              <w:left w:w="100" w:type="dxa"/>
              <w:bottom w:w="80" w:type="dxa"/>
              <w:right w:w="100" w:type="dxa"/>
            </w:tcMar>
          </w:tcPr>
          <w:p w14:paraId="000000B9" w14:textId="77777777" w:rsidR="0062357D" w:rsidRDefault="007E79DA">
            <w:r>
              <w:rPr>
                <w:sz w:val="19"/>
                <w:szCs w:val="19"/>
              </w:rPr>
              <w:t>Known to be renewable, but not resolvable to solar/wind/hydro/geothermal/wave specifically</w:t>
            </w:r>
          </w:p>
        </w:tc>
      </w:tr>
    </w:tbl>
    <w:p w14:paraId="000000BA" w14:textId="77777777" w:rsidR="0062357D" w:rsidRDefault="0062357D">
      <w:pPr>
        <w:spacing w:after="140"/>
      </w:pPr>
    </w:p>
    <w:p w14:paraId="000000BB" w14:textId="77777777" w:rsidR="0062357D" w:rsidRDefault="007E79DA">
      <w:pPr>
        <w:numPr>
          <w:ilvl w:val="0"/>
          <w:numId w:val="1"/>
        </w:numPr>
        <w:pBdr>
          <w:top w:val="nil"/>
          <w:left w:val="nil"/>
          <w:bottom w:val="nil"/>
          <w:right w:val="nil"/>
          <w:between w:val="nil"/>
        </w:pBdr>
        <w:spacing w:after="60"/>
      </w:pPr>
      <w:r>
        <w:rPr>
          <w:color w:val="000000"/>
          <w:sz w:val="21"/>
          <w:szCs w:val="21"/>
        </w:rPr>
        <w:t>If even the fossil/zero-carbon/renewable category can't be determined, the SJI's ESC segment uses UNK (unknown), and the job's environmental figures stay at Estimated confidence (§8.3) using the generic factors described there.</w:t>
      </w:r>
    </w:p>
    <w:p w14:paraId="000000BC" w14:textId="77777777" w:rsidR="0062357D" w:rsidRDefault="007E79DA">
      <w:pPr>
        <w:numPr>
          <w:ilvl w:val="0"/>
          <w:numId w:val="1"/>
        </w:numPr>
        <w:pBdr>
          <w:top w:val="nil"/>
          <w:left w:val="nil"/>
          <w:bottom w:val="nil"/>
          <w:right w:val="nil"/>
          <w:between w:val="nil"/>
        </w:pBdr>
        <w:spacing w:after="60"/>
      </w:pPr>
      <w:r>
        <w:rPr>
          <w:color w:val="000000"/>
          <w:sz w:val="21"/>
          <w:szCs w:val="21"/>
        </w:rPr>
        <w:t>Fallback codes are chosen by matching the best available data to the narrowest code the evidence supports — a job should never be assigned a specific plant-type code (e.g. HYD) on the strength of only a category-level data source; it gets the matching fallback code (e.g. REP) instead, consistent with the confidence-tier discipline in §8.</w:t>
      </w:r>
    </w:p>
    <w:p w14:paraId="000000BD" w14:textId="77777777" w:rsidR="0062357D" w:rsidRDefault="007E79DA">
      <w:pPr>
        <w:pStyle w:val="Heading3"/>
        <w:spacing w:before="200" w:after="100"/>
      </w:pPr>
      <w:r>
        <w:rPr>
          <w:b/>
          <w:bCs/>
          <w:color w:val="333333"/>
          <w:sz w:val="21"/>
          <w:szCs w:val="21"/>
        </w:rPr>
        <w:t>5.3.3 Grid Style and Majority-Source Bias</w:t>
      </w:r>
    </w:p>
    <w:p w14:paraId="000000BE" w14:textId="77777777" w:rsidR="0062357D" w:rsidRDefault="007E79DA">
      <w:pPr>
        <w:spacing w:after="140"/>
      </w:pPr>
      <w:r>
        <w:rPr>
          <w:sz w:val="21"/>
          <w:szCs w:val="21"/>
        </w:rPr>
        <w:t>Most jobs are not powered by one identifiable plant — they draw from a regional grid mixing several generation types at once. In that common case, the ESC (§5.3.1–§5.3.2) is set to whichever source holds the largest share of the mix, a plurality rather than a true majority. Left on its own, that single code could read as if the job ran on 100% of that source, so two additional fields make the bias explicit rather than implied:</w:t>
      </w:r>
    </w:p>
    <w:tbl>
      <w:tblPr>
        <w:tblStyle w:val="a5"/>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5000"/>
      </w:tblGrid>
      <w:tr w:rsidR="0062357D" w14:paraId="03933FD2" w14:textId="77777777">
        <w:trPr>
          <w:tblHeader/>
        </w:trPr>
        <w:tc>
          <w:tcPr>
            <w:tcW w:w="2600" w:type="dxa"/>
            <w:shd w:val="clear" w:color="auto" w:fill="1E7A4C"/>
            <w:tcMar>
              <w:top w:w="80" w:type="dxa"/>
              <w:left w:w="100" w:type="dxa"/>
              <w:bottom w:w="80" w:type="dxa"/>
              <w:right w:w="100" w:type="dxa"/>
            </w:tcMar>
          </w:tcPr>
          <w:p w14:paraId="000000BF" w14:textId="77777777" w:rsidR="0062357D" w:rsidRDefault="007E79DA">
            <w:r>
              <w:rPr>
                <w:b/>
                <w:bCs/>
                <w:color w:val="FFFFFF"/>
                <w:sz w:val="19"/>
                <w:szCs w:val="19"/>
              </w:rPr>
              <w:t>Field</w:t>
            </w:r>
          </w:p>
        </w:tc>
        <w:tc>
          <w:tcPr>
            <w:tcW w:w="2600" w:type="dxa"/>
            <w:shd w:val="clear" w:color="auto" w:fill="1E7A4C"/>
            <w:tcMar>
              <w:top w:w="80" w:type="dxa"/>
              <w:left w:w="100" w:type="dxa"/>
              <w:bottom w:w="80" w:type="dxa"/>
              <w:right w:w="100" w:type="dxa"/>
            </w:tcMar>
          </w:tcPr>
          <w:p w14:paraId="000000C0" w14:textId="77777777" w:rsidR="0062357D" w:rsidRDefault="007E79DA">
            <w:r>
              <w:rPr>
                <w:b/>
                <w:bCs/>
                <w:color w:val="FFFFFF"/>
                <w:sz w:val="19"/>
                <w:szCs w:val="19"/>
              </w:rPr>
              <w:t>Values</w:t>
            </w:r>
          </w:p>
        </w:tc>
        <w:tc>
          <w:tcPr>
            <w:tcW w:w="5000" w:type="dxa"/>
            <w:shd w:val="clear" w:color="auto" w:fill="1E7A4C"/>
            <w:tcMar>
              <w:top w:w="80" w:type="dxa"/>
              <w:left w:w="100" w:type="dxa"/>
              <w:bottom w:w="80" w:type="dxa"/>
              <w:right w:w="100" w:type="dxa"/>
            </w:tcMar>
          </w:tcPr>
          <w:p w14:paraId="000000C1" w14:textId="77777777" w:rsidR="0062357D" w:rsidRDefault="007E79DA">
            <w:r>
              <w:rPr>
                <w:b/>
                <w:bCs/>
                <w:color w:val="FFFFFF"/>
                <w:sz w:val="19"/>
                <w:szCs w:val="19"/>
              </w:rPr>
              <w:t>Meaning</w:t>
            </w:r>
          </w:p>
        </w:tc>
      </w:tr>
      <w:tr w:rsidR="0062357D" w14:paraId="430418E1" w14:textId="77777777">
        <w:tc>
          <w:tcPr>
            <w:tcW w:w="2600" w:type="dxa"/>
            <w:tcMar>
              <w:top w:w="80" w:type="dxa"/>
              <w:left w:w="100" w:type="dxa"/>
              <w:bottom w:w="80" w:type="dxa"/>
              <w:right w:w="100" w:type="dxa"/>
            </w:tcMar>
          </w:tcPr>
          <w:p w14:paraId="000000C2" w14:textId="77777777" w:rsidR="0062357D" w:rsidRDefault="007E79DA">
            <w:proofErr w:type="spellStart"/>
            <w:r>
              <w:rPr>
                <w:sz w:val="19"/>
                <w:szCs w:val="19"/>
              </w:rPr>
              <w:t>grid_style</w:t>
            </w:r>
            <w:proofErr w:type="spellEnd"/>
          </w:p>
        </w:tc>
        <w:tc>
          <w:tcPr>
            <w:tcW w:w="2600" w:type="dxa"/>
            <w:tcMar>
              <w:top w:w="80" w:type="dxa"/>
              <w:left w:w="100" w:type="dxa"/>
              <w:bottom w:w="80" w:type="dxa"/>
              <w:right w:w="100" w:type="dxa"/>
            </w:tcMar>
          </w:tcPr>
          <w:p w14:paraId="000000C3" w14:textId="77777777" w:rsidR="0062357D" w:rsidRDefault="007E79DA">
            <w:r>
              <w:rPr>
                <w:sz w:val="19"/>
                <w:szCs w:val="19"/>
              </w:rPr>
              <w:t>dedicated | grid-blend</w:t>
            </w:r>
          </w:p>
        </w:tc>
        <w:tc>
          <w:tcPr>
            <w:tcW w:w="5000" w:type="dxa"/>
            <w:tcMar>
              <w:top w:w="80" w:type="dxa"/>
              <w:left w:w="100" w:type="dxa"/>
              <w:bottom w:w="80" w:type="dxa"/>
              <w:right w:w="100" w:type="dxa"/>
            </w:tcMar>
          </w:tcPr>
          <w:p w14:paraId="000000C4" w14:textId="77777777" w:rsidR="0062357D" w:rsidRDefault="007E79DA">
            <w:r>
              <w:rPr>
                <w:sz w:val="19"/>
                <w:szCs w:val="19"/>
              </w:rPr>
              <w:t>Whether the ESC reflects a single directly-attributable source (on-site generation, a dedicated PPA — §12.9) or the plurality source within a blended regional grid at the job's timestamp</w:t>
            </w:r>
          </w:p>
        </w:tc>
      </w:tr>
      <w:tr w:rsidR="0062357D" w14:paraId="0F3B556B" w14:textId="77777777">
        <w:tc>
          <w:tcPr>
            <w:tcW w:w="2600" w:type="dxa"/>
            <w:tcMar>
              <w:top w:w="80" w:type="dxa"/>
              <w:left w:w="100" w:type="dxa"/>
              <w:bottom w:w="80" w:type="dxa"/>
              <w:right w:w="100" w:type="dxa"/>
            </w:tcMar>
          </w:tcPr>
          <w:p w14:paraId="000000C5" w14:textId="77777777" w:rsidR="0062357D" w:rsidRDefault="007E79DA">
            <w:proofErr w:type="spellStart"/>
            <w:r>
              <w:rPr>
                <w:sz w:val="19"/>
                <w:szCs w:val="19"/>
              </w:rPr>
              <w:t>grid_majority_share_pct</w:t>
            </w:r>
            <w:proofErr w:type="spellEnd"/>
          </w:p>
        </w:tc>
        <w:tc>
          <w:tcPr>
            <w:tcW w:w="2600" w:type="dxa"/>
            <w:tcMar>
              <w:top w:w="80" w:type="dxa"/>
              <w:left w:w="100" w:type="dxa"/>
              <w:bottom w:w="80" w:type="dxa"/>
              <w:right w:w="100" w:type="dxa"/>
            </w:tcMar>
          </w:tcPr>
          <w:p w14:paraId="000000C6" w14:textId="77777777" w:rsidR="0062357D" w:rsidRDefault="007E79DA">
            <w:r>
              <w:rPr>
                <w:sz w:val="19"/>
                <w:szCs w:val="19"/>
              </w:rPr>
              <w:t>0–100</w:t>
            </w:r>
          </w:p>
        </w:tc>
        <w:tc>
          <w:tcPr>
            <w:tcW w:w="5000" w:type="dxa"/>
            <w:tcMar>
              <w:top w:w="80" w:type="dxa"/>
              <w:left w:w="100" w:type="dxa"/>
              <w:bottom w:w="80" w:type="dxa"/>
              <w:right w:w="100" w:type="dxa"/>
            </w:tcMar>
          </w:tcPr>
          <w:p w14:paraId="000000C7" w14:textId="77777777" w:rsidR="0062357D" w:rsidRDefault="007E79DA">
            <w:r>
              <w:rPr>
                <w:sz w:val="19"/>
                <w:szCs w:val="19"/>
              </w:rPr>
              <w:t>The percentage share the plurality source actually held in the mix at that moment, so a display or export can show, e.g., “grid-blend, 42% natural gas” rather than implying single-source generation</w:t>
            </w:r>
          </w:p>
        </w:tc>
      </w:tr>
    </w:tbl>
    <w:p w14:paraId="000000C8" w14:textId="77777777" w:rsidR="0062357D" w:rsidRDefault="0062357D">
      <w:pPr>
        <w:spacing w:after="140"/>
      </w:pPr>
    </w:p>
    <w:p w14:paraId="000000C9" w14:textId="77777777" w:rsidR="0062357D" w:rsidRDefault="007E79DA">
      <w:pPr>
        <w:numPr>
          <w:ilvl w:val="0"/>
          <w:numId w:val="1"/>
        </w:numPr>
        <w:pBdr>
          <w:top w:val="nil"/>
          <w:left w:val="nil"/>
          <w:bottom w:val="nil"/>
          <w:right w:val="nil"/>
          <w:between w:val="nil"/>
        </w:pBdr>
        <w:spacing w:after="60"/>
      </w:pPr>
      <w:r>
        <w:rPr>
          <w:color w:val="000000"/>
          <w:sz w:val="21"/>
          <w:szCs w:val="21"/>
        </w:rPr>
        <w:t>Display copy uses both fields together: a dedicated-source job shows the ESC plainly (e.g., “HYD”), while a grid-blend job shows the ESC qualified by its share (e.g., “grid-blend — 42% NGP”), so the badge and breakdown panel (§6.1–§6.2) never overstate how dominant that source really is.</w:t>
      </w:r>
    </w:p>
    <w:p w14:paraId="000000CA" w14:textId="77777777" w:rsidR="0062357D" w:rsidRDefault="007E79DA">
      <w:pPr>
        <w:numPr>
          <w:ilvl w:val="0"/>
          <w:numId w:val="1"/>
        </w:numPr>
        <w:pBdr>
          <w:top w:val="nil"/>
          <w:left w:val="nil"/>
          <w:bottom w:val="nil"/>
          <w:right w:val="nil"/>
          <w:between w:val="nil"/>
        </w:pBdr>
        <w:spacing w:after="60"/>
      </w:pPr>
      <w:r>
        <w:rPr>
          <w:color w:val="000000"/>
          <w:sz w:val="21"/>
          <w:szCs w:val="21"/>
        </w:rPr>
        <w:t>When the plurality source's share falls below a configurable diversification threshold (default 25%), the job is flagged in display copy as a highly diversified mix (e.g., “mixed grid — no dominant source”) even though the ESC field still technically records the narrow plurality, so a barely-largest source in an otherwise even split isn't shown as if it were dominant. The threshold itself is versioned configuration (§8.4), not fixed.</w:t>
      </w:r>
    </w:p>
    <w:p w14:paraId="000000CB" w14:textId="77777777" w:rsidR="0062357D" w:rsidRDefault="007E79DA">
      <w:pPr>
        <w:numPr>
          <w:ilvl w:val="0"/>
          <w:numId w:val="1"/>
        </w:numPr>
        <w:pBdr>
          <w:top w:val="nil"/>
          <w:left w:val="nil"/>
          <w:bottom w:val="nil"/>
          <w:right w:val="nil"/>
          <w:between w:val="nil"/>
        </w:pBdr>
        <w:spacing w:after="60"/>
      </w:pPr>
      <w:r>
        <w:rPr>
          <w:color w:val="000000"/>
          <w:sz w:val="21"/>
          <w:szCs w:val="21"/>
        </w:rPr>
        <w:t>This is most useful paired with the fallback codes in §5.3.2: a job can show, for example, “grid-blend — 55% FPP (fossil, type unresolved)” when the region's fossil/renewable split is known but the specific plant type within it isn't.</w:t>
      </w:r>
    </w:p>
    <w:p w14:paraId="000000CC"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Both fields are sourced the same way as the full </w:t>
      </w:r>
      <w:proofErr w:type="spellStart"/>
      <w:r>
        <w:rPr>
          <w:color w:val="000000"/>
          <w:sz w:val="21"/>
          <w:szCs w:val="21"/>
        </w:rPr>
        <w:t>energy_mix_breakdown</w:t>
      </w:r>
      <w:proofErr w:type="spellEnd"/>
      <w:r>
        <w:rPr>
          <w:color w:val="000000"/>
          <w:sz w:val="21"/>
          <w:szCs w:val="21"/>
        </w:rPr>
        <w:t xml:space="preserve"> in the data model (§7) — primarily Electricity Maps' Power Breakdown API and equivalent regional grid-operator feeds (§8.7.3) — and refresh at the cadence set in §8.6.</w:t>
      </w:r>
    </w:p>
    <w:p w14:paraId="000000CD" w14:textId="77777777" w:rsidR="0062357D" w:rsidRDefault="007E79DA">
      <w:pPr>
        <w:pStyle w:val="Heading1"/>
        <w:spacing w:before="360" w:after="160"/>
      </w:pPr>
      <w:r>
        <w:rPr>
          <w:b/>
          <w:bCs/>
          <w:color w:val="0F4A2E"/>
          <w:sz w:val="30"/>
          <w:szCs w:val="30"/>
        </w:rPr>
        <w:t>6. Visual UI Elements</w:t>
      </w:r>
    </w:p>
    <w:p w14:paraId="000000CE" w14:textId="77777777" w:rsidR="0062357D" w:rsidRDefault="007E79DA">
      <w:pPr>
        <w:pStyle w:val="Heading2"/>
        <w:spacing w:before="280" w:after="120"/>
      </w:pPr>
      <w:r>
        <w:rPr>
          <w:b/>
          <w:bCs/>
          <w:color w:val="1E7A4C"/>
          <w:sz w:val="24"/>
          <w:szCs w:val="24"/>
        </w:rPr>
        <w:t>6.1 Inline Badge</w:t>
      </w:r>
    </w:p>
    <w:p w14:paraId="000000CF" w14:textId="77777777" w:rsidR="0062357D" w:rsidRDefault="007E79DA">
      <w:pPr>
        <w:spacing w:after="140"/>
      </w:pPr>
      <w:r>
        <w:rPr>
          <w:sz w:val="21"/>
          <w:szCs w:val="21"/>
        </w:rPr>
        <w:t xml:space="preserve">A small, non-intrusive badge rendered next to each metered operation (a chat turn, a query result). Shows the alphanumeric code plus a single-glance icon (leaf/lightning/droplet cluster) using </w:t>
      </w:r>
      <w:proofErr w:type="spellStart"/>
      <w:r>
        <w:rPr>
          <w:sz w:val="21"/>
          <w:szCs w:val="21"/>
        </w:rPr>
        <w:t>AIforE's</w:t>
      </w:r>
      <w:proofErr w:type="spellEnd"/>
      <w:r>
        <w:rPr>
          <w:sz w:val="21"/>
          <w:szCs w:val="21"/>
        </w:rPr>
        <w:t xml:space="preserve"> existing brand palette (electric bio-green #4AE87A accent on a dark theme, consistent with AIforE.org).</w:t>
      </w:r>
    </w:p>
    <w:p w14:paraId="000000D0" w14:textId="77777777" w:rsidR="0062357D" w:rsidRDefault="007E79DA">
      <w:pPr>
        <w:pStyle w:val="Heading2"/>
        <w:spacing w:before="280" w:after="120"/>
      </w:pPr>
      <w:r>
        <w:rPr>
          <w:b/>
          <w:bCs/>
          <w:color w:val="1E7A4C"/>
          <w:sz w:val="24"/>
          <w:szCs w:val="24"/>
        </w:rPr>
        <w:t>6.2 Expanded Breakdown Panel</w:t>
      </w:r>
    </w:p>
    <w:p w14:paraId="000000D1" w14:textId="77777777" w:rsidR="0062357D" w:rsidRDefault="007E79DA">
      <w:pPr>
        <w:spacing w:after="140"/>
      </w:pPr>
      <w:r>
        <w:rPr>
          <w:sz w:val="21"/>
          <w:szCs w:val="21"/>
        </w:rPr>
        <w:t>Opens from the badge. Contains:</w:t>
      </w:r>
    </w:p>
    <w:p w14:paraId="000000D2" w14:textId="77777777" w:rsidR="0062357D" w:rsidRDefault="007E79DA">
      <w:pPr>
        <w:numPr>
          <w:ilvl w:val="0"/>
          <w:numId w:val="1"/>
        </w:numPr>
        <w:pBdr>
          <w:top w:val="nil"/>
          <w:left w:val="nil"/>
          <w:bottom w:val="nil"/>
          <w:right w:val="nil"/>
          <w:between w:val="nil"/>
        </w:pBdr>
        <w:spacing w:after="60"/>
      </w:pPr>
      <w:r>
        <w:rPr>
          <w:color w:val="000000"/>
          <w:sz w:val="21"/>
          <w:szCs w:val="21"/>
        </w:rPr>
        <w:t>A consumption summary: tokens in/out, requests, compute time.</w:t>
      </w:r>
    </w:p>
    <w:p w14:paraId="000000D3" w14:textId="77777777" w:rsidR="0062357D" w:rsidRDefault="007E79DA">
      <w:pPr>
        <w:numPr>
          <w:ilvl w:val="0"/>
          <w:numId w:val="1"/>
        </w:numPr>
        <w:pBdr>
          <w:top w:val="nil"/>
          <w:left w:val="nil"/>
          <w:bottom w:val="nil"/>
          <w:right w:val="nil"/>
          <w:between w:val="nil"/>
        </w:pBdr>
        <w:spacing w:after="60"/>
      </w:pPr>
      <w:r>
        <w:rPr>
          <w:color w:val="000000"/>
          <w:sz w:val="21"/>
          <w:szCs w:val="21"/>
        </w:rPr>
        <w:t>A cost summary: this operation, session running total, and monthly-to-date.</w:t>
      </w:r>
    </w:p>
    <w:p w14:paraId="000000D4" w14:textId="77777777" w:rsidR="0062357D" w:rsidRDefault="007E79DA">
      <w:pPr>
        <w:numPr>
          <w:ilvl w:val="0"/>
          <w:numId w:val="1"/>
        </w:numPr>
        <w:pBdr>
          <w:top w:val="nil"/>
          <w:left w:val="nil"/>
          <w:bottom w:val="nil"/>
          <w:right w:val="nil"/>
          <w:between w:val="nil"/>
        </w:pBdr>
        <w:spacing w:after="60"/>
      </w:pPr>
      <w:r>
        <w:rPr>
          <w:color w:val="000000"/>
          <w:sz w:val="21"/>
          <w:szCs w:val="21"/>
        </w:rPr>
        <w:t>An environmental panel with one row per category from §4.3, each with a small horizontal bar or ring showing this operation's value against (a) the user's own average and (b) a category benchmark.</w:t>
      </w:r>
    </w:p>
    <w:p w14:paraId="000000D5" w14:textId="77777777" w:rsidR="0062357D" w:rsidRDefault="007E79DA">
      <w:pPr>
        <w:numPr>
          <w:ilvl w:val="0"/>
          <w:numId w:val="1"/>
        </w:numPr>
        <w:pBdr>
          <w:top w:val="nil"/>
          <w:left w:val="nil"/>
          <w:bottom w:val="nil"/>
          <w:right w:val="nil"/>
          <w:between w:val="nil"/>
        </w:pBdr>
        <w:spacing w:after="60"/>
      </w:pPr>
      <w:r>
        <w:rPr>
          <w:color w:val="000000"/>
          <w:sz w:val="21"/>
          <w:szCs w:val="21"/>
        </w:rPr>
        <w:t>A confidence indicator (Measured / Modeled / Estimated) per environmental figure, with a short methodology tooltip.</w:t>
      </w:r>
    </w:p>
    <w:p w14:paraId="000000D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An optional “remediate this” call-to-action, which routes through the Provider/Subscriber broker architecture in §10 rather than a built-in transaction engine, and a separate, optional “support </w:t>
      </w:r>
      <w:proofErr w:type="spellStart"/>
      <w:r>
        <w:rPr>
          <w:color w:val="000000"/>
          <w:sz w:val="21"/>
          <w:szCs w:val="21"/>
        </w:rPr>
        <w:t>AIforE</w:t>
      </w:r>
      <w:proofErr w:type="spellEnd"/>
      <w:r>
        <w:rPr>
          <w:color w:val="000000"/>
          <w:sz w:val="21"/>
          <w:szCs w:val="21"/>
        </w:rPr>
        <w:t>” call-to-action for a direct nonprofit donation using the same broker (§10.3, §18).</w:t>
      </w:r>
    </w:p>
    <w:p w14:paraId="000000D7" w14:textId="77777777" w:rsidR="0062357D" w:rsidRDefault="007E79DA">
      <w:pPr>
        <w:pStyle w:val="Heading2"/>
        <w:spacing w:before="280" w:after="120"/>
      </w:pPr>
      <w:r>
        <w:rPr>
          <w:b/>
          <w:bCs/>
          <w:color w:val="1E7A4C"/>
          <w:sz w:val="24"/>
          <w:szCs w:val="24"/>
        </w:rPr>
        <w:t>6.3 Dashboard (Extension Popup / Web Dashboard / Admin Console)</w:t>
      </w:r>
    </w:p>
    <w:p w14:paraId="000000D8" w14:textId="77777777" w:rsidR="0062357D" w:rsidRDefault="007E79DA">
      <w:pPr>
        <w:numPr>
          <w:ilvl w:val="0"/>
          <w:numId w:val="1"/>
        </w:numPr>
        <w:pBdr>
          <w:top w:val="nil"/>
          <w:left w:val="nil"/>
          <w:bottom w:val="nil"/>
          <w:right w:val="nil"/>
          <w:between w:val="nil"/>
        </w:pBdr>
        <w:spacing w:after="60"/>
      </w:pPr>
      <w:r>
        <w:rPr>
          <w:color w:val="000000"/>
          <w:sz w:val="21"/>
          <w:szCs w:val="21"/>
        </w:rPr>
        <w:t>Individual view: cumulative usage, cost, and environmental impact over day/week/month/year, broken out by AI app, browser session, and model.</w:t>
      </w:r>
    </w:p>
    <w:p w14:paraId="000000D9" w14:textId="77777777" w:rsidR="0062357D" w:rsidRDefault="007E79DA">
      <w:pPr>
        <w:numPr>
          <w:ilvl w:val="0"/>
          <w:numId w:val="1"/>
        </w:numPr>
        <w:pBdr>
          <w:top w:val="nil"/>
          <w:left w:val="nil"/>
          <w:bottom w:val="nil"/>
          <w:right w:val="nil"/>
          <w:between w:val="nil"/>
        </w:pBdr>
        <w:spacing w:after="60"/>
      </w:pPr>
      <w:r>
        <w:rPr>
          <w:color w:val="000000"/>
          <w:sz w:val="21"/>
          <w:szCs w:val="21"/>
        </w:rPr>
        <w:t>Infrastructure/admin view: same breakdown by service, database, environment (prod/staging), and team/cost-center, with export to CSV and to common IT reporting formats.</w:t>
      </w:r>
    </w:p>
    <w:p w14:paraId="000000DA" w14:textId="77777777" w:rsidR="0062357D" w:rsidRDefault="007E79DA">
      <w:pPr>
        <w:numPr>
          <w:ilvl w:val="0"/>
          <w:numId w:val="1"/>
        </w:numPr>
        <w:pBdr>
          <w:top w:val="nil"/>
          <w:left w:val="nil"/>
          <w:bottom w:val="nil"/>
          <w:right w:val="nil"/>
          <w:between w:val="nil"/>
        </w:pBdr>
        <w:spacing w:after="60"/>
      </w:pPr>
      <w:r>
        <w:rPr>
          <w:color w:val="000000"/>
          <w:sz w:val="21"/>
          <w:szCs w:val="21"/>
        </w:rPr>
        <w:t>Trend charts and a leaderboard-style comparison across the services/models a user or org actually uses, to surface lower-impact alternatives.</w:t>
      </w:r>
    </w:p>
    <w:p w14:paraId="000000DB" w14:textId="77777777" w:rsidR="0062357D" w:rsidRDefault="007E79DA">
      <w:pPr>
        <w:pStyle w:val="Heading1"/>
        <w:spacing w:before="360" w:after="160"/>
      </w:pPr>
      <w:r>
        <w:rPr>
          <w:b/>
          <w:bCs/>
          <w:color w:val="0F4A2E"/>
          <w:sz w:val="30"/>
          <w:szCs w:val="30"/>
        </w:rPr>
        <w:t>7. Data Model (Outline)</w:t>
      </w:r>
    </w:p>
    <w:p w14:paraId="000000DC" w14:textId="77777777" w:rsidR="0062357D" w:rsidRDefault="007E79DA">
      <w:pPr>
        <w:spacing w:after="140"/>
      </w:pPr>
      <w:r>
        <w:rPr>
          <w:sz w:val="21"/>
          <w:szCs w:val="21"/>
        </w:rPr>
        <w:t>A normalized event schema underlies all three client layers so Stardust Core can aggregate consistently regardless of source.</w:t>
      </w:r>
    </w:p>
    <w:tbl>
      <w:tblPr>
        <w:tblStyle w:val="a6"/>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800"/>
        <w:gridCol w:w="5400"/>
      </w:tblGrid>
      <w:tr w:rsidR="0062357D" w14:paraId="7248B000" w14:textId="77777777">
        <w:trPr>
          <w:tblHeader/>
        </w:trPr>
        <w:tc>
          <w:tcPr>
            <w:tcW w:w="3000" w:type="dxa"/>
            <w:shd w:val="clear" w:color="auto" w:fill="1E7A4C"/>
            <w:tcMar>
              <w:top w:w="80" w:type="dxa"/>
              <w:left w:w="100" w:type="dxa"/>
              <w:bottom w:w="80" w:type="dxa"/>
              <w:right w:w="100" w:type="dxa"/>
            </w:tcMar>
          </w:tcPr>
          <w:p w14:paraId="000000DD" w14:textId="77777777" w:rsidR="0062357D" w:rsidRDefault="007E79DA">
            <w:r>
              <w:rPr>
                <w:b/>
                <w:bCs/>
                <w:color w:val="FFFFFF"/>
                <w:sz w:val="19"/>
                <w:szCs w:val="19"/>
              </w:rPr>
              <w:t>Field</w:t>
            </w:r>
          </w:p>
        </w:tc>
        <w:tc>
          <w:tcPr>
            <w:tcW w:w="1800" w:type="dxa"/>
            <w:shd w:val="clear" w:color="auto" w:fill="1E7A4C"/>
            <w:tcMar>
              <w:top w:w="80" w:type="dxa"/>
              <w:left w:w="100" w:type="dxa"/>
              <w:bottom w:w="80" w:type="dxa"/>
              <w:right w:w="100" w:type="dxa"/>
            </w:tcMar>
          </w:tcPr>
          <w:p w14:paraId="000000DE" w14:textId="77777777" w:rsidR="0062357D" w:rsidRDefault="007E79DA">
            <w:r>
              <w:rPr>
                <w:b/>
                <w:bCs/>
                <w:color w:val="FFFFFF"/>
                <w:sz w:val="19"/>
                <w:szCs w:val="19"/>
              </w:rPr>
              <w:t>Type</w:t>
            </w:r>
          </w:p>
        </w:tc>
        <w:tc>
          <w:tcPr>
            <w:tcW w:w="5400" w:type="dxa"/>
            <w:shd w:val="clear" w:color="auto" w:fill="1E7A4C"/>
            <w:tcMar>
              <w:top w:w="80" w:type="dxa"/>
              <w:left w:w="100" w:type="dxa"/>
              <w:bottom w:w="80" w:type="dxa"/>
              <w:right w:w="100" w:type="dxa"/>
            </w:tcMar>
          </w:tcPr>
          <w:p w14:paraId="000000DF" w14:textId="77777777" w:rsidR="0062357D" w:rsidRDefault="007E79DA">
            <w:r>
              <w:rPr>
                <w:b/>
                <w:bCs/>
                <w:color w:val="FFFFFF"/>
                <w:sz w:val="19"/>
                <w:szCs w:val="19"/>
              </w:rPr>
              <w:t>Notes</w:t>
            </w:r>
          </w:p>
        </w:tc>
      </w:tr>
      <w:tr w:rsidR="0062357D" w14:paraId="6994F0CD" w14:textId="77777777">
        <w:tc>
          <w:tcPr>
            <w:tcW w:w="3000" w:type="dxa"/>
            <w:tcMar>
              <w:top w:w="80" w:type="dxa"/>
              <w:left w:w="100" w:type="dxa"/>
              <w:bottom w:w="80" w:type="dxa"/>
              <w:right w:w="100" w:type="dxa"/>
            </w:tcMar>
          </w:tcPr>
          <w:p w14:paraId="000000E0" w14:textId="77777777" w:rsidR="0062357D" w:rsidRDefault="007E79DA">
            <w:proofErr w:type="spellStart"/>
            <w:r>
              <w:rPr>
                <w:sz w:val="19"/>
                <w:szCs w:val="19"/>
              </w:rPr>
              <w:t>event_id</w:t>
            </w:r>
            <w:proofErr w:type="spellEnd"/>
          </w:p>
        </w:tc>
        <w:tc>
          <w:tcPr>
            <w:tcW w:w="1800" w:type="dxa"/>
            <w:tcMar>
              <w:top w:w="80" w:type="dxa"/>
              <w:left w:w="100" w:type="dxa"/>
              <w:bottom w:w="80" w:type="dxa"/>
              <w:right w:w="100" w:type="dxa"/>
            </w:tcMar>
          </w:tcPr>
          <w:p w14:paraId="000000E1" w14:textId="77777777" w:rsidR="0062357D" w:rsidRDefault="007E79DA">
            <w:r>
              <w:rPr>
                <w:sz w:val="19"/>
                <w:szCs w:val="19"/>
              </w:rPr>
              <w:t>UUID</w:t>
            </w:r>
          </w:p>
        </w:tc>
        <w:tc>
          <w:tcPr>
            <w:tcW w:w="5400" w:type="dxa"/>
            <w:tcMar>
              <w:top w:w="80" w:type="dxa"/>
              <w:left w:w="100" w:type="dxa"/>
              <w:bottom w:w="80" w:type="dxa"/>
              <w:right w:w="100" w:type="dxa"/>
            </w:tcMar>
          </w:tcPr>
          <w:p w14:paraId="000000E2" w14:textId="77777777" w:rsidR="0062357D" w:rsidRDefault="007E79DA">
            <w:r>
              <w:rPr>
                <w:sz w:val="19"/>
                <w:szCs w:val="19"/>
              </w:rPr>
              <w:t>Unique per measured operation</w:t>
            </w:r>
          </w:p>
        </w:tc>
      </w:tr>
      <w:tr w:rsidR="0062357D" w14:paraId="11E6CB9B" w14:textId="77777777">
        <w:tc>
          <w:tcPr>
            <w:tcW w:w="3000" w:type="dxa"/>
            <w:tcMar>
              <w:top w:w="80" w:type="dxa"/>
              <w:left w:w="100" w:type="dxa"/>
              <w:bottom w:w="80" w:type="dxa"/>
              <w:right w:w="100" w:type="dxa"/>
            </w:tcMar>
          </w:tcPr>
          <w:p w14:paraId="000000E3" w14:textId="77777777" w:rsidR="0062357D" w:rsidRDefault="007E79DA">
            <w:proofErr w:type="spellStart"/>
            <w:r>
              <w:rPr>
                <w:sz w:val="19"/>
                <w:szCs w:val="19"/>
              </w:rPr>
              <w:t>source_layer</w:t>
            </w:r>
            <w:proofErr w:type="spellEnd"/>
          </w:p>
        </w:tc>
        <w:tc>
          <w:tcPr>
            <w:tcW w:w="1800" w:type="dxa"/>
            <w:tcMar>
              <w:top w:w="80" w:type="dxa"/>
              <w:left w:w="100" w:type="dxa"/>
              <w:bottom w:w="80" w:type="dxa"/>
              <w:right w:w="100" w:type="dxa"/>
            </w:tcMar>
          </w:tcPr>
          <w:p w14:paraId="000000E4" w14:textId="77777777" w:rsidR="0062357D" w:rsidRDefault="007E79DA">
            <w:proofErr w:type="spellStart"/>
            <w:r>
              <w:rPr>
                <w:sz w:val="19"/>
                <w:szCs w:val="19"/>
              </w:rPr>
              <w:t>enum</w:t>
            </w:r>
            <w:proofErr w:type="spellEnd"/>
          </w:p>
        </w:tc>
        <w:tc>
          <w:tcPr>
            <w:tcW w:w="5400" w:type="dxa"/>
            <w:tcMar>
              <w:top w:w="80" w:type="dxa"/>
              <w:left w:w="100" w:type="dxa"/>
              <w:bottom w:w="80" w:type="dxa"/>
              <w:right w:w="100" w:type="dxa"/>
            </w:tcMar>
          </w:tcPr>
          <w:p w14:paraId="000000E5" w14:textId="77777777" w:rsidR="0062357D" w:rsidRDefault="007E79DA">
            <w:proofErr w:type="spellStart"/>
            <w:r>
              <w:rPr>
                <w:sz w:val="19"/>
                <w:szCs w:val="19"/>
              </w:rPr>
              <w:t>chat_plugin</w:t>
            </w:r>
            <w:proofErr w:type="spellEnd"/>
            <w:r>
              <w:rPr>
                <w:sz w:val="19"/>
                <w:szCs w:val="19"/>
              </w:rPr>
              <w:t xml:space="preserve"> | </w:t>
            </w:r>
            <w:proofErr w:type="spellStart"/>
            <w:r>
              <w:rPr>
                <w:sz w:val="19"/>
                <w:szCs w:val="19"/>
              </w:rPr>
              <w:t>browser_ext</w:t>
            </w:r>
            <w:proofErr w:type="spellEnd"/>
            <w:r>
              <w:rPr>
                <w:sz w:val="19"/>
                <w:szCs w:val="19"/>
              </w:rPr>
              <w:t xml:space="preserve"> | </w:t>
            </w:r>
            <w:proofErr w:type="spellStart"/>
            <w:r>
              <w:rPr>
                <w:sz w:val="19"/>
                <w:szCs w:val="19"/>
              </w:rPr>
              <w:t>infra_agent</w:t>
            </w:r>
            <w:proofErr w:type="spellEnd"/>
          </w:p>
        </w:tc>
      </w:tr>
      <w:tr w:rsidR="0062357D" w14:paraId="5E1DB8B2" w14:textId="77777777">
        <w:tc>
          <w:tcPr>
            <w:tcW w:w="3000" w:type="dxa"/>
            <w:tcMar>
              <w:top w:w="80" w:type="dxa"/>
              <w:left w:w="100" w:type="dxa"/>
              <w:bottom w:w="80" w:type="dxa"/>
              <w:right w:w="100" w:type="dxa"/>
            </w:tcMar>
          </w:tcPr>
          <w:p w14:paraId="000000E6" w14:textId="77777777" w:rsidR="0062357D" w:rsidRDefault="007E79DA">
            <w:r>
              <w:rPr>
                <w:sz w:val="19"/>
                <w:szCs w:val="19"/>
              </w:rPr>
              <w:t>provider</w:t>
            </w:r>
          </w:p>
        </w:tc>
        <w:tc>
          <w:tcPr>
            <w:tcW w:w="1800" w:type="dxa"/>
            <w:tcMar>
              <w:top w:w="80" w:type="dxa"/>
              <w:left w:w="100" w:type="dxa"/>
              <w:bottom w:w="80" w:type="dxa"/>
              <w:right w:w="100" w:type="dxa"/>
            </w:tcMar>
          </w:tcPr>
          <w:p w14:paraId="000000E7" w14:textId="77777777" w:rsidR="0062357D" w:rsidRDefault="007E79DA">
            <w:r>
              <w:rPr>
                <w:sz w:val="19"/>
                <w:szCs w:val="19"/>
              </w:rPr>
              <w:t>string</w:t>
            </w:r>
          </w:p>
        </w:tc>
        <w:tc>
          <w:tcPr>
            <w:tcW w:w="5400" w:type="dxa"/>
            <w:tcMar>
              <w:top w:w="80" w:type="dxa"/>
              <w:left w:w="100" w:type="dxa"/>
              <w:bottom w:w="80" w:type="dxa"/>
              <w:right w:w="100" w:type="dxa"/>
            </w:tcMar>
          </w:tcPr>
          <w:p w14:paraId="000000E8" w14:textId="77777777" w:rsidR="0062357D" w:rsidRDefault="007E79DA">
            <w:r>
              <w:rPr>
                <w:sz w:val="19"/>
                <w:szCs w:val="19"/>
              </w:rPr>
              <w:t xml:space="preserve">e.g. anthropic, </w:t>
            </w:r>
            <w:proofErr w:type="spellStart"/>
            <w:r>
              <w:rPr>
                <w:sz w:val="19"/>
                <w:szCs w:val="19"/>
              </w:rPr>
              <w:t>openai</w:t>
            </w:r>
            <w:proofErr w:type="spellEnd"/>
            <w:r>
              <w:rPr>
                <w:sz w:val="19"/>
                <w:szCs w:val="19"/>
              </w:rPr>
              <w:t xml:space="preserve">, google, </w:t>
            </w:r>
            <w:proofErr w:type="spellStart"/>
            <w:r>
              <w:rPr>
                <w:sz w:val="19"/>
                <w:szCs w:val="19"/>
              </w:rPr>
              <w:t>aws</w:t>
            </w:r>
            <w:proofErr w:type="spellEnd"/>
            <w:r>
              <w:rPr>
                <w:sz w:val="19"/>
                <w:szCs w:val="19"/>
              </w:rPr>
              <w:t xml:space="preserve">, azure, </w:t>
            </w:r>
            <w:proofErr w:type="spellStart"/>
            <w:r>
              <w:rPr>
                <w:sz w:val="19"/>
                <w:szCs w:val="19"/>
              </w:rPr>
              <w:t>gcp</w:t>
            </w:r>
            <w:proofErr w:type="spellEnd"/>
            <w:r>
              <w:rPr>
                <w:sz w:val="19"/>
                <w:szCs w:val="19"/>
              </w:rPr>
              <w:t>, self-hosted</w:t>
            </w:r>
          </w:p>
        </w:tc>
      </w:tr>
      <w:tr w:rsidR="0062357D" w14:paraId="35437821" w14:textId="77777777">
        <w:tc>
          <w:tcPr>
            <w:tcW w:w="3000" w:type="dxa"/>
            <w:tcMar>
              <w:top w:w="80" w:type="dxa"/>
              <w:left w:w="100" w:type="dxa"/>
              <w:bottom w:w="80" w:type="dxa"/>
              <w:right w:w="100" w:type="dxa"/>
            </w:tcMar>
          </w:tcPr>
          <w:p w14:paraId="000000E9" w14:textId="77777777" w:rsidR="0062357D" w:rsidRDefault="007E79DA">
            <w:r>
              <w:rPr>
                <w:sz w:val="19"/>
                <w:szCs w:val="19"/>
              </w:rPr>
              <w:t>service / model</w:t>
            </w:r>
          </w:p>
        </w:tc>
        <w:tc>
          <w:tcPr>
            <w:tcW w:w="1800" w:type="dxa"/>
            <w:tcMar>
              <w:top w:w="80" w:type="dxa"/>
              <w:left w:w="100" w:type="dxa"/>
              <w:bottom w:w="80" w:type="dxa"/>
              <w:right w:w="100" w:type="dxa"/>
            </w:tcMar>
          </w:tcPr>
          <w:p w14:paraId="000000EA" w14:textId="77777777" w:rsidR="0062357D" w:rsidRDefault="007E79DA">
            <w:r>
              <w:rPr>
                <w:sz w:val="19"/>
                <w:szCs w:val="19"/>
              </w:rPr>
              <w:t>string</w:t>
            </w:r>
          </w:p>
        </w:tc>
        <w:tc>
          <w:tcPr>
            <w:tcW w:w="5400" w:type="dxa"/>
            <w:tcMar>
              <w:top w:w="80" w:type="dxa"/>
              <w:left w:w="100" w:type="dxa"/>
              <w:bottom w:w="80" w:type="dxa"/>
              <w:right w:w="100" w:type="dxa"/>
            </w:tcMar>
          </w:tcPr>
          <w:p w14:paraId="000000EB" w14:textId="77777777" w:rsidR="0062357D" w:rsidRDefault="007E79DA">
            <w:r>
              <w:rPr>
                <w:sz w:val="19"/>
                <w:szCs w:val="19"/>
              </w:rPr>
              <w:t>Model name or infrastructure service identifier</w:t>
            </w:r>
          </w:p>
        </w:tc>
      </w:tr>
      <w:tr w:rsidR="0062357D" w14:paraId="7864604D" w14:textId="77777777">
        <w:tc>
          <w:tcPr>
            <w:tcW w:w="3000" w:type="dxa"/>
            <w:tcMar>
              <w:top w:w="80" w:type="dxa"/>
              <w:left w:w="100" w:type="dxa"/>
              <w:bottom w:w="80" w:type="dxa"/>
              <w:right w:w="100" w:type="dxa"/>
            </w:tcMar>
          </w:tcPr>
          <w:p w14:paraId="000000EC" w14:textId="77777777" w:rsidR="0062357D" w:rsidRDefault="007E79DA">
            <w:r>
              <w:rPr>
                <w:sz w:val="19"/>
                <w:szCs w:val="19"/>
              </w:rPr>
              <w:t>region</w:t>
            </w:r>
          </w:p>
        </w:tc>
        <w:tc>
          <w:tcPr>
            <w:tcW w:w="1800" w:type="dxa"/>
            <w:tcMar>
              <w:top w:w="80" w:type="dxa"/>
              <w:left w:w="100" w:type="dxa"/>
              <w:bottom w:w="80" w:type="dxa"/>
              <w:right w:w="100" w:type="dxa"/>
            </w:tcMar>
          </w:tcPr>
          <w:p w14:paraId="000000ED" w14:textId="77777777" w:rsidR="0062357D" w:rsidRDefault="007E79DA">
            <w:r>
              <w:rPr>
                <w:sz w:val="19"/>
                <w:szCs w:val="19"/>
              </w:rPr>
              <w:t>string</w:t>
            </w:r>
          </w:p>
        </w:tc>
        <w:tc>
          <w:tcPr>
            <w:tcW w:w="5400" w:type="dxa"/>
            <w:tcMar>
              <w:top w:w="80" w:type="dxa"/>
              <w:left w:w="100" w:type="dxa"/>
              <w:bottom w:w="80" w:type="dxa"/>
              <w:right w:w="100" w:type="dxa"/>
            </w:tcMar>
          </w:tcPr>
          <w:p w14:paraId="000000EE" w14:textId="77777777" w:rsidR="0062357D" w:rsidRDefault="007E79DA">
            <w:r>
              <w:rPr>
                <w:sz w:val="19"/>
                <w:szCs w:val="19"/>
              </w:rPr>
              <w:t>Processing/data-center region where known; keys the provider-specific factor lookup (§8.5)</w:t>
            </w:r>
          </w:p>
        </w:tc>
      </w:tr>
      <w:tr w:rsidR="0062357D" w14:paraId="3DCF73C4" w14:textId="77777777">
        <w:tc>
          <w:tcPr>
            <w:tcW w:w="3000" w:type="dxa"/>
            <w:tcMar>
              <w:top w:w="80" w:type="dxa"/>
              <w:left w:w="100" w:type="dxa"/>
              <w:bottom w:w="80" w:type="dxa"/>
              <w:right w:w="100" w:type="dxa"/>
            </w:tcMar>
          </w:tcPr>
          <w:p w14:paraId="000000EF" w14:textId="77777777" w:rsidR="0062357D" w:rsidRDefault="007E79DA">
            <w:r>
              <w:rPr>
                <w:sz w:val="19"/>
                <w:szCs w:val="19"/>
              </w:rPr>
              <w:t>timestamp</w:t>
            </w:r>
          </w:p>
        </w:tc>
        <w:tc>
          <w:tcPr>
            <w:tcW w:w="1800" w:type="dxa"/>
            <w:tcMar>
              <w:top w:w="80" w:type="dxa"/>
              <w:left w:w="100" w:type="dxa"/>
              <w:bottom w:w="80" w:type="dxa"/>
              <w:right w:w="100" w:type="dxa"/>
            </w:tcMar>
          </w:tcPr>
          <w:p w14:paraId="000000F0" w14:textId="77777777" w:rsidR="0062357D" w:rsidRDefault="007E79DA">
            <w:proofErr w:type="spellStart"/>
            <w:r>
              <w:rPr>
                <w:sz w:val="19"/>
                <w:szCs w:val="19"/>
              </w:rPr>
              <w:t>datetime</w:t>
            </w:r>
            <w:proofErr w:type="spellEnd"/>
          </w:p>
        </w:tc>
        <w:tc>
          <w:tcPr>
            <w:tcW w:w="5400" w:type="dxa"/>
            <w:tcMar>
              <w:top w:w="80" w:type="dxa"/>
              <w:left w:w="100" w:type="dxa"/>
              <w:bottom w:w="80" w:type="dxa"/>
              <w:right w:w="100" w:type="dxa"/>
            </w:tcMar>
          </w:tcPr>
          <w:p w14:paraId="000000F1" w14:textId="77777777" w:rsidR="0062357D" w:rsidRDefault="007E79DA">
            <w:r>
              <w:rPr>
                <w:sz w:val="19"/>
                <w:szCs w:val="19"/>
              </w:rPr>
              <w:t>UTC, client-local offset retained</w:t>
            </w:r>
          </w:p>
        </w:tc>
      </w:tr>
      <w:tr w:rsidR="0062357D" w14:paraId="5A99018A" w14:textId="77777777">
        <w:tc>
          <w:tcPr>
            <w:tcW w:w="3000" w:type="dxa"/>
            <w:tcMar>
              <w:top w:w="80" w:type="dxa"/>
              <w:left w:w="100" w:type="dxa"/>
              <w:bottom w:w="80" w:type="dxa"/>
              <w:right w:w="100" w:type="dxa"/>
            </w:tcMar>
          </w:tcPr>
          <w:p w14:paraId="000000F2" w14:textId="77777777" w:rsidR="0062357D" w:rsidRDefault="007E79DA">
            <w:proofErr w:type="spellStart"/>
            <w:r>
              <w:rPr>
                <w:sz w:val="19"/>
                <w:szCs w:val="19"/>
              </w:rPr>
              <w:t>tokens_in</w:t>
            </w:r>
            <w:proofErr w:type="spellEnd"/>
            <w:r>
              <w:rPr>
                <w:sz w:val="19"/>
                <w:szCs w:val="19"/>
              </w:rPr>
              <w:t xml:space="preserve"> / </w:t>
            </w:r>
            <w:proofErr w:type="spellStart"/>
            <w:r>
              <w:rPr>
                <w:sz w:val="19"/>
                <w:szCs w:val="19"/>
              </w:rPr>
              <w:t>tokens_out</w:t>
            </w:r>
            <w:proofErr w:type="spellEnd"/>
          </w:p>
        </w:tc>
        <w:tc>
          <w:tcPr>
            <w:tcW w:w="1800" w:type="dxa"/>
            <w:tcMar>
              <w:top w:w="80" w:type="dxa"/>
              <w:left w:w="100" w:type="dxa"/>
              <w:bottom w:w="80" w:type="dxa"/>
              <w:right w:w="100" w:type="dxa"/>
            </w:tcMar>
          </w:tcPr>
          <w:p w14:paraId="000000F3" w14:textId="77777777" w:rsidR="0062357D" w:rsidRDefault="007E79DA">
            <w:r>
              <w:rPr>
                <w:sz w:val="19"/>
                <w:szCs w:val="19"/>
              </w:rPr>
              <w:t>integer</w:t>
            </w:r>
          </w:p>
        </w:tc>
        <w:tc>
          <w:tcPr>
            <w:tcW w:w="5400" w:type="dxa"/>
            <w:tcMar>
              <w:top w:w="80" w:type="dxa"/>
              <w:left w:w="100" w:type="dxa"/>
              <w:bottom w:w="80" w:type="dxa"/>
              <w:right w:w="100" w:type="dxa"/>
            </w:tcMar>
          </w:tcPr>
          <w:p w14:paraId="000000F4" w14:textId="77777777" w:rsidR="0062357D" w:rsidRDefault="007E79DA">
            <w:r>
              <w:rPr>
                <w:sz w:val="19"/>
                <w:szCs w:val="19"/>
              </w:rPr>
              <w:t>Null where not applicable (pure infra events)</w:t>
            </w:r>
          </w:p>
        </w:tc>
      </w:tr>
      <w:tr w:rsidR="0062357D" w14:paraId="3ADCF515" w14:textId="77777777">
        <w:tc>
          <w:tcPr>
            <w:tcW w:w="3000" w:type="dxa"/>
            <w:tcMar>
              <w:top w:w="80" w:type="dxa"/>
              <w:left w:w="100" w:type="dxa"/>
              <w:bottom w:w="80" w:type="dxa"/>
              <w:right w:w="100" w:type="dxa"/>
            </w:tcMar>
          </w:tcPr>
          <w:p w14:paraId="000000F5" w14:textId="77777777" w:rsidR="0062357D" w:rsidRDefault="007E79DA">
            <w:proofErr w:type="spellStart"/>
            <w:r>
              <w:rPr>
                <w:sz w:val="19"/>
                <w:szCs w:val="19"/>
              </w:rPr>
              <w:t>compute_seconds</w:t>
            </w:r>
            <w:proofErr w:type="spellEnd"/>
          </w:p>
        </w:tc>
        <w:tc>
          <w:tcPr>
            <w:tcW w:w="1800" w:type="dxa"/>
            <w:tcMar>
              <w:top w:w="80" w:type="dxa"/>
              <w:left w:w="100" w:type="dxa"/>
              <w:bottom w:w="80" w:type="dxa"/>
              <w:right w:w="100" w:type="dxa"/>
            </w:tcMar>
          </w:tcPr>
          <w:p w14:paraId="000000F6" w14:textId="77777777" w:rsidR="0062357D" w:rsidRDefault="007E79DA">
            <w:r>
              <w:rPr>
                <w:sz w:val="19"/>
                <w:szCs w:val="19"/>
              </w:rPr>
              <w:t>float</w:t>
            </w:r>
          </w:p>
        </w:tc>
        <w:tc>
          <w:tcPr>
            <w:tcW w:w="5400" w:type="dxa"/>
            <w:tcMar>
              <w:top w:w="80" w:type="dxa"/>
              <w:left w:w="100" w:type="dxa"/>
              <w:bottom w:w="80" w:type="dxa"/>
              <w:right w:w="100" w:type="dxa"/>
            </w:tcMar>
          </w:tcPr>
          <w:p w14:paraId="000000F7" w14:textId="77777777" w:rsidR="0062357D" w:rsidRDefault="007E79DA">
            <w:r>
              <w:rPr>
                <w:sz w:val="19"/>
                <w:szCs w:val="19"/>
              </w:rPr>
              <w:t>CPU/GPU-seconds where measurable</w:t>
            </w:r>
          </w:p>
        </w:tc>
      </w:tr>
      <w:tr w:rsidR="0062357D" w14:paraId="49B2FA53" w14:textId="77777777">
        <w:tc>
          <w:tcPr>
            <w:tcW w:w="3000" w:type="dxa"/>
            <w:tcMar>
              <w:top w:w="80" w:type="dxa"/>
              <w:left w:w="100" w:type="dxa"/>
              <w:bottom w:w="80" w:type="dxa"/>
              <w:right w:w="100" w:type="dxa"/>
            </w:tcMar>
          </w:tcPr>
          <w:p w14:paraId="000000F8" w14:textId="77777777" w:rsidR="0062357D" w:rsidRDefault="007E79DA">
            <w:proofErr w:type="spellStart"/>
            <w:r>
              <w:rPr>
                <w:sz w:val="19"/>
                <w:szCs w:val="19"/>
              </w:rPr>
              <w:t>cost_usd</w:t>
            </w:r>
            <w:proofErr w:type="spellEnd"/>
          </w:p>
        </w:tc>
        <w:tc>
          <w:tcPr>
            <w:tcW w:w="1800" w:type="dxa"/>
            <w:tcMar>
              <w:top w:w="80" w:type="dxa"/>
              <w:left w:w="100" w:type="dxa"/>
              <w:bottom w:w="80" w:type="dxa"/>
              <w:right w:w="100" w:type="dxa"/>
            </w:tcMar>
          </w:tcPr>
          <w:p w14:paraId="000000F9" w14:textId="77777777" w:rsidR="0062357D" w:rsidRDefault="007E79DA">
            <w:r>
              <w:rPr>
                <w:sz w:val="19"/>
                <w:szCs w:val="19"/>
              </w:rPr>
              <w:t>decimal</w:t>
            </w:r>
          </w:p>
        </w:tc>
        <w:tc>
          <w:tcPr>
            <w:tcW w:w="5400" w:type="dxa"/>
            <w:tcMar>
              <w:top w:w="80" w:type="dxa"/>
              <w:left w:w="100" w:type="dxa"/>
              <w:bottom w:w="80" w:type="dxa"/>
              <w:right w:w="100" w:type="dxa"/>
            </w:tcMar>
          </w:tcPr>
          <w:p w14:paraId="000000FA" w14:textId="77777777" w:rsidR="0062357D" w:rsidRDefault="007E79DA">
            <w:r>
              <w:rPr>
                <w:sz w:val="19"/>
                <w:szCs w:val="19"/>
              </w:rPr>
              <w:t>Normalized cost estimate</w:t>
            </w:r>
          </w:p>
        </w:tc>
      </w:tr>
      <w:tr w:rsidR="0062357D" w14:paraId="723A17DE" w14:textId="77777777">
        <w:tc>
          <w:tcPr>
            <w:tcW w:w="3000" w:type="dxa"/>
            <w:tcMar>
              <w:top w:w="80" w:type="dxa"/>
              <w:left w:w="100" w:type="dxa"/>
              <w:bottom w:w="80" w:type="dxa"/>
              <w:right w:w="100" w:type="dxa"/>
            </w:tcMar>
          </w:tcPr>
          <w:p w14:paraId="000000FB" w14:textId="77777777" w:rsidR="0062357D" w:rsidRDefault="007E79DA">
            <w:proofErr w:type="spellStart"/>
            <w:r>
              <w:rPr>
                <w:sz w:val="19"/>
                <w:szCs w:val="19"/>
              </w:rPr>
              <w:t>energy_wh</w:t>
            </w:r>
            <w:proofErr w:type="spellEnd"/>
          </w:p>
        </w:tc>
        <w:tc>
          <w:tcPr>
            <w:tcW w:w="1800" w:type="dxa"/>
            <w:tcMar>
              <w:top w:w="80" w:type="dxa"/>
              <w:left w:w="100" w:type="dxa"/>
              <w:bottom w:w="80" w:type="dxa"/>
              <w:right w:w="100" w:type="dxa"/>
            </w:tcMar>
          </w:tcPr>
          <w:p w14:paraId="000000FC" w14:textId="77777777" w:rsidR="0062357D" w:rsidRDefault="007E79DA">
            <w:r>
              <w:rPr>
                <w:sz w:val="19"/>
                <w:szCs w:val="19"/>
              </w:rPr>
              <w:t>float</w:t>
            </w:r>
          </w:p>
        </w:tc>
        <w:tc>
          <w:tcPr>
            <w:tcW w:w="5400" w:type="dxa"/>
            <w:tcMar>
              <w:top w:w="80" w:type="dxa"/>
              <w:left w:w="100" w:type="dxa"/>
              <w:bottom w:w="80" w:type="dxa"/>
              <w:right w:w="100" w:type="dxa"/>
            </w:tcMar>
          </w:tcPr>
          <w:p w14:paraId="000000FD" w14:textId="77777777" w:rsidR="0062357D" w:rsidRDefault="007E79DA">
            <w:r>
              <w:rPr>
                <w:sz w:val="19"/>
                <w:szCs w:val="19"/>
              </w:rPr>
              <w:t>Modeled or measured energy</w:t>
            </w:r>
          </w:p>
        </w:tc>
      </w:tr>
      <w:tr w:rsidR="0062357D" w14:paraId="39B2980F" w14:textId="77777777">
        <w:tc>
          <w:tcPr>
            <w:tcW w:w="3000" w:type="dxa"/>
            <w:tcMar>
              <w:top w:w="80" w:type="dxa"/>
              <w:left w:w="100" w:type="dxa"/>
              <w:bottom w:w="80" w:type="dxa"/>
              <w:right w:w="100" w:type="dxa"/>
            </w:tcMar>
          </w:tcPr>
          <w:p w14:paraId="000000FE" w14:textId="77777777" w:rsidR="0062357D" w:rsidRDefault="007E79DA">
            <w:r>
              <w:rPr>
                <w:sz w:val="19"/>
                <w:szCs w:val="19"/>
              </w:rPr>
              <w:t>co2e_g</w:t>
            </w:r>
          </w:p>
        </w:tc>
        <w:tc>
          <w:tcPr>
            <w:tcW w:w="1800" w:type="dxa"/>
            <w:tcMar>
              <w:top w:w="80" w:type="dxa"/>
              <w:left w:w="100" w:type="dxa"/>
              <w:bottom w:w="80" w:type="dxa"/>
              <w:right w:w="100" w:type="dxa"/>
            </w:tcMar>
          </w:tcPr>
          <w:p w14:paraId="000000FF" w14:textId="77777777" w:rsidR="0062357D" w:rsidRDefault="007E79DA">
            <w:r>
              <w:rPr>
                <w:sz w:val="19"/>
                <w:szCs w:val="19"/>
              </w:rPr>
              <w:t>float</w:t>
            </w:r>
          </w:p>
        </w:tc>
        <w:tc>
          <w:tcPr>
            <w:tcW w:w="5400" w:type="dxa"/>
            <w:tcMar>
              <w:top w:w="80" w:type="dxa"/>
              <w:left w:w="100" w:type="dxa"/>
              <w:bottom w:w="80" w:type="dxa"/>
              <w:right w:w="100" w:type="dxa"/>
            </w:tcMar>
          </w:tcPr>
          <w:p w14:paraId="00000100" w14:textId="77777777" w:rsidR="0062357D" w:rsidRDefault="007E79DA">
            <w:r>
              <w:rPr>
                <w:sz w:val="19"/>
                <w:szCs w:val="19"/>
              </w:rPr>
              <w:t xml:space="preserve">Derived from </w:t>
            </w:r>
            <w:proofErr w:type="spellStart"/>
            <w:r>
              <w:rPr>
                <w:sz w:val="19"/>
                <w:szCs w:val="19"/>
              </w:rPr>
              <w:t>energy_wh</w:t>
            </w:r>
            <w:proofErr w:type="spellEnd"/>
            <w:r>
              <w:rPr>
                <w:sz w:val="19"/>
                <w:szCs w:val="19"/>
              </w:rPr>
              <w:t xml:space="preserve"> × grid intensity</w:t>
            </w:r>
          </w:p>
        </w:tc>
      </w:tr>
      <w:tr w:rsidR="0062357D" w14:paraId="13804D65" w14:textId="77777777">
        <w:tc>
          <w:tcPr>
            <w:tcW w:w="3000" w:type="dxa"/>
            <w:tcMar>
              <w:top w:w="80" w:type="dxa"/>
              <w:left w:w="100" w:type="dxa"/>
              <w:bottom w:w="80" w:type="dxa"/>
              <w:right w:w="100" w:type="dxa"/>
            </w:tcMar>
          </w:tcPr>
          <w:p w14:paraId="00000101" w14:textId="77777777" w:rsidR="0062357D" w:rsidRDefault="007E79DA">
            <w:proofErr w:type="spellStart"/>
            <w:r>
              <w:rPr>
                <w:sz w:val="19"/>
                <w:szCs w:val="19"/>
              </w:rPr>
              <w:t>water_ml</w:t>
            </w:r>
            <w:proofErr w:type="spellEnd"/>
          </w:p>
        </w:tc>
        <w:tc>
          <w:tcPr>
            <w:tcW w:w="1800" w:type="dxa"/>
            <w:tcMar>
              <w:top w:w="80" w:type="dxa"/>
              <w:left w:w="100" w:type="dxa"/>
              <w:bottom w:w="80" w:type="dxa"/>
              <w:right w:w="100" w:type="dxa"/>
            </w:tcMar>
          </w:tcPr>
          <w:p w14:paraId="00000102" w14:textId="77777777" w:rsidR="0062357D" w:rsidRDefault="007E79DA">
            <w:r>
              <w:rPr>
                <w:sz w:val="19"/>
                <w:szCs w:val="19"/>
              </w:rPr>
              <w:t>float</w:t>
            </w:r>
          </w:p>
        </w:tc>
        <w:tc>
          <w:tcPr>
            <w:tcW w:w="5400" w:type="dxa"/>
            <w:tcMar>
              <w:top w:w="80" w:type="dxa"/>
              <w:left w:w="100" w:type="dxa"/>
              <w:bottom w:w="80" w:type="dxa"/>
              <w:right w:w="100" w:type="dxa"/>
            </w:tcMar>
          </w:tcPr>
          <w:p w14:paraId="00000103" w14:textId="77777777" w:rsidR="0062357D" w:rsidRDefault="007E79DA">
            <w:r>
              <w:rPr>
                <w:sz w:val="19"/>
                <w:szCs w:val="19"/>
              </w:rPr>
              <w:t>Derived per methodology</w:t>
            </w:r>
          </w:p>
        </w:tc>
      </w:tr>
      <w:tr w:rsidR="0062357D" w14:paraId="3C25DC48" w14:textId="77777777">
        <w:tc>
          <w:tcPr>
            <w:tcW w:w="3000" w:type="dxa"/>
            <w:tcMar>
              <w:top w:w="80" w:type="dxa"/>
              <w:left w:w="100" w:type="dxa"/>
              <w:bottom w:w="80" w:type="dxa"/>
              <w:right w:w="100" w:type="dxa"/>
            </w:tcMar>
          </w:tcPr>
          <w:p w14:paraId="00000104" w14:textId="77777777" w:rsidR="0062357D" w:rsidRDefault="007E79DA">
            <w:proofErr w:type="spellStart"/>
            <w:r>
              <w:rPr>
                <w:sz w:val="19"/>
                <w:szCs w:val="19"/>
              </w:rPr>
              <w:t>particulate_mg</w:t>
            </w:r>
            <w:proofErr w:type="spellEnd"/>
            <w:r>
              <w:rPr>
                <w:sz w:val="19"/>
                <w:szCs w:val="19"/>
              </w:rPr>
              <w:t xml:space="preserve"> / </w:t>
            </w:r>
            <w:proofErr w:type="spellStart"/>
            <w:r>
              <w:rPr>
                <w:sz w:val="19"/>
                <w:szCs w:val="19"/>
              </w:rPr>
              <w:t>ewaste_mg</w:t>
            </w:r>
            <w:proofErr w:type="spellEnd"/>
          </w:p>
        </w:tc>
        <w:tc>
          <w:tcPr>
            <w:tcW w:w="1800" w:type="dxa"/>
            <w:tcMar>
              <w:top w:w="80" w:type="dxa"/>
              <w:left w:w="100" w:type="dxa"/>
              <w:bottom w:w="80" w:type="dxa"/>
              <w:right w:w="100" w:type="dxa"/>
            </w:tcMar>
          </w:tcPr>
          <w:p w14:paraId="00000105" w14:textId="77777777" w:rsidR="0062357D" w:rsidRDefault="007E79DA">
            <w:r>
              <w:rPr>
                <w:sz w:val="19"/>
                <w:szCs w:val="19"/>
              </w:rPr>
              <w:t>float</w:t>
            </w:r>
          </w:p>
        </w:tc>
        <w:tc>
          <w:tcPr>
            <w:tcW w:w="5400" w:type="dxa"/>
            <w:tcMar>
              <w:top w:w="80" w:type="dxa"/>
              <w:left w:w="100" w:type="dxa"/>
              <w:bottom w:w="80" w:type="dxa"/>
              <w:right w:w="100" w:type="dxa"/>
            </w:tcMar>
          </w:tcPr>
          <w:p w14:paraId="00000106" w14:textId="77777777" w:rsidR="0062357D" w:rsidRDefault="007E79DA">
            <w:r>
              <w:rPr>
                <w:sz w:val="19"/>
                <w:szCs w:val="19"/>
              </w:rPr>
              <w:t>Derived per methodology</w:t>
            </w:r>
          </w:p>
        </w:tc>
      </w:tr>
      <w:tr w:rsidR="0062357D" w14:paraId="13807FAA" w14:textId="77777777">
        <w:tc>
          <w:tcPr>
            <w:tcW w:w="3000" w:type="dxa"/>
            <w:tcMar>
              <w:top w:w="80" w:type="dxa"/>
              <w:left w:w="100" w:type="dxa"/>
              <w:bottom w:w="80" w:type="dxa"/>
              <w:right w:w="100" w:type="dxa"/>
            </w:tcMar>
          </w:tcPr>
          <w:p w14:paraId="00000107" w14:textId="77777777" w:rsidR="0062357D" w:rsidRDefault="007E79DA">
            <w:proofErr w:type="spellStart"/>
            <w:r>
              <w:rPr>
                <w:sz w:val="19"/>
                <w:szCs w:val="19"/>
              </w:rPr>
              <w:t>confidence_tier</w:t>
            </w:r>
            <w:proofErr w:type="spellEnd"/>
          </w:p>
        </w:tc>
        <w:tc>
          <w:tcPr>
            <w:tcW w:w="1800" w:type="dxa"/>
            <w:tcMar>
              <w:top w:w="80" w:type="dxa"/>
              <w:left w:w="100" w:type="dxa"/>
              <w:bottom w:w="80" w:type="dxa"/>
              <w:right w:w="100" w:type="dxa"/>
            </w:tcMar>
          </w:tcPr>
          <w:p w14:paraId="00000108" w14:textId="77777777" w:rsidR="0062357D" w:rsidRDefault="007E79DA">
            <w:proofErr w:type="spellStart"/>
            <w:r>
              <w:rPr>
                <w:sz w:val="19"/>
                <w:szCs w:val="19"/>
              </w:rPr>
              <w:t>enum</w:t>
            </w:r>
            <w:proofErr w:type="spellEnd"/>
          </w:p>
        </w:tc>
        <w:tc>
          <w:tcPr>
            <w:tcW w:w="5400" w:type="dxa"/>
            <w:tcMar>
              <w:top w:w="80" w:type="dxa"/>
              <w:left w:w="100" w:type="dxa"/>
              <w:bottom w:w="80" w:type="dxa"/>
              <w:right w:w="100" w:type="dxa"/>
            </w:tcMar>
          </w:tcPr>
          <w:p w14:paraId="00000109" w14:textId="77777777" w:rsidR="0062357D" w:rsidRDefault="007E79DA">
            <w:r>
              <w:rPr>
                <w:sz w:val="19"/>
                <w:szCs w:val="19"/>
              </w:rPr>
              <w:t>measured | modeled | estimated</w:t>
            </w:r>
          </w:p>
        </w:tc>
      </w:tr>
      <w:tr w:rsidR="0062357D" w14:paraId="43AE5780" w14:textId="77777777">
        <w:tc>
          <w:tcPr>
            <w:tcW w:w="3000" w:type="dxa"/>
            <w:tcMar>
              <w:top w:w="80" w:type="dxa"/>
              <w:left w:w="100" w:type="dxa"/>
              <w:bottom w:w="80" w:type="dxa"/>
              <w:right w:w="100" w:type="dxa"/>
            </w:tcMar>
          </w:tcPr>
          <w:p w14:paraId="0000010A" w14:textId="77777777" w:rsidR="0062357D" w:rsidRDefault="007E79DA">
            <w:proofErr w:type="spellStart"/>
            <w:r>
              <w:rPr>
                <w:sz w:val="19"/>
                <w:szCs w:val="19"/>
              </w:rPr>
              <w:t>indicator_code</w:t>
            </w:r>
            <w:proofErr w:type="spellEnd"/>
          </w:p>
        </w:tc>
        <w:tc>
          <w:tcPr>
            <w:tcW w:w="1800" w:type="dxa"/>
            <w:tcMar>
              <w:top w:w="80" w:type="dxa"/>
              <w:left w:w="100" w:type="dxa"/>
              <w:bottom w:w="80" w:type="dxa"/>
              <w:right w:w="100" w:type="dxa"/>
            </w:tcMar>
          </w:tcPr>
          <w:p w14:paraId="0000010B" w14:textId="77777777" w:rsidR="0062357D" w:rsidRDefault="007E79DA">
            <w:r>
              <w:rPr>
                <w:sz w:val="19"/>
                <w:szCs w:val="19"/>
              </w:rPr>
              <w:t>string</w:t>
            </w:r>
          </w:p>
        </w:tc>
        <w:tc>
          <w:tcPr>
            <w:tcW w:w="5400" w:type="dxa"/>
            <w:tcMar>
              <w:top w:w="80" w:type="dxa"/>
              <w:left w:w="100" w:type="dxa"/>
              <w:bottom w:w="80" w:type="dxa"/>
              <w:right w:w="100" w:type="dxa"/>
            </w:tcMar>
          </w:tcPr>
          <w:p w14:paraId="0000010C" w14:textId="77777777" w:rsidR="0062357D" w:rsidRDefault="007E79DA">
            <w:r>
              <w:rPr>
                <w:sz w:val="19"/>
                <w:szCs w:val="19"/>
              </w:rPr>
              <w:t>e.g. B2-M, computed at aggregation time</w:t>
            </w:r>
          </w:p>
        </w:tc>
      </w:tr>
      <w:tr w:rsidR="0062357D" w14:paraId="125FB2ED" w14:textId="77777777">
        <w:tc>
          <w:tcPr>
            <w:tcW w:w="3000" w:type="dxa"/>
            <w:tcMar>
              <w:top w:w="80" w:type="dxa"/>
              <w:left w:w="100" w:type="dxa"/>
              <w:bottom w:w="80" w:type="dxa"/>
              <w:right w:w="100" w:type="dxa"/>
            </w:tcMar>
          </w:tcPr>
          <w:p w14:paraId="0000010D" w14:textId="77777777" w:rsidR="0062357D" w:rsidRDefault="007E79DA">
            <w:proofErr w:type="spellStart"/>
            <w:r>
              <w:rPr>
                <w:sz w:val="19"/>
                <w:szCs w:val="19"/>
              </w:rPr>
              <w:t>job_sji</w:t>
            </w:r>
            <w:proofErr w:type="spellEnd"/>
          </w:p>
        </w:tc>
        <w:tc>
          <w:tcPr>
            <w:tcW w:w="1800" w:type="dxa"/>
            <w:tcMar>
              <w:top w:w="80" w:type="dxa"/>
              <w:left w:w="100" w:type="dxa"/>
              <w:bottom w:w="80" w:type="dxa"/>
              <w:right w:w="100" w:type="dxa"/>
            </w:tcMar>
          </w:tcPr>
          <w:p w14:paraId="0000010E" w14:textId="77777777" w:rsidR="0062357D" w:rsidRDefault="007E79DA">
            <w:r>
              <w:rPr>
                <w:sz w:val="19"/>
                <w:szCs w:val="19"/>
              </w:rPr>
              <w:t>string</w:t>
            </w:r>
          </w:p>
        </w:tc>
        <w:tc>
          <w:tcPr>
            <w:tcW w:w="5400" w:type="dxa"/>
            <w:tcMar>
              <w:top w:w="80" w:type="dxa"/>
              <w:left w:w="100" w:type="dxa"/>
              <w:bottom w:w="80" w:type="dxa"/>
              <w:right w:w="100" w:type="dxa"/>
            </w:tcMar>
          </w:tcPr>
          <w:p w14:paraId="0000010F" w14:textId="77777777" w:rsidR="0062357D" w:rsidRDefault="007E79DA">
            <w:r>
              <w:rPr>
                <w:sz w:val="19"/>
                <w:szCs w:val="19"/>
              </w:rPr>
              <w:t>Stardust Job Identifier with embedded Energy Source Code (§5.3)</w:t>
            </w:r>
          </w:p>
        </w:tc>
      </w:tr>
      <w:tr w:rsidR="0062357D" w14:paraId="7C5FF760" w14:textId="77777777">
        <w:tc>
          <w:tcPr>
            <w:tcW w:w="3000" w:type="dxa"/>
            <w:tcMar>
              <w:top w:w="80" w:type="dxa"/>
              <w:left w:w="100" w:type="dxa"/>
              <w:bottom w:w="80" w:type="dxa"/>
              <w:right w:w="100" w:type="dxa"/>
            </w:tcMar>
          </w:tcPr>
          <w:p w14:paraId="00000110" w14:textId="77777777" w:rsidR="0062357D" w:rsidRDefault="007E79DA">
            <w:proofErr w:type="spellStart"/>
            <w:r>
              <w:rPr>
                <w:sz w:val="19"/>
                <w:szCs w:val="19"/>
              </w:rPr>
              <w:t>energy_source_code</w:t>
            </w:r>
            <w:proofErr w:type="spellEnd"/>
          </w:p>
        </w:tc>
        <w:tc>
          <w:tcPr>
            <w:tcW w:w="1800" w:type="dxa"/>
            <w:tcMar>
              <w:top w:w="80" w:type="dxa"/>
              <w:left w:w="100" w:type="dxa"/>
              <w:bottom w:w="80" w:type="dxa"/>
              <w:right w:w="100" w:type="dxa"/>
            </w:tcMar>
          </w:tcPr>
          <w:p w14:paraId="00000111" w14:textId="77777777" w:rsidR="0062357D" w:rsidRDefault="007E79DA">
            <w:proofErr w:type="spellStart"/>
            <w:r>
              <w:rPr>
                <w:sz w:val="19"/>
                <w:szCs w:val="19"/>
              </w:rPr>
              <w:t>enum</w:t>
            </w:r>
            <w:proofErr w:type="spellEnd"/>
          </w:p>
        </w:tc>
        <w:tc>
          <w:tcPr>
            <w:tcW w:w="5400" w:type="dxa"/>
            <w:tcMar>
              <w:top w:w="80" w:type="dxa"/>
              <w:left w:w="100" w:type="dxa"/>
              <w:bottom w:w="80" w:type="dxa"/>
              <w:right w:w="100" w:type="dxa"/>
            </w:tcMar>
          </w:tcPr>
          <w:p w14:paraId="00000112" w14:textId="77777777" w:rsidR="0062357D" w:rsidRDefault="007E79DA">
            <w:r>
              <w:rPr>
                <w:sz w:val="19"/>
                <w:szCs w:val="19"/>
              </w:rPr>
              <w:t>3-char ESC from §5.3.1/§5.3.2; UNK if unresolvable</w:t>
            </w:r>
          </w:p>
        </w:tc>
      </w:tr>
      <w:tr w:rsidR="0062357D" w14:paraId="08A21072" w14:textId="77777777">
        <w:tc>
          <w:tcPr>
            <w:tcW w:w="3000" w:type="dxa"/>
            <w:tcMar>
              <w:top w:w="80" w:type="dxa"/>
              <w:left w:w="100" w:type="dxa"/>
              <w:bottom w:w="80" w:type="dxa"/>
              <w:right w:w="100" w:type="dxa"/>
            </w:tcMar>
          </w:tcPr>
          <w:p w14:paraId="00000113" w14:textId="77777777" w:rsidR="0062357D" w:rsidRDefault="007E79DA">
            <w:proofErr w:type="spellStart"/>
            <w:r>
              <w:rPr>
                <w:sz w:val="19"/>
                <w:szCs w:val="19"/>
              </w:rPr>
              <w:t>energy_mix_breakdown</w:t>
            </w:r>
            <w:proofErr w:type="spellEnd"/>
          </w:p>
        </w:tc>
        <w:tc>
          <w:tcPr>
            <w:tcW w:w="1800" w:type="dxa"/>
            <w:tcMar>
              <w:top w:w="80" w:type="dxa"/>
              <w:left w:w="100" w:type="dxa"/>
              <w:bottom w:w="80" w:type="dxa"/>
              <w:right w:w="100" w:type="dxa"/>
            </w:tcMar>
          </w:tcPr>
          <w:p w14:paraId="00000114" w14:textId="77777777" w:rsidR="0062357D" w:rsidRDefault="007E79DA">
            <w:r>
              <w:rPr>
                <w:sz w:val="19"/>
                <w:szCs w:val="19"/>
              </w:rPr>
              <w:t>JSON</w:t>
            </w:r>
          </w:p>
        </w:tc>
        <w:tc>
          <w:tcPr>
            <w:tcW w:w="5400" w:type="dxa"/>
            <w:tcMar>
              <w:top w:w="80" w:type="dxa"/>
              <w:left w:w="100" w:type="dxa"/>
              <w:bottom w:w="80" w:type="dxa"/>
              <w:right w:w="100" w:type="dxa"/>
            </w:tcMar>
          </w:tcPr>
          <w:p w14:paraId="00000115" w14:textId="77777777" w:rsidR="0062357D" w:rsidRDefault="007E79DA">
            <w:r>
              <w:rPr>
                <w:sz w:val="19"/>
                <w:szCs w:val="19"/>
              </w:rPr>
              <w:t>Full grid-mix percentage split where known, beyond the single dominant ESC</w:t>
            </w:r>
          </w:p>
        </w:tc>
      </w:tr>
      <w:tr w:rsidR="0062357D" w14:paraId="4C5D8E8D" w14:textId="77777777">
        <w:tc>
          <w:tcPr>
            <w:tcW w:w="3000" w:type="dxa"/>
            <w:tcMar>
              <w:top w:w="80" w:type="dxa"/>
              <w:left w:w="100" w:type="dxa"/>
              <w:bottom w:w="80" w:type="dxa"/>
              <w:right w:w="100" w:type="dxa"/>
            </w:tcMar>
          </w:tcPr>
          <w:p w14:paraId="00000116" w14:textId="77777777" w:rsidR="0062357D" w:rsidRDefault="007E79DA">
            <w:proofErr w:type="spellStart"/>
            <w:r>
              <w:rPr>
                <w:sz w:val="19"/>
                <w:szCs w:val="19"/>
              </w:rPr>
              <w:t>grid_style</w:t>
            </w:r>
            <w:proofErr w:type="spellEnd"/>
          </w:p>
        </w:tc>
        <w:tc>
          <w:tcPr>
            <w:tcW w:w="1800" w:type="dxa"/>
            <w:tcMar>
              <w:top w:w="80" w:type="dxa"/>
              <w:left w:w="100" w:type="dxa"/>
              <w:bottom w:w="80" w:type="dxa"/>
              <w:right w:w="100" w:type="dxa"/>
            </w:tcMar>
          </w:tcPr>
          <w:p w14:paraId="00000117" w14:textId="77777777" w:rsidR="0062357D" w:rsidRDefault="007E79DA">
            <w:proofErr w:type="spellStart"/>
            <w:r>
              <w:rPr>
                <w:sz w:val="19"/>
                <w:szCs w:val="19"/>
              </w:rPr>
              <w:t>enum</w:t>
            </w:r>
            <w:proofErr w:type="spellEnd"/>
          </w:p>
        </w:tc>
        <w:tc>
          <w:tcPr>
            <w:tcW w:w="5400" w:type="dxa"/>
            <w:tcMar>
              <w:top w:w="80" w:type="dxa"/>
              <w:left w:w="100" w:type="dxa"/>
              <w:bottom w:w="80" w:type="dxa"/>
              <w:right w:w="100" w:type="dxa"/>
            </w:tcMar>
          </w:tcPr>
          <w:p w14:paraId="00000118" w14:textId="77777777" w:rsidR="0062357D" w:rsidRDefault="007E79DA">
            <w:r>
              <w:rPr>
                <w:sz w:val="19"/>
                <w:szCs w:val="19"/>
              </w:rPr>
              <w:t>dedicated | grid-blend; whether the ESC is a single attributable source or a grid plurality (§5.3.3)</w:t>
            </w:r>
          </w:p>
        </w:tc>
      </w:tr>
      <w:tr w:rsidR="0062357D" w14:paraId="3C328659" w14:textId="77777777">
        <w:tc>
          <w:tcPr>
            <w:tcW w:w="3000" w:type="dxa"/>
            <w:tcMar>
              <w:top w:w="80" w:type="dxa"/>
              <w:left w:w="100" w:type="dxa"/>
              <w:bottom w:w="80" w:type="dxa"/>
              <w:right w:w="100" w:type="dxa"/>
            </w:tcMar>
          </w:tcPr>
          <w:p w14:paraId="00000119" w14:textId="77777777" w:rsidR="0062357D" w:rsidRDefault="007E79DA">
            <w:proofErr w:type="spellStart"/>
            <w:r>
              <w:rPr>
                <w:sz w:val="19"/>
                <w:szCs w:val="19"/>
              </w:rPr>
              <w:t>grid_majority_share_pct</w:t>
            </w:r>
            <w:proofErr w:type="spellEnd"/>
          </w:p>
        </w:tc>
        <w:tc>
          <w:tcPr>
            <w:tcW w:w="1800" w:type="dxa"/>
            <w:tcMar>
              <w:top w:w="80" w:type="dxa"/>
              <w:left w:w="100" w:type="dxa"/>
              <w:bottom w:w="80" w:type="dxa"/>
              <w:right w:w="100" w:type="dxa"/>
            </w:tcMar>
          </w:tcPr>
          <w:p w14:paraId="0000011A" w14:textId="77777777" w:rsidR="0062357D" w:rsidRDefault="007E79DA">
            <w:r>
              <w:rPr>
                <w:sz w:val="19"/>
                <w:szCs w:val="19"/>
              </w:rPr>
              <w:t>float</w:t>
            </w:r>
          </w:p>
        </w:tc>
        <w:tc>
          <w:tcPr>
            <w:tcW w:w="5400" w:type="dxa"/>
            <w:tcMar>
              <w:top w:w="80" w:type="dxa"/>
              <w:left w:w="100" w:type="dxa"/>
              <w:bottom w:w="80" w:type="dxa"/>
              <w:right w:w="100" w:type="dxa"/>
            </w:tcMar>
          </w:tcPr>
          <w:p w14:paraId="0000011B" w14:textId="77777777" w:rsidR="0062357D" w:rsidRDefault="007E79DA">
            <w:r>
              <w:rPr>
                <w:sz w:val="19"/>
                <w:szCs w:val="19"/>
              </w:rPr>
              <w:t xml:space="preserve">Share (0–100) the plurality source held in the mix at time of job, where </w:t>
            </w:r>
            <w:proofErr w:type="spellStart"/>
            <w:r>
              <w:rPr>
                <w:sz w:val="19"/>
                <w:szCs w:val="19"/>
              </w:rPr>
              <w:t>grid_style</w:t>
            </w:r>
            <w:proofErr w:type="spellEnd"/>
            <w:r>
              <w:rPr>
                <w:sz w:val="19"/>
                <w:szCs w:val="19"/>
              </w:rPr>
              <w:t xml:space="preserve"> = grid-blend (§5.3.3)</w:t>
            </w:r>
          </w:p>
        </w:tc>
      </w:tr>
      <w:tr w:rsidR="0062357D" w14:paraId="7958D6FA" w14:textId="77777777">
        <w:tc>
          <w:tcPr>
            <w:tcW w:w="3000" w:type="dxa"/>
            <w:tcMar>
              <w:top w:w="80" w:type="dxa"/>
              <w:left w:w="100" w:type="dxa"/>
              <w:bottom w:w="80" w:type="dxa"/>
              <w:right w:w="100" w:type="dxa"/>
            </w:tcMar>
          </w:tcPr>
          <w:p w14:paraId="0000011C" w14:textId="77777777" w:rsidR="0062357D" w:rsidRDefault="007E79DA">
            <w:proofErr w:type="spellStart"/>
            <w:r>
              <w:rPr>
                <w:sz w:val="19"/>
                <w:szCs w:val="19"/>
              </w:rPr>
              <w:t>user_id</w:t>
            </w:r>
            <w:proofErr w:type="spellEnd"/>
            <w:r>
              <w:rPr>
                <w:sz w:val="19"/>
                <w:szCs w:val="19"/>
              </w:rPr>
              <w:t xml:space="preserve"> / </w:t>
            </w:r>
            <w:proofErr w:type="spellStart"/>
            <w:r>
              <w:rPr>
                <w:sz w:val="19"/>
                <w:szCs w:val="19"/>
              </w:rPr>
              <w:t>org_id</w:t>
            </w:r>
            <w:proofErr w:type="spellEnd"/>
          </w:p>
        </w:tc>
        <w:tc>
          <w:tcPr>
            <w:tcW w:w="1800" w:type="dxa"/>
            <w:tcMar>
              <w:top w:w="80" w:type="dxa"/>
              <w:left w:w="100" w:type="dxa"/>
              <w:bottom w:w="80" w:type="dxa"/>
              <w:right w:w="100" w:type="dxa"/>
            </w:tcMar>
          </w:tcPr>
          <w:p w14:paraId="0000011D" w14:textId="77777777" w:rsidR="0062357D" w:rsidRDefault="007E79DA">
            <w:r>
              <w:rPr>
                <w:sz w:val="19"/>
                <w:szCs w:val="19"/>
              </w:rPr>
              <w:t>UUID</w:t>
            </w:r>
          </w:p>
        </w:tc>
        <w:tc>
          <w:tcPr>
            <w:tcW w:w="5400" w:type="dxa"/>
            <w:tcMar>
              <w:top w:w="80" w:type="dxa"/>
              <w:left w:w="100" w:type="dxa"/>
              <w:bottom w:w="80" w:type="dxa"/>
              <w:right w:w="100" w:type="dxa"/>
            </w:tcMar>
          </w:tcPr>
          <w:p w14:paraId="0000011E" w14:textId="77777777" w:rsidR="0062357D" w:rsidRDefault="007E79DA">
            <w:r>
              <w:rPr>
                <w:sz w:val="19"/>
                <w:szCs w:val="19"/>
              </w:rPr>
              <w:t>Pseudonymous identifiers; see §14</w:t>
            </w:r>
          </w:p>
        </w:tc>
      </w:tr>
    </w:tbl>
    <w:p w14:paraId="0000011F" w14:textId="77777777" w:rsidR="0062357D" w:rsidRDefault="0062357D">
      <w:pPr>
        <w:spacing w:after="140"/>
      </w:pPr>
    </w:p>
    <w:p w14:paraId="00000120" w14:textId="77777777" w:rsidR="0062357D" w:rsidRDefault="007E79DA">
      <w:pPr>
        <w:pStyle w:val="Heading1"/>
        <w:spacing w:before="360" w:after="160"/>
      </w:pPr>
      <w:r>
        <w:rPr>
          <w:b/>
          <w:bCs/>
          <w:color w:val="0F4A2E"/>
          <w:sz w:val="30"/>
          <w:szCs w:val="30"/>
        </w:rPr>
        <w:t>8. Environmental Impact Estimation Methodology</w:t>
      </w:r>
    </w:p>
    <w:p w14:paraId="00000121" w14:textId="77777777" w:rsidR="0062357D" w:rsidRDefault="007E79DA">
      <w:pPr>
        <w:spacing w:after="140"/>
      </w:pPr>
      <w:r>
        <w:rPr>
          <w:sz w:val="21"/>
          <w:szCs w:val="21"/>
        </w:rPr>
        <w:t>Because most AI providers do not expose per-request energy or emissions data directly, Stardust estimates impact using a layered methodology, always tagging the resulting confidence tier.</w:t>
      </w:r>
    </w:p>
    <w:p w14:paraId="00000122" w14:textId="77777777" w:rsidR="0062357D" w:rsidRDefault="007E79DA">
      <w:pPr>
        <w:pStyle w:val="Heading3"/>
        <w:spacing w:before="200" w:after="100"/>
      </w:pPr>
      <w:r>
        <w:rPr>
          <w:b/>
          <w:bCs/>
          <w:color w:val="333333"/>
          <w:sz w:val="21"/>
          <w:szCs w:val="21"/>
        </w:rPr>
        <w:t>8.1 Measured</w:t>
      </w:r>
    </w:p>
    <w:p w14:paraId="00000123" w14:textId="77777777" w:rsidR="0062357D" w:rsidRDefault="007E79DA">
      <w:pPr>
        <w:spacing w:after="140"/>
      </w:pPr>
      <w:r>
        <w:rPr>
          <w:sz w:val="21"/>
          <w:szCs w:val="21"/>
        </w:rPr>
        <w:t>Used only where a provider or cloud platform exposes a direct energy, carbon, or water figure via an official API (e.g., a cloud provider's carbon footprint tool, or a data-center PUE/WUE figure published for a specific facility). Rare at launch; expected to grow as providers publish more granular sustainability APIs.</w:t>
      </w:r>
    </w:p>
    <w:p w14:paraId="00000124" w14:textId="77777777" w:rsidR="0062357D" w:rsidRDefault="007E79DA">
      <w:pPr>
        <w:pStyle w:val="Heading3"/>
        <w:spacing w:before="200" w:after="100"/>
      </w:pPr>
      <w:r>
        <w:rPr>
          <w:b/>
          <w:bCs/>
          <w:color w:val="333333"/>
          <w:sz w:val="21"/>
          <w:szCs w:val="21"/>
        </w:rPr>
        <w:t>8.2 Modeled</w:t>
      </w:r>
    </w:p>
    <w:p w14:paraId="00000125" w14:textId="77777777" w:rsidR="0062357D" w:rsidRDefault="007E79DA">
      <w:pPr>
        <w:spacing w:after="140"/>
      </w:pPr>
      <w:r>
        <w:rPr>
          <w:sz w:val="21"/>
          <w:szCs w:val="21"/>
        </w:rPr>
        <w:t xml:space="preserve">Default path for most operations. Energy per operation is modeled from token counts and known/estimated model parameters (parameter count class, hardware class, inference vs. training) using published research-derived energy-per-token ranges, then converted to </w:t>
      </w:r>
      <w:proofErr w:type="spellStart"/>
      <w:r>
        <w:rPr>
          <w:sz w:val="21"/>
          <w:szCs w:val="21"/>
        </w:rPr>
        <w:t>CO₂e</w:t>
      </w:r>
      <w:proofErr w:type="spellEnd"/>
      <w:r>
        <w:rPr>
          <w:sz w:val="21"/>
          <w:szCs w:val="21"/>
        </w:rPr>
        <w:t xml:space="preserve"> using regional grid carbon-intensity data (e.g., public grid-intensity APIs by region), and to water using published data-center Water Usage Effectiveness (WUE) ranges plus power-generation water-intensity factors for the applicable grid mix.</w:t>
      </w:r>
    </w:p>
    <w:p w14:paraId="00000126" w14:textId="77777777" w:rsidR="0062357D" w:rsidRDefault="007E79DA">
      <w:pPr>
        <w:pStyle w:val="Heading3"/>
        <w:spacing w:before="200" w:after="100"/>
      </w:pPr>
      <w:r>
        <w:rPr>
          <w:b/>
          <w:bCs/>
          <w:color w:val="333333"/>
          <w:sz w:val="21"/>
          <w:szCs w:val="21"/>
        </w:rPr>
        <w:t>8.3 Estimated</w:t>
      </w:r>
    </w:p>
    <w:p w14:paraId="00000127" w14:textId="77777777" w:rsidR="0062357D" w:rsidRDefault="007E79DA">
      <w:pPr>
        <w:spacing w:after="140"/>
      </w:pPr>
      <w:r>
        <w:rPr>
          <w:sz w:val="21"/>
          <w:szCs w:val="21"/>
        </w:rPr>
        <w:t>Fallback path when even model class is unknown (e.g., a browser-extension-only view of a third-party AI web app with no exposed model metadata). Uses conservative, published industry-average energy-per-query figures, clearly flagged as low-confidence, with a visible link to methodology.</w:t>
      </w:r>
    </w:p>
    <w:p w14:paraId="00000128" w14:textId="77777777" w:rsidR="0062357D" w:rsidRDefault="007E79DA">
      <w:pPr>
        <w:pStyle w:val="Heading3"/>
        <w:spacing w:before="200" w:after="100"/>
      </w:pPr>
      <w:r>
        <w:rPr>
          <w:b/>
          <w:bCs/>
          <w:color w:val="333333"/>
          <w:sz w:val="21"/>
          <w:szCs w:val="21"/>
        </w:rPr>
        <w:t>8.4 Methodology Governance</w:t>
      </w:r>
    </w:p>
    <w:p w14:paraId="00000129" w14:textId="77777777" w:rsidR="0062357D" w:rsidRDefault="007E79DA">
      <w:pPr>
        <w:numPr>
          <w:ilvl w:val="0"/>
          <w:numId w:val="1"/>
        </w:numPr>
        <w:pBdr>
          <w:top w:val="nil"/>
          <w:left w:val="nil"/>
          <w:bottom w:val="nil"/>
          <w:right w:val="nil"/>
          <w:between w:val="nil"/>
        </w:pBdr>
        <w:spacing w:after="60"/>
      </w:pPr>
      <w:r>
        <w:rPr>
          <w:color w:val="000000"/>
          <w:sz w:val="21"/>
          <w:szCs w:val="21"/>
        </w:rPr>
        <w:t>All conversion factors (energy-per-token ranges, grid-intensity sources, WUE ranges, particulate/e-waste amortization assumptions) are stored as versioned, swappable configuration — not hardcoded — so the methodology can be corrected or refined without a client update.</w:t>
      </w:r>
    </w:p>
    <w:p w14:paraId="0000012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Methodology and sourcing are intended to be published openly, consistent with </w:t>
      </w:r>
      <w:proofErr w:type="spellStart"/>
      <w:r>
        <w:rPr>
          <w:color w:val="000000"/>
          <w:sz w:val="21"/>
          <w:szCs w:val="21"/>
        </w:rPr>
        <w:t>AIforE's</w:t>
      </w:r>
      <w:proofErr w:type="spellEnd"/>
      <w:r>
        <w:rPr>
          <w:color w:val="000000"/>
          <w:sz w:val="21"/>
          <w:szCs w:val="21"/>
        </w:rPr>
        <w:t xml:space="preserve"> mission to seed an open AI sustainability benchmark rather than a proprietary black box.</w:t>
      </w:r>
    </w:p>
    <w:p w14:paraId="0000012B" w14:textId="77777777" w:rsidR="0062357D" w:rsidRDefault="007E79DA">
      <w:pPr>
        <w:pStyle w:val="Heading3"/>
        <w:spacing w:before="200" w:after="100"/>
      </w:pPr>
      <w:r>
        <w:rPr>
          <w:b/>
          <w:bCs/>
          <w:color w:val="333333"/>
          <w:sz w:val="21"/>
          <w:szCs w:val="21"/>
        </w:rPr>
        <w:t>8.5 Provider- and Region-Specific Factors</w:t>
      </w:r>
    </w:p>
    <w:p w14:paraId="0000012C" w14:textId="77777777" w:rsidR="0062357D" w:rsidRDefault="007E79DA">
      <w:pPr>
        <w:spacing w:after="140"/>
      </w:pPr>
      <w:r>
        <w:rPr>
          <w:sz w:val="21"/>
          <w:szCs w:val="21"/>
        </w:rPr>
        <w:t>A single global conversion factor is not accurate across providers, and Stardust does not use one. Two providers processing the same number of tokens can have materially different environmental impact, and the same underlying energy source can carry a different cost or carbon intensity depending on where and how a provider buys it. The methodology engine keys its conversion factors by provider (and, where known, region and hardware class) rather than applying one figure to every operation.</w:t>
      </w:r>
    </w:p>
    <w:p w14:paraId="0000012D"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Hardware and model efficiency vary by provider: different providers run different accelerator generations (e.g., different GPU/TPU classes), different model architectures, and different serving-infrastructure efficiency, so energy-per-token for a comparable task can differ meaningfully between, say, Anthropic, </w:t>
      </w:r>
      <w:proofErr w:type="spellStart"/>
      <w:r>
        <w:rPr>
          <w:color w:val="000000"/>
          <w:sz w:val="21"/>
          <w:szCs w:val="21"/>
        </w:rPr>
        <w:t>OpenAI</w:t>
      </w:r>
      <w:proofErr w:type="spellEnd"/>
      <w:r>
        <w:rPr>
          <w:color w:val="000000"/>
          <w:sz w:val="21"/>
          <w:szCs w:val="21"/>
        </w:rPr>
        <w:t>, and Google — even before any difference in the underlying grid.</w:t>
      </w:r>
    </w:p>
    <w:p w14:paraId="0000012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Grid mix and location vary by provider and by data-center region within a provider: two facilities drawing the same amount of electricity can have very different </w:t>
      </w:r>
      <w:proofErr w:type="spellStart"/>
      <w:r>
        <w:rPr>
          <w:color w:val="000000"/>
          <w:sz w:val="21"/>
          <w:szCs w:val="21"/>
        </w:rPr>
        <w:t>CO₂e</w:t>
      </w:r>
      <w:proofErr w:type="spellEnd"/>
      <w:r>
        <w:rPr>
          <w:color w:val="000000"/>
          <w:sz w:val="21"/>
          <w:szCs w:val="21"/>
        </w:rPr>
        <w:t xml:space="preserve"> and water figures if one sits on a grid dominated by renewables/nuclear and the other on a coal- or gas-heavy grid. Where a provider publishes (or a customer can select) the processing region, Stardust applies that region's grid-intensity and WUE factors rather than a global average.</w:t>
      </w:r>
    </w:p>
    <w:p w14:paraId="0000012F" w14:textId="77777777" w:rsidR="0062357D" w:rsidRDefault="007E79DA">
      <w:pPr>
        <w:numPr>
          <w:ilvl w:val="0"/>
          <w:numId w:val="1"/>
        </w:numPr>
        <w:pBdr>
          <w:top w:val="nil"/>
          <w:left w:val="nil"/>
          <w:bottom w:val="nil"/>
          <w:right w:val="nil"/>
          <w:between w:val="nil"/>
        </w:pBdr>
        <w:spacing w:after="60"/>
      </w:pPr>
      <w:r>
        <w:rPr>
          <w:color w:val="000000"/>
          <w:sz w:val="21"/>
          <w:szCs w:val="21"/>
        </w:rPr>
        <w:t>Cost and energy price vary independently of environmental impact: a provider's per-token dollar price reflects its own contracts, hardware amortization, and margin, not just raw energy consumed — so cost tier (§5.1) and Impact Grade (§5.1) are computed from separate factor sets and are not assumed to move together. A provider can be relatively cheap and relatively high-impact, or the reverse.</w:t>
      </w:r>
    </w:p>
    <w:p w14:paraId="00000130" w14:textId="77777777" w:rsidR="0062357D" w:rsidRDefault="007E79DA">
      <w:pPr>
        <w:numPr>
          <w:ilvl w:val="0"/>
          <w:numId w:val="1"/>
        </w:numPr>
        <w:pBdr>
          <w:top w:val="nil"/>
          <w:left w:val="nil"/>
          <w:bottom w:val="nil"/>
          <w:right w:val="nil"/>
          <w:between w:val="nil"/>
        </w:pBdr>
        <w:spacing w:after="60"/>
      </w:pPr>
      <w:r>
        <w:rPr>
          <w:color w:val="000000"/>
          <w:sz w:val="21"/>
          <w:szCs w:val="21"/>
        </w:rPr>
        <w:t>Self-hosted and infrastructure-layer operations (§12.8, §12.9) follow the same principle at the facility level: a provider-specific or facility-specific PUE/WUE and the grid-intensity figure for that facility's actual region are used in place of a generic default whenever that data is available, falling back to the Modeled/Estimated tiers in §8.2–§8.3 only when it isn't.</w:t>
      </w:r>
    </w:p>
    <w:p w14:paraId="00000131" w14:textId="77777777" w:rsidR="0062357D" w:rsidRDefault="007E79DA">
      <w:pPr>
        <w:numPr>
          <w:ilvl w:val="0"/>
          <w:numId w:val="1"/>
        </w:numPr>
        <w:pBdr>
          <w:top w:val="nil"/>
          <w:left w:val="nil"/>
          <w:bottom w:val="nil"/>
          <w:right w:val="nil"/>
          <w:between w:val="nil"/>
        </w:pBdr>
        <w:spacing w:after="60"/>
      </w:pPr>
      <w:r>
        <w:rPr>
          <w:color w:val="000000"/>
          <w:sz w:val="21"/>
          <w:szCs w:val="21"/>
        </w:rPr>
        <w:t>The per-provider (and per-region) factor table is itself part of the versioned configuration described in §8.4, so as providers change hardware, shift regions, or improve grid mix over time, Stardust's estimates can be updated without waiting for a new methodology version or client release.</w:t>
      </w:r>
    </w:p>
    <w:p w14:paraId="00000132" w14:textId="77777777" w:rsidR="0062357D" w:rsidRDefault="007E79DA">
      <w:pPr>
        <w:pStyle w:val="Heading3"/>
        <w:spacing w:before="200" w:after="100"/>
      </w:pPr>
      <w:r>
        <w:rPr>
          <w:b/>
          <w:bCs/>
          <w:color w:val="333333"/>
          <w:sz w:val="21"/>
          <w:szCs w:val="21"/>
        </w:rPr>
        <w:t>8.6 Dynamic and Time-Varying Factors</w:t>
      </w:r>
    </w:p>
    <w:p w14:paraId="00000133" w14:textId="77777777" w:rsidR="0062357D" w:rsidRDefault="007E79DA">
      <w:pPr>
        <w:spacing w:after="140"/>
      </w:pPr>
      <w:r>
        <w:rPr>
          <w:sz w:val="21"/>
          <w:szCs w:val="21"/>
        </w:rPr>
        <w:t>Energy price and, to a lesser extent, grid carbon intensity are not fixed numbers — both fluctuate by time of day, season, and grid conditions, and wholesale electricity pricing can swing sharply within a single day. A factor table that is only updated occasionally (§8.5) captures differences between providers and regions, but not the swings within a single provider/region over the course of a day. Where the timestamp field (§7) and a live-enough data feed allow it, Stardust's factor lookup is time-aware, n</w:t>
      </w:r>
      <w:r>
        <w:rPr>
          <w:sz w:val="21"/>
          <w:szCs w:val="21"/>
        </w:rPr>
        <w:t>ot just provider- and region-aware.</w:t>
      </w:r>
    </w:p>
    <w:p w14:paraId="00000134"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Grid carbon intensity varies by time of day and by real-time generation mix (e.g., a grid is cleaner when solar/wind output is high, dirtier when fossil </w:t>
      </w:r>
      <w:proofErr w:type="spellStart"/>
      <w:r>
        <w:rPr>
          <w:color w:val="000000"/>
          <w:sz w:val="21"/>
          <w:szCs w:val="21"/>
        </w:rPr>
        <w:t>peaker</w:t>
      </w:r>
      <w:proofErr w:type="spellEnd"/>
      <w:r>
        <w:rPr>
          <w:color w:val="000000"/>
          <w:sz w:val="21"/>
          <w:szCs w:val="21"/>
        </w:rPr>
        <w:t xml:space="preserve"> plants are running to cover demand). Where a live or near-live regional grid-intensity feed is available, the methodology engine uses the intensity value for the operation's actual timestamp rather than a static regional average, and falls back to the regional average (§8.5) when no live feed is available for that region.</w:t>
      </w:r>
    </w:p>
    <w:p w14:paraId="00000135" w14:textId="77777777" w:rsidR="0062357D" w:rsidRDefault="007E79DA">
      <w:pPr>
        <w:numPr>
          <w:ilvl w:val="0"/>
          <w:numId w:val="1"/>
        </w:numPr>
        <w:pBdr>
          <w:top w:val="nil"/>
          <w:left w:val="nil"/>
          <w:bottom w:val="nil"/>
          <w:right w:val="nil"/>
          <w:between w:val="nil"/>
        </w:pBdr>
        <w:spacing w:after="60"/>
      </w:pPr>
      <w:r>
        <w:rPr>
          <w:color w:val="000000"/>
          <w:sz w:val="21"/>
          <w:szCs w:val="21"/>
        </w:rPr>
        <w:t>Energy price is dynamic in most deregulated markets — wholesale and, increasingly, retail electricity pricing moves with real-time or day-ahead market rates, demand-response events, and time-of-use tariffs. Where a provider's operating region has an accessible day-ahead or real-time price feed, Stardust can use it to refine the cost-tier estimate; where it isn't accessible, the versioned static factor (§8.4) remains the fallback.</w:t>
      </w:r>
    </w:p>
    <w:p w14:paraId="0000013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This is additive, not a replacement for the </w:t>
      </w:r>
      <w:proofErr w:type="spellStart"/>
      <w:r>
        <w:rPr>
          <w:color w:val="000000"/>
          <w:sz w:val="21"/>
          <w:szCs w:val="21"/>
        </w:rPr>
        <w:t>tiering</w:t>
      </w:r>
      <w:proofErr w:type="spellEnd"/>
      <w:r>
        <w:rPr>
          <w:color w:val="000000"/>
          <w:sz w:val="21"/>
          <w:szCs w:val="21"/>
        </w:rPr>
        <w:t xml:space="preserve"> in §8.1–§8.3: a figure computed from a live time-of-request feed is Measured or Modeled depending on how directly the feed reflects actual conditions, while one computed from static periodic factors stays at its existing tier — using a dynamic input does not by itself upgrade the confidence tier shown to the user.</w:t>
      </w:r>
    </w:p>
    <w:p w14:paraId="00000137" w14:textId="77777777" w:rsidR="0062357D" w:rsidRDefault="007E79DA">
      <w:pPr>
        <w:numPr>
          <w:ilvl w:val="0"/>
          <w:numId w:val="1"/>
        </w:numPr>
        <w:pBdr>
          <w:top w:val="nil"/>
          <w:left w:val="nil"/>
          <w:bottom w:val="nil"/>
          <w:right w:val="nil"/>
          <w:between w:val="nil"/>
        </w:pBdr>
        <w:spacing w:after="60"/>
      </w:pPr>
      <w:r>
        <w:rPr>
          <w:color w:val="000000"/>
          <w:sz w:val="21"/>
          <w:szCs w:val="21"/>
        </w:rPr>
        <w:t>Because live feeds add an external dependency and potential point of failure, the dynamic path is designed to degrade gracefully: if a live feed is slow, unavailable, or stale beyond a configured threshold, Stardust falls straight back to the static provider/region factor from §8.5 rather than blocking or delaying the indicator (consistent with the reliability requirement in §15).</w:t>
      </w:r>
    </w:p>
    <w:p w14:paraId="00000138" w14:textId="77777777" w:rsidR="0062357D" w:rsidRDefault="007E79DA">
      <w:pPr>
        <w:numPr>
          <w:ilvl w:val="0"/>
          <w:numId w:val="1"/>
        </w:numPr>
        <w:pBdr>
          <w:top w:val="nil"/>
          <w:left w:val="nil"/>
          <w:bottom w:val="nil"/>
          <w:right w:val="nil"/>
          <w:between w:val="nil"/>
        </w:pBdr>
        <w:spacing w:after="60"/>
      </w:pPr>
      <w:r>
        <w:rPr>
          <w:color w:val="000000"/>
          <w:sz w:val="21"/>
          <w:szCs w:val="21"/>
        </w:rPr>
        <w:t>The refresh cadence for both the static factor table (§8.5) and any live feed integrations is itself a configuration value, so it can be tuned per data source — daily or weekly for slow-moving factors like hardware efficiency, and near-real-time for grid intensity or energy price where a live feed exists — without a client release.</w:t>
      </w:r>
    </w:p>
    <w:p w14:paraId="00000139" w14:textId="77777777" w:rsidR="0062357D" w:rsidRDefault="007E79DA">
      <w:pPr>
        <w:pStyle w:val="Heading3"/>
        <w:spacing w:before="200" w:after="100"/>
      </w:pPr>
      <w:r>
        <w:rPr>
          <w:b/>
          <w:bCs/>
          <w:color w:val="333333"/>
          <w:sz w:val="21"/>
          <w:szCs w:val="21"/>
        </w:rPr>
        <w:t>8.7 Per-Token Energy Rate and Data Source Citations</w:t>
      </w:r>
    </w:p>
    <w:p w14:paraId="0000013A" w14:textId="77777777" w:rsidR="0062357D" w:rsidRDefault="007E79DA">
      <w:pPr>
        <w:spacing w:after="140"/>
      </w:pPr>
      <w:r>
        <w:rPr>
          <w:sz w:val="21"/>
          <w:szCs w:val="21"/>
        </w:rPr>
        <w:t>The per-token energy figures underlying the Modeled tier (§8.2) and the daily/dynamic electricity-rate figures underlying §8.6 are drawn from specific, citable published sources rather than invented constants. This subsection documents those sources as of this draft; as with every other factor in the methodology, the source list itself is part of the versioned configuration in §8.4 and is expected to be updated as better data becomes available.</w:t>
      </w:r>
    </w:p>
    <w:p w14:paraId="0000013B" w14:textId="77777777" w:rsidR="0062357D" w:rsidRDefault="007E79DA">
      <w:pPr>
        <w:pStyle w:val="Heading3"/>
        <w:spacing w:before="200" w:after="100"/>
      </w:pPr>
      <w:r>
        <w:rPr>
          <w:b/>
          <w:bCs/>
          <w:color w:val="333333"/>
          <w:sz w:val="21"/>
          <w:szCs w:val="21"/>
        </w:rPr>
        <w:t>8.7.1 Energy-per-token research sources</w:t>
      </w:r>
    </w:p>
    <w:p w14:paraId="0000013C"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Epoch AI (2025) research estimating roughly 0.0001–0.002 </w:t>
      </w:r>
      <w:proofErr w:type="spellStart"/>
      <w:r>
        <w:rPr>
          <w:color w:val="000000"/>
          <w:sz w:val="21"/>
          <w:szCs w:val="21"/>
        </w:rPr>
        <w:t>Wh</w:t>
      </w:r>
      <w:proofErr w:type="spellEnd"/>
      <w:r>
        <w:rPr>
          <w:color w:val="000000"/>
          <w:sz w:val="21"/>
          <w:szCs w:val="21"/>
        </w:rPr>
        <w:t xml:space="preserve"> of energy per generated output token depending on model size — used as a Modeled-tier baseline range for output-token energy.</w:t>
      </w:r>
    </w:p>
    <w:p w14:paraId="0000013D" w14:textId="77777777" w:rsidR="0062357D" w:rsidRDefault="007E79DA">
      <w:pPr>
        <w:numPr>
          <w:ilvl w:val="0"/>
          <w:numId w:val="1"/>
        </w:numPr>
        <w:pBdr>
          <w:top w:val="nil"/>
          <w:left w:val="nil"/>
          <w:bottom w:val="nil"/>
          <w:right w:val="nil"/>
          <w:between w:val="nil"/>
        </w:pBdr>
        <w:spacing w:after="60"/>
      </w:pPr>
      <w:proofErr w:type="spellStart"/>
      <w:r>
        <w:rPr>
          <w:color w:val="000000"/>
          <w:sz w:val="21"/>
          <w:szCs w:val="21"/>
        </w:rPr>
        <w:t>TokenPowerBench</w:t>
      </w:r>
      <w:proofErr w:type="spellEnd"/>
      <w:r>
        <w:rPr>
          <w:color w:val="000000"/>
          <w:sz w:val="21"/>
          <w:szCs w:val="21"/>
        </w:rPr>
        <w:t xml:space="preserve"> (</w:t>
      </w:r>
      <w:proofErr w:type="spellStart"/>
      <w:r>
        <w:rPr>
          <w:color w:val="000000"/>
          <w:sz w:val="21"/>
          <w:szCs w:val="21"/>
        </w:rPr>
        <w:t>Niu</w:t>
      </w:r>
      <w:proofErr w:type="spellEnd"/>
      <w:r>
        <w:rPr>
          <w:color w:val="000000"/>
          <w:sz w:val="21"/>
          <w:szCs w:val="21"/>
        </w:rPr>
        <w:t>, Zhang, Li, Zhao, Wang, Wang &amp; Chen, AAAI 2026), a benchmark reporting joules-per-token, joules-per-response, and phase-aligned (prefill/decode) power measurements across LLM architectures and GPU hardware configurations, building on the earlier “From Words to Watts” benchmarking approach (</w:t>
      </w:r>
      <w:proofErr w:type="spellStart"/>
      <w:r>
        <w:rPr>
          <w:color w:val="000000"/>
          <w:sz w:val="21"/>
          <w:szCs w:val="21"/>
        </w:rPr>
        <w:t>Samsi</w:t>
      </w:r>
      <w:proofErr w:type="spellEnd"/>
      <w:r>
        <w:rPr>
          <w:color w:val="000000"/>
          <w:sz w:val="21"/>
          <w:szCs w:val="21"/>
        </w:rPr>
        <w:t xml:space="preserve"> et al., 2023) — a source for the hardware-class-specific factors referenced in §8.5.</w:t>
      </w:r>
    </w:p>
    <w:p w14:paraId="0000013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Wilhelm, </w:t>
      </w:r>
      <w:proofErr w:type="spellStart"/>
      <w:r>
        <w:rPr>
          <w:color w:val="000000"/>
          <w:sz w:val="21"/>
          <w:szCs w:val="21"/>
        </w:rPr>
        <w:t>Wittkopp</w:t>
      </w:r>
      <w:proofErr w:type="spellEnd"/>
      <w:r>
        <w:rPr>
          <w:color w:val="000000"/>
          <w:sz w:val="21"/>
          <w:szCs w:val="21"/>
        </w:rPr>
        <w:t xml:space="preserve"> &amp; Kao, “Beyond Test-Time Compute Strategies: Advocating Energy-per-Token in LLM Inference,” </w:t>
      </w:r>
      <w:proofErr w:type="spellStart"/>
      <w:r>
        <w:rPr>
          <w:color w:val="000000"/>
          <w:sz w:val="21"/>
          <w:szCs w:val="21"/>
        </w:rPr>
        <w:t>EuroMLSys</w:t>
      </w:r>
      <w:proofErr w:type="spellEnd"/>
      <w:r>
        <w:rPr>
          <w:color w:val="000000"/>
          <w:sz w:val="21"/>
          <w:szCs w:val="21"/>
        </w:rPr>
        <w:t xml:space="preserve"> '25 (ACM) — documents that energy-per-token varies by model architecture even at matched parameter count and hardware, supporting provider-specific rather than purely parameter-count-based modeling (§8.5).</w:t>
      </w:r>
    </w:p>
    <w:p w14:paraId="0000013F"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The ML.ENERGY Benchmark methodology (Chung et al., 2025) and its extension in “Where Do the Joules Go? Diagnosing Inference Energy Consumption” (2026) — measures steady-state energy per token on production serving stacks (e.g. </w:t>
      </w:r>
      <w:proofErr w:type="spellStart"/>
      <w:r>
        <w:rPr>
          <w:color w:val="000000"/>
          <w:sz w:val="21"/>
          <w:szCs w:val="21"/>
        </w:rPr>
        <w:t>vLLM</w:t>
      </w:r>
      <w:proofErr w:type="spellEnd"/>
      <w:r>
        <w:rPr>
          <w:color w:val="000000"/>
          <w:sz w:val="21"/>
          <w:szCs w:val="21"/>
        </w:rPr>
        <w:t xml:space="preserve">, </w:t>
      </w:r>
      <w:proofErr w:type="spellStart"/>
      <w:r>
        <w:rPr>
          <w:color w:val="000000"/>
          <w:sz w:val="21"/>
          <w:szCs w:val="21"/>
        </w:rPr>
        <w:t>xDiT</w:t>
      </w:r>
      <w:proofErr w:type="spellEnd"/>
      <w:r>
        <w:rPr>
          <w:color w:val="000000"/>
          <w:sz w:val="21"/>
          <w:szCs w:val="21"/>
        </w:rPr>
        <w:t>) across current-generation hardware (NVIDIA H100/B200), useful for keeping the hardware-class factor table current as new accelerators ship.</w:t>
      </w:r>
    </w:p>
    <w:p w14:paraId="00000140" w14:textId="77777777" w:rsidR="0062357D" w:rsidRDefault="007E79DA">
      <w:pPr>
        <w:numPr>
          <w:ilvl w:val="0"/>
          <w:numId w:val="1"/>
        </w:numPr>
        <w:pBdr>
          <w:top w:val="nil"/>
          <w:left w:val="nil"/>
          <w:bottom w:val="nil"/>
          <w:right w:val="nil"/>
          <w:between w:val="nil"/>
        </w:pBdr>
        <w:spacing w:after="60"/>
      </w:pPr>
      <w:r>
        <w:rPr>
          <w:color w:val="000000"/>
          <w:sz w:val="21"/>
          <w:szCs w:val="21"/>
        </w:rPr>
        <w:t>Published synthesis figures such as John Snow Labs' “Tokens per Joule” analysis, showing energy-per-output-token ranging from roughly 3–4 J on older, less-optimized deployments down to roughly 0.39 J on newer FP8-quantized H100 deployments — illustrates the scale of efficiency variance the versioned factor table (§8.4) needs to track over time rather than treat as fixed.</w:t>
      </w:r>
    </w:p>
    <w:p w14:paraId="00000141" w14:textId="77777777" w:rsidR="0062357D" w:rsidRDefault="007E79DA">
      <w:pPr>
        <w:pStyle w:val="Heading3"/>
        <w:spacing w:before="200" w:after="100"/>
      </w:pPr>
      <w:r>
        <w:rPr>
          <w:b/>
          <w:bCs/>
          <w:color w:val="333333"/>
          <w:sz w:val="21"/>
          <w:szCs w:val="21"/>
        </w:rPr>
        <w:t>8.7.1.1 Illustrative Energy-per-Query/Token Figures</w:t>
      </w:r>
    </w:p>
    <w:p w14:paraId="00000142" w14:textId="77777777" w:rsidR="0062357D" w:rsidRDefault="007E79DA">
      <w:pPr>
        <w:spacing w:after="140"/>
      </w:pPr>
      <w:r>
        <w:rPr>
          <w:sz w:val="21"/>
          <w:szCs w:val="21"/>
        </w:rPr>
        <w:t>The table below compiles current published figures as concrete starting points for the Modeled-tier baseline (§8.2). These are cited data points from the sources above, not fixed Stardust constants — they illustrate the order of magnitude and the wide spread across model size, query length, and serving-stack optimization that the versioned factor table (§8.4) exists to track over time.</w:t>
      </w:r>
    </w:p>
    <w:tbl>
      <w:tblPr>
        <w:tblStyle w:val="a7"/>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600"/>
        <w:gridCol w:w="4000"/>
      </w:tblGrid>
      <w:tr w:rsidR="0062357D" w14:paraId="603C1C12" w14:textId="77777777">
        <w:trPr>
          <w:tblHeader/>
        </w:trPr>
        <w:tc>
          <w:tcPr>
            <w:tcW w:w="3400" w:type="dxa"/>
            <w:shd w:val="clear" w:color="auto" w:fill="1E7A4C"/>
            <w:tcMar>
              <w:top w:w="80" w:type="dxa"/>
              <w:left w:w="100" w:type="dxa"/>
              <w:bottom w:w="80" w:type="dxa"/>
              <w:right w:w="100" w:type="dxa"/>
            </w:tcMar>
          </w:tcPr>
          <w:p w14:paraId="00000143" w14:textId="77777777" w:rsidR="0062357D" w:rsidRDefault="007E79DA">
            <w:r>
              <w:rPr>
                <w:b/>
                <w:bCs/>
                <w:color w:val="FFFFFF"/>
                <w:sz w:val="19"/>
                <w:szCs w:val="19"/>
              </w:rPr>
              <w:t>Metric</w:t>
            </w:r>
          </w:p>
        </w:tc>
        <w:tc>
          <w:tcPr>
            <w:tcW w:w="2600" w:type="dxa"/>
            <w:shd w:val="clear" w:color="auto" w:fill="1E7A4C"/>
            <w:tcMar>
              <w:top w:w="80" w:type="dxa"/>
              <w:left w:w="100" w:type="dxa"/>
              <w:bottom w:w="80" w:type="dxa"/>
              <w:right w:w="100" w:type="dxa"/>
            </w:tcMar>
          </w:tcPr>
          <w:p w14:paraId="00000144" w14:textId="77777777" w:rsidR="0062357D" w:rsidRDefault="007E79DA">
            <w:r>
              <w:rPr>
                <w:b/>
                <w:bCs/>
                <w:color w:val="FFFFFF"/>
                <w:sz w:val="19"/>
                <w:szCs w:val="19"/>
              </w:rPr>
              <w:t>Figure</w:t>
            </w:r>
          </w:p>
        </w:tc>
        <w:tc>
          <w:tcPr>
            <w:tcW w:w="4000" w:type="dxa"/>
            <w:shd w:val="clear" w:color="auto" w:fill="1E7A4C"/>
            <w:tcMar>
              <w:top w:w="80" w:type="dxa"/>
              <w:left w:w="100" w:type="dxa"/>
              <w:bottom w:w="80" w:type="dxa"/>
              <w:right w:w="100" w:type="dxa"/>
            </w:tcMar>
          </w:tcPr>
          <w:p w14:paraId="00000145" w14:textId="77777777" w:rsidR="0062357D" w:rsidRDefault="007E79DA">
            <w:r>
              <w:rPr>
                <w:b/>
                <w:bCs/>
                <w:color w:val="FFFFFF"/>
                <w:sz w:val="19"/>
                <w:szCs w:val="19"/>
              </w:rPr>
              <w:t>Source</w:t>
            </w:r>
          </w:p>
        </w:tc>
      </w:tr>
      <w:tr w:rsidR="0062357D" w14:paraId="7D0DC3EA" w14:textId="77777777">
        <w:tc>
          <w:tcPr>
            <w:tcW w:w="3400" w:type="dxa"/>
            <w:tcMar>
              <w:top w:w="80" w:type="dxa"/>
              <w:left w:w="100" w:type="dxa"/>
              <w:bottom w:w="80" w:type="dxa"/>
              <w:right w:w="100" w:type="dxa"/>
            </w:tcMar>
          </w:tcPr>
          <w:p w14:paraId="00000146" w14:textId="77777777" w:rsidR="0062357D" w:rsidRDefault="007E79DA">
            <w:r>
              <w:rPr>
                <w:sz w:val="19"/>
                <w:szCs w:val="19"/>
              </w:rPr>
              <w:t>Short/median text query, optimized production serving</w:t>
            </w:r>
          </w:p>
        </w:tc>
        <w:tc>
          <w:tcPr>
            <w:tcW w:w="2600" w:type="dxa"/>
            <w:tcMar>
              <w:top w:w="80" w:type="dxa"/>
              <w:left w:w="100" w:type="dxa"/>
              <w:bottom w:w="80" w:type="dxa"/>
              <w:right w:w="100" w:type="dxa"/>
            </w:tcMar>
          </w:tcPr>
          <w:p w14:paraId="00000147" w14:textId="77777777" w:rsidR="0062357D" w:rsidRDefault="007E79DA">
            <w:sdt>
              <w:sdtPr>
                <w:tag w:val="goog_rdk_1"/>
                <w:id w:val="-202744143"/>
              </w:sdtPr>
              <w:sdtEndPr/>
              <w:sdtContent>
                <w:r>
                  <w:rPr>
                    <w:rFonts w:ascii="Gungsuh" w:eastAsia="Gungsuh" w:hAnsi="Gungsuh" w:cs="Gungsuh"/>
                    <w:sz w:val="19"/>
                    <w:szCs w:val="19"/>
                  </w:rPr>
                  <w:t xml:space="preserve">≈ 0.24–0.34 </w:t>
                </w:r>
                <w:proofErr w:type="spellStart"/>
                <w:r>
                  <w:rPr>
                    <w:rFonts w:ascii="Gungsuh" w:eastAsia="Gungsuh" w:hAnsi="Gungsuh" w:cs="Gungsuh"/>
                    <w:sz w:val="19"/>
                    <w:szCs w:val="19"/>
                  </w:rPr>
                  <w:t>Wh</w:t>
                </w:r>
                <w:proofErr w:type="spellEnd"/>
              </w:sdtContent>
            </w:sdt>
          </w:p>
        </w:tc>
        <w:tc>
          <w:tcPr>
            <w:tcW w:w="4000" w:type="dxa"/>
            <w:tcMar>
              <w:top w:w="80" w:type="dxa"/>
              <w:left w:w="100" w:type="dxa"/>
              <w:bottom w:w="80" w:type="dxa"/>
              <w:right w:w="100" w:type="dxa"/>
            </w:tcMar>
          </w:tcPr>
          <w:p w14:paraId="00000148" w14:textId="77777777" w:rsidR="0062357D" w:rsidRDefault="007E79DA">
            <w:r>
              <w:rPr>
                <w:sz w:val="19"/>
                <w:szCs w:val="19"/>
              </w:rPr>
              <w:t>Epoch AI (2025); Google, “Measuring the environmental impact of delivering AI at Google Scale” (2026)</w:t>
            </w:r>
          </w:p>
        </w:tc>
      </w:tr>
      <w:tr w:rsidR="0062357D" w14:paraId="1421DEFF" w14:textId="77777777">
        <w:tc>
          <w:tcPr>
            <w:tcW w:w="3400" w:type="dxa"/>
            <w:tcMar>
              <w:top w:w="80" w:type="dxa"/>
              <w:left w:w="100" w:type="dxa"/>
              <w:bottom w:w="80" w:type="dxa"/>
              <w:right w:w="100" w:type="dxa"/>
            </w:tcMar>
          </w:tcPr>
          <w:p w14:paraId="00000149" w14:textId="77777777" w:rsidR="0062357D" w:rsidRDefault="007E79DA">
            <w:r>
              <w:rPr>
                <w:sz w:val="19"/>
                <w:szCs w:val="19"/>
              </w:rPr>
              <w:t xml:space="preserve">Frontier-scale model (&gt;200B </w:t>
            </w:r>
            <w:proofErr w:type="spellStart"/>
            <w:r>
              <w:rPr>
                <w:sz w:val="19"/>
                <w:szCs w:val="19"/>
              </w:rPr>
              <w:t>params</w:t>
            </w:r>
            <w:proofErr w:type="spellEnd"/>
            <w:r>
              <w:rPr>
                <w:sz w:val="19"/>
                <w:szCs w:val="19"/>
              </w:rPr>
              <w:t>) on H100 nodes, median</w:t>
            </w:r>
          </w:p>
        </w:tc>
        <w:tc>
          <w:tcPr>
            <w:tcW w:w="2600" w:type="dxa"/>
            <w:tcMar>
              <w:top w:w="80" w:type="dxa"/>
              <w:left w:w="100" w:type="dxa"/>
              <w:bottom w:w="80" w:type="dxa"/>
              <w:right w:w="100" w:type="dxa"/>
            </w:tcMar>
          </w:tcPr>
          <w:p w14:paraId="0000014A" w14:textId="77777777" w:rsidR="0062357D" w:rsidRDefault="007E79DA">
            <w:r>
              <w:rPr>
                <w:sz w:val="19"/>
                <w:szCs w:val="19"/>
              </w:rPr>
              <w:t xml:space="preserve">0.31 </w:t>
            </w:r>
            <w:proofErr w:type="spellStart"/>
            <w:r>
              <w:rPr>
                <w:sz w:val="19"/>
                <w:szCs w:val="19"/>
              </w:rPr>
              <w:t>Wh</w:t>
            </w:r>
            <w:proofErr w:type="spellEnd"/>
            <w:r>
              <w:rPr>
                <w:sz w:val="19"/>
                <w:szCs w:val="19"/>
              </w:rPr>
              <w:t>/query (IQR 0.16–0.60)</w:t>
            </w:r>
          </w:p>
        </w:tc>
        <w:tc>
          <w:tcPr>
            <w:tcW w:w="4000" w:type="dxa"/>
            <w:tcMar>
              <w:top w:w="80" w:type="dxa"/>
              <w:left w:w="100" w:type="dxa"/>
              <w:bottom w:w="80" w:type="dxa"/>
              <w:right w:w="100" w:type="dxa"/>
            </w:tcMar>
          </w:tcPr>
          <w:p w14:paraId="0000014B" w14:textId="77777777" w:rsidR="0062357D" w:rsidRDefault="007E79DA">
            <w:r>
              <w:rPr>
                <w:sz w:val="19"/>
                <w:szCs w:val="19"/>
              </w:rPr>
              <w:t>Oviedo et al., Joule (2026), arXiv:2509.20241</w:t>
            </w:r>
          </w:p>
        </w:tc>
      </w:tr>
      <w:tr w:rsidR="0062357D" w14:paraId="7274A131" w14:textId="77777777">
        <w:tc>
          <w:tcPr>
            <w:tcW w:w="3400" w:type="dxa"/>
            <w:tcMar>
              <w:top w:w="80" w:type="dxa"/>
              <w:left w:w="100" w:type="dxa"/>
              <w:bottom w:w="80" w:type="dxa"/>
              <w:right w:w="100" w:type="dxa"/>
            </w:tcMar>
          </w:tcPr>
          <w:p w14:paraId="0000014C" w14:textId="77777777" w:rsidR="0062357D" w:rsidRDefault="007E79DA">
            <w:sdt>
              <w:sdtPr>
                <w:tag w:val="goog_rdk_2"/>
                <w:id w:val="-1476586239"/>
              </w:sdtPr>
              <w:sdtEndPr/>
              <w:sdtContent>
                <w:r>
                  <w:rPr>
                    <w:rFonts w:ascii="Gungsuh" w:eastAsia="Gungsuh" w:hAnsi="Gungsuh" w:cs="Gungsuh"/>
                    <w:sz w:val="19"/>
                    <w:szCs w:val="19"/>
                  </w:rPr>
                  <w:t>Long/test-time-scaling reasoning query (≈15× typical length)</w:t>
                </w:r>
              </w:sdtContent>
            </w:sdt>
          </w:p>
        </w:tc>
        <w:tc>
          <w:tcPr>
            <w:tcW w:w="2600" w:type="dxa"/>
            <w:tcMar>
              <w:top w:w="80" w:type="dxa"/>
              <w:left w:w="100" w:type="dxa"/>
              <w:bottom w:w="80" w:type="dxa"/>
              <w:right w:w="100" w:type="dxa"/>
            </w:tcMar>
          </w:tcPr>
          <w:p w14:paraId="0000014D" w14:textId="77777777" w:rsidR="0062357D" w:rsidRDefault="007E79DA">
            <w:r>
              <w:rPr>
                <w:sz w:val="19"/>
                <w:szCs w:val="19"/>
              </w:rPr>
              <w:t xml:space="preserve">3.91 </w:t>
            </w:r>
            <w:proofErr w:type="spellStart"/>
            <w:r>
              <w:rPr>
                <w:sz w:val="19"/>
                <w:szCs w:val="19"/>
              </w:rPr>
              <w:t>Wh</w:t>
            </w:r>
            <w:proofErr w:type="spellEnd"/>
            <w:r>
              <w:rPr>
                <w:sz w:val="19"/>
                <w:szCs w:val="19"/>
              </w:rPr>
              <w:t>/query (13× rise)</w:t>
            </w:r>
          </w:p>
        </w:tc>
        <w:tc>
          <w:tcPr>
            <w:tcW w:w="4000" w:type="dxa"/>
            <w:tcMar>
              <w:top w:w="80" w:type="dxa"/>
              <w:left w:w="100" w:type="dxa"/>
              <w:bottom w:w="80" w:type="dxa"/>
              <w:right w:w="100" w:type="dxa"/>
            </w:tcMar>
          </w:tcPr>
          <w:p w14:paraId="0000014E" w14:textId="77777777" w:rsidR="0062357D" w:rsidRDefault="007E79DA">
            <w:r>
              <w:rPr>
                <w:sz w:val="19"/>
                <w:szCs w:val="19"/>
              </w:rPr>
              <w:t>Oviedo et al., Joule (2026)</w:t>
            </w:r>
          </w:p>
        </w:tc>
      </w:tr>
      <w:tr w:rsidR="0062357D" w14:paraId="7F58DCB8" w14:textId="77777777">
        <w:tc>
          <w:tcPr>
            <w:tcW w:w="3400" w:type="dxa"/>
            <w:tcMar>
              <w:top w:w="80" w:type="dxa"/>
              <w:left w:w="100" w:type="dxa"/>
              <w:bottom w:w="80" w:type="dxa"/>
              <w:right w:w="100" w:type="dxa"/>
            </w:tcMar>
          </w:tcPr>
          <w:p w14:paraId="0000014F" w14:textId="77777777" w:rsidR="0062357D" w:rsidRDefault="007E79DA">
            <w:sdt>
              <w:sdtPr>
                <w:tag w:val="goog_rdk_3"/>
                <w:id w:val="1987916780"/>
              </w:sdtPr>
              <w:sdtEndPr/>
              <w:sdtContent>
                <w:r>
                  <w:rPr>
                    <w:rFonts w:ascii="Gungsuh" w:eastAsia="Gungsuh" w:hAnsi="Gungsuh" w:cs="Gungsuh"/>
                    <w:sz w:val="19"/>
                    <w:szCs w:val="19"/>
                  </w:rPr>
                  <w:t>Medium query (≈10,000 input tokens)</w:t>
                </w:r>
              </w:sdtContent>
            </w:sdt>
          </w:p>
        </w:tc>
        <w:tc>
          <w:tcPr>
            <w:tcW w:w="2600" w:type="dxa"/>
            <w:tcMar>
              <w:top w:w="80" w:type="dxa"/>
              <w:left w:w="100" w:type="dxa"/>
              <w:bottom w:w="80" w:type="dxa"/>
              <w:right w:w="100" w:type="dxa"/>
            </w:tcMar>
          </w:tcPr>
          <w:p w14:paraId="00000150" w14:textId="77777777" w:rsidR="0062357D" w:rsidRDefault="007E79DA">
            <w:sdt>
              <w:sdtPr>
                <w:tag w:val="goog_rdk_4"/>
                <w:id w:val="-32910999"/>
              </w:sdtPr>
              <w:sdtEndPr/>
              <w:sdtContent>
                <w:r>
                  <w:rPr>
                    <w:rFonts w:ascii="Gungsuh" w:eastAsia="Gungsuh" w:hAnsi="Gungsuh" w:cs="Gungsuh"/>
                    <w:sz w:val="19"/>
                    <w:szCs w:val="19"/>
                  </w:rPr>
                  <w:t xml:space="preserve">≈ 2.5 </w:t>
                </w:r>
                <w:proofErr w:type="spellStart"/>
                <w:r>
                  <w:rPr>
                    <w:rFonts w:ascii="Gungsuh" w:eastAsia="Gungsuh" w:hAnsi="Gungsuh" w:cs="Gungsuh"/>
                    <w:sz w:val="19"/>
                    <w:szCs w:val="19"/>
                  </w:rPr>
                  <w:t>Wh</w:t>
                </w:r>
                <w:proofErr w:type="spellEnd"/>
              </w:sdtContent>
            </w:sdt>
          </w:p>
        </w:tc>
        <w:tc>
          <w:tcPr>
            <w:tcW w:w="4000" w:type="dxa"/>
            <w:tcMar>
              <w:top w:w="80" w:type="dxa"/>
              <w:left w:w="100" w:type="dxa"/>
              <w:bottom w:w="80" w:type="dxa"/>
              <w:right w:w="100" w:type="dxa"/>
            </w:tcMar>
          </w:tcPr>
          <w:p w14:paraId="00000151" w14:textId="77777777" w:rsidR="0062357D" w:rsidRDefault="007E79DA">
            <w:r>
              <w:rPr>
                <w:sz w:val="19"/>
                <w:szCs w:val="19"/>
              </w:rPr>
              <w:t>Derived scaling from Epoch AI / Google baselines</w:t>
            </w:r>
          </w:p>
        </w:tc>
      </w:tr>
      <w:tr w:rsidR="0062357D" w14:paraId="0F186BB8" w14:textId="77777777">
        <w:tc>
          <w:tcPr>
            <w:tcW w:w="3400" w:type="dxa"/>
            <w:tcMar>
              <w:top w:w="80" w:type="dxa"/>
              <w:left w:w="100" w:type="dxa"/>
              <w:bottom w:w="80" w:type="dxa"/>
              <w:right w:w="100" w:type="dxa"/>
            </w:tcMar>
          </w:tcPr>
          <w:p w14:paraId="00000152" w14:textId="77777777" w:rsidR="0062357D" w:rsidRDefault="007E79DA">
            <w:sdt>
              <w:sdtPr>
                <w:tag w:val="goog_rdk_5"/>
                <w:id w:val="750413297"/>
              </w:sdtPr>
              <w:sdtEndPr/>
              <w:sdtContent>
                <w:r>
                  <w:rPr>
                    <w:rFonts w:ascii="Gungsuh" w:eastAsia="Gungsuh" w:hAnsi="Gungsuh" w:cs="Gungsuh"/>
                    <w:sz w:val="19"/>
                    <w:szCs w:val="19"/>
                  </w:rPr>
                  <w:t>Long query (≈100,000 input tokens)</w:t>
                </w:r>
              </w:sdtContent>
            </w:sdt>
          </w:p>
        </w:tc>
        <w:tc>
          <w:tcPr>
            <w:tcW w:w="2600" w:type="dxa"/>
            <w:tcMar>
              <w:top w:w="80" w:type="dxa"/>
              <w:left w:w="100" w:type="dxa"/>
              <w:bottom w:w="80" w:type="dxa"/>
              <w:right w:w="100" w:type="dxa"/>
            </w:tcMar>
          </w:tcPr>
          <w:p w14:paraId="00000153" w14:textId="77777777" w:rsidR="0062357D" w:rsidRDefault="007E79DA">
            <w:sdt>
              <w:sdtPr>
                <w:tag w:val="goog_rdk_6"/>
                <w:id w:val="1080328401"/>
              </w:sdtPr>
              <w:sdtEndPr/>
              <w:sdtContent>
                <w:r>
                  <w:rPr>
                    <w:rFonts w:ascii="Gungsuh" w:eastAsia="Gungsuh" w:hAnsi="Gungsuh" w:cs="Gungsuh"/>
                    <w:sz w:val="19"/>
                    <w:szCs w:val="19"/>
                  </w:rPr>
                  <w:t xml:space="preserve">≈ 40 </w:t>
                </w:r>
                <w:proofErr w:type="spellStart"/>
                <w:r>
                  <w:rPr>
                    <w:rFonts w:ascii="Gungsuh" w:eastAsia="Gungsuh" w:hAnsi="Gungsuh" w:cs="Gungsuh"/>
                    <w:sz w:val="19"/>
                    <w:szCs w:val="19"/>
                  </w:rPr>
                  <w:t>Wh</w:t>
                </w:r>
                <w:proofErr w:type="spellEnd"/>
              </w:sdtContent>
            </w:sdt>
          </w:p>
        </w:tc>
        <w:tc>
          <w:tcPr>
            <w:tcW w:w="4000" w:type="dxa"/>
            <w:tcMar>
              <w:top w:w="80" w:type="dxa"/>
              <w:left w:w="100" w:type="dxa"/>
              <w:bottom w:w="80" w:type="dxa"/>
              <w:right w:w="100" w:type="dxa"/>
            </w:tcMar>
          </w:tcPr>
          <w:p w14:paraId="00000154" w14:textId="77777777" w:rsidR="0062357D" w:rsidRDefault="007E79DA">
            <w:r>
              <w:rPr>
                <w:sz w:val="19"/>
                <w:szCs w:val="19"/>
              </w:rPr>
              <w:t>Derived scaling from Epoch AI / Google baselines</w:t>
            </w:r>
          </w:p>
        </w:tc>
      </w:tr>
      <w:tr w:rsidR="0062357D" w14:paraId="36E92279" w14:textId="77777777">
        <w:tc>
          <w:tcPr>
            <w:tcW w:w="3400" w:type="dxa"/>
            <w:tcMar>
              <w:top w:w="80" w:type="dxa"/>
              <w:left w:w="100" w:type="dxa"/>
              <w:bottom w:w="80" w:type="dxa"/>
              <w:right w:w="100" w:type="dxa"/>
            </w:tcMar>
          </w:tcPr>
          <w:p w14:paraId="00000155" w14:textId="77777777" w:rsidR="0062357D" w:rsidRDefault="007E79DA">
            <w:r>
              <w:rPr>
                <w:sz w:val="19"/>
                <w:szCs w:val="19"/>
              </w:rPr>
              <w:t>Output-token energy, by model size</w:t>
            </w:r>
          </w:p>
        </w:tc>
        <w:tc>
          <w:tcPr>
            <w:tcW w:w="2600" w:type="dxa"/>
            <w:tcMar>
              <w:top w:w="80" w:type="dxa"/>
              <w:left w:w="100" w:type="dxa"/>
              <w:bottom w:w="80" w:type="dxa"/>
              <w:right w:w="100" w:type="dxa"/>
            </w:tcMar>
          </w:tcPr>
          <w:p w14:paraId="00000156" w14:textId="77777777" w:rsidR="0062357D" w:rsidRDefault="007E79DA">
            <w:sdt>
              <w:sdtPr>
                <w:tag w:val="goog_rdk_7"/>
                <w:id w:val="749044748"/>
              </w:sdtPr>
              <w:sdtEndPr/>
              <w:sdtContent>
                <w:r>
                  <w:rPr>
                    <w:rFonts w:ascii="Gungsuh" w:eastAsia="Gungsuh" w:hAnsi="Gungsuh" w:cs="Gungsuh"/>
                    <w:sz w:val="19"/>
                    <w:szCs w:val="19"/>
                  </w:rPr>
                  <w:t xml:space="preserve">≈ 0.0001–0.002 </w:t>
                </w:r>
                <w:proofErr w:type="spellStart"/>
                <w:r>
                  <w:rPr>
                    <w:rFonts w:ascii="Gungsuh" w:eastAsia="Gungsuh" w:hAnsi="Gungsuh" w:cs="Gungsuh"/>
                    <w:sz w:val="19"/>
                    <w:szCs w:val="19"/>
                  </w:rPr>
                  <w:t>Wh</w:t>
                </w:r>
                <w:proofErr w:type="spellEnd"/>
                <w:r>
                  <w:rPr>
                    <w:rFonts w:ascii="Gungsuh" w:eastAsia="Gungsuh" w:hAnsi="Gungsuh" w:cs="Gungsuh"/>
                    <w:sz w:val="19"/>
                    <w:szCs w:val="19"/>
                  </w:rPr>
                  <w:t>/token</w:t>
                </w:r>
              </w:sdtContent>
            </w:sdt>
          </w:p>
        </w:tc>
        <w:tc>
          <w:tcPr>
            <w:tcW w:w="4000" w:type="dxa"/>
            <w:tcMar>
              <w:top w:w="80" w:type="dxa"/>
              <w:left w:w="100" w:type="dxa"/>
              <w:bottom w:w="80" w:type="dxa"/>
              <w:right w:w="100" w:type="dxa"/>
            </w:tcMar>
          </w:tcPr>
          <w:p w14:paraId="00000157" w14:textId="77777777" w:rsidR="0062357D" w:rsidRDefault="007E79DA">
            <w:r>
              <w:rPr>
                <w:sz w:val="19"/>
                <w:szCs w:val="19"/>
              </w:rPr>
              <w:t>Epoch AI (2025)</w:t>
            </w:r>
          </w:p>
        </w:tc>
      </w:tr>
      <w:tr w:rsidR="0062357D" w14:paraId="28DC5161" w14:textId="77777777">
        <w:tc>
          <w:tcPr>
            <w:tcW w:w="3400" w:type="dxa"/>
            <w:tcMar>
              <w:top w:w="80" w:type="dxa"/>
              <w:left w:w="100" w:type="dxa"/>
              <w:bottom w:w="80" w:type="dxa"/>
              <w:right w:w="100" w:type="dxa"/>
            </w:tcMar>
          </w:tcPr>
          <w:p w14:paraId="00000158" w14:textId="77777777" w:rsidR="0062357D" w:rsidRDefault="007E79DA">
            <w:r>
              <w:rPr>
                <w:sz w:val="19"/>
                <w:szCs w:val="19"/>
              </w:rPr>
              <w:t>Output-token energy, older/</w:t>
            </w:r>
            <w:proofErr w:type="spellStart"/>
            <w:r>
              <w:rPr>
                <w:sz w:val="19"/>
                <w:szCs w:val="19"/>
              </w:rPr>
              <w:t>unoptimized</w:t>
            </w:r>
            <w:proofErr w:type="spellEnd"/>
            <w:r>
              <w:rPr>
                <w:sz w:val="19"/>
                <w:szCs w:val="19"/>
              </w:rPr>
              <w:t xml:space="preserve"> deployment</w:t>
            </w:r>
          </w:p>
        </w:tc>
        <w:tc>
          <w:tcPr>
            <w:tcW w:w="2600" w:type="dxa"/>
            <w:tcMar>
              <w:top w:w="80" w:type="dxa"/>
              <w:left w:w="100" w:type="dxa"/>
              <w:bottom w:w="80" w:type="dxa"/>
              <w:right w:w="100" w:type="dxa"/>
            </w:tcMar>
          </w:tcPr>
          <w:p w14:paraId="00000159" w14:textId="77777777" w:rsidR="0062357D" w:rsidRDefault="007E79DA">
            <w:sdt>
              <w:sdtPr>
                <w:tag w:val="goog_rdk_8"/>
                <w:id w:val="1250368914"/>
              </w:sdtPr>
              <w:sdtEndPr/>
              <w:sdtContent>
                <w:r>
                  <w:rPr>
                    <w:rFonts w:ascii="Gungsuh" w:eastAsia="Gungsuh" w:hAnsi="Gungsuh" w:cs="Gungsuh"/>
                    <w:sz w:val="19"/>
                    <w:szCs w:val="19"/>
                  </w:rPr>
                  <w:t xml:space="preserve">≈ 3–4 J/token (≈ 0.00083–0.0011 </w:t>
                </w:r>
                <w:proofErr w:type="spellStart"/>
                <w:r>
                  <w:rPr>
                    <w:rFonts w:ascii="Gungsuh" w:eastAsia="Gungsuh" w:hAnsi="Gungsuh" w:cs="Gungsuh"/>
                    <w:sz w:val="19"/>
                    <w:szCs w:val="19"/>
                  </w:rPr>
                  <w:t>Wh</w:t>
                </w:r>
                <w:proofErr w:type="spellEnd"/>
                <w:r>
                  <w:rPr>
                    <w:rFonts w:ascii="Gungsuh" w:eastAsia="Gungsuh" w:hAnsi="Gungsuh" w:cs="Gungsuh"/>
                    <w:sz w:val="19"/>
                    <w:szCs w:val="19"/>
                  </w:rPr>
                  <w:t>)</w:t>
                </w:r>
              </w:sdtContent>
            </w:sdt>
          </w:p>
        </w:tc>
        <w:tc>
          <w:tcPr>
            <w:tcW w:w="4000" w:type="dxa"/>
            <w:tcMar>
              <w:top w:w="80" w:type="dxa"/>
              <w:left w:w="100" w:type="dxa"/>
              <w:bottom w:w="80" w:type="dxa"/>
              <w:right w:w="100" w:type="dxa"/>
            </w:tcMar>
          </w:tcPr>
          <w:p w14:paraId="0000015A" w14:textId="77777777" w:rsidR="0062357D" w:rsidRDefault="007E79DA">
            <w:proofErr w:type="spellStart"/>
            <w:r>
              <w:rPr>
                <w:sz w:val="19"/>
                <w:szCs w:val="19"/>
              </w:rPr>
              <w:t>Samsi</w:t>
            </w:r>
            <w:proofErr w:type="spellEnd"/>
            <w:r>
              <w:rPr>
                <w:sz w:val="19"/>
                <w:szCs w:val="19"/>
              </w:rPr>
              <w:t xml:space="preserve"> et al., “From Words to Watts” (2023)</w:t>
            </w:r>
          </w:p>
        </w:tc>
      </w:tr>
      <w:tr w:rsidR="0062357D" w14:paraId="272AAC6A" w14:textId="77777777">
        <w:tc>
          <w:tcPr>
            <w:tcW w:w="3400" w:type="dxa"/>
            <w:tcMar>
              <w:top w:w="80" w:type="dxa"/>
              <w:left w:w="100" w:type="dxa"/>
              <w:bottom w:w="80" w:type="dxa"/>
              <w:right w:w="100" w:type="dxa"/>
            </w:tcMar>
          </w:tcPr>
          <w:p w14:paraId="0000015B" w14:textId="77777777" w:rsidR="0062357D" w:rsidRDefault="007E79DA">
            <w:r>
              <w:rPr>
                <w:sz w:val="19"/>
                <w:szCs w:val="19"/>
              </w:rPr>
              <w:t>Output-token energy, optimized FP8 H100 deployment</w:t>
            </w:r>
          </w:p>
        </w:tc>
        <w:tc>
          <w:tcPr>
            <w:tcW w:w="2600" w:type="dxa"/>
            <w:tcMar>
              <w:top w:w="80" w:type="dxa"/>
              <w:left w:w="100" w:type="dxa"/>
              <w:bottom w:w="80" w:type="dxa"/>
              <w:right w:w="100" w:type="dxa"/>
            </w:tcMar>
          </w:tcPr>
          <w:p w14:paraId="0000015C" w14:textId="77777777" w:rsidR="0062357D" w:rsidRDefault="007E79DA">
            <w:sdt>
              <w:sdtPr>
                <w:tag w:val="goog_rdk_9"/>
                <w:id w:val="2061228224"/>
              </w:sdtPr>
              <w:sdtEndPr/>
              <w:sdtContent>
                <w:r>
                  <w:rPr>
                    <w:rFonts w:ascii="Gungsuh" w:eastAsia="Gungsuh" w:hAnsi="Gungsuh" w:cs="Gungsuh"/>
                    <w:sz w:val="19"/>
                    <w:szCs w:val="19"/>
                  </w:rPr>
                  <w:t xml:space="preserve">≈ 0.39 J/token (≈ 0.00011 </w:t>
                </w:r>
                <w:proofErr w:type="spellStart"/>
                <w:r>
                  <w:rPr>
                    <w:rFonts w:ascii="Gungsuh" w:eastAsia="Gungsuh" w:hAnsi="Gungsuh" w:cs="Gungsuh"/>
                    <w:sz w:val="19"/>
                    <w:szCs w:val="19"/>
                  </w:rPr>
                  <w:t>Wh</w:t>
                </w:r>
                <w:proofErr w:type="spellEnd"/>
                <w:r>
                  <w:rPr>
                    <w:rFonts w:ascii="Gungsuh" w:eastAsia="Gungsuh" w:hAnsi="Gungsuh" w:cs="Gungsuh"/>
                    <w:sz w:val="19"/>
                    <w:szCs w:val="19"/>
                  </w:rPr>
                  <w:t>)</w:t>
                </w:r>
              </w:sdtContent>
            </w:sdt>
          </w:p>
        </w:tc>
        <w:tc>
          <w:tcPr>
            <w:tcW w:w="4000" w:type="dxa"/>
            <w:tcMar>
              <w:top w:w="80" w:type="dxa"/>
              <w:left w:w="100" w:type="dxa"/>
              <w:bottom w:w="80" w:type="dxa"/>
              <w:right w:w="100" w:type="dxa"/>
            </w:tcMar>
          </w:tcPr>
          <w:p w14:paraId="0000015D" w14:textId="77777777" w:rsidR="0062357D" w:rsidRDefault="007E79DA">
            <w:r>
              <w:rPr>
                <w:sz w:val="19"/>
                <w:szCs w:val="19"/>
              </w:rPr>
              <w:t>John Snow Labs, “Tokens per Joule” (2026)</w:t>
            </w:r>
          </w:p>
        </w:tc>
      </w:tr>
      <w:tr w:rsidR="0062357D" w14:paraId="2B251E80" w14:textId="77777777">
        <w:tc>
          <w:tcPr>
            <w:tcW w:w="3400" w:type="dxa"/>
            <w:tcMar>
              <w:top w:w="80" w:type="dxa"/>
              <w:left w:w="100" w:type="dxa"/>
              <w:bottom w:w="80" w:type="dxa"/>
              <w:right w:w="100" w:type="dxa"/>
            </w:tcMar>
          </w:tcPr>
          <w:p w14:paraId="0000015E" w14:textId="77777777" w:rsidR="0062357D" w:rsidRDefault="007E79DA">
            <w:r>
              <w:rPr>
                <w:sz w:val="19"/>
                <w:szCs w:val="19"/>
              </w:rPr>
              <w:t>Legacy/superseded estimate (GPT-3.5-class prompt)</w:t>
            </w:r>
          </w:p>
        </w:tc>
        <w:tc>
          <w:tcPr>
            <w:tcW w:w="2600" w:type="dxa"/>
            <w:tcMar>
              <w:top w:w="80" w:type="dxa"/>
              <w:left w:w="100" w:type="dxa"/>
              <w:bottom w:w="80" w:type="dxa"/>
              <w:right w:w="100" w:type="dxa"/>
            </w:tcMar>
          </w:tcPr>
          <w:p w14:paraId="0000015F" w14:textId="77777777" w:rsidR="0062357D" w:rsidRDefault="007E79DA">
            <w:sdt>
              <w:sdtPr>
                <w:tag w:val="goog_rdk_10"/>
                <w:id w:val="-923517487"/>
              </w:sdtPr>
              <w:sdtEndPr/>
              <w:sdtContent>
                <w:r>
                  <w:rPr>
                    <w:rFonts w:ascii="Gungsuh" w:eastAsia="Gungsuh" w:hAnsi="Gungsuh" w:cs="Gungsuh"/>
                    <w:sz w:val="19"/>
                    <w:szCs w:val="19"/>
                  </w:rPr>
                  <w:t xml:space="preserve">≈ 3 </w:t>
                </w:r>
                <w:proofErr w:type="spellStart"/>
                <w:r>
                  <w:rPr>
                    <w:rFonts w:ascii="Gungsuh" w:eastAsia="Gungsuh" w:hAnsi="Gungsuh" w:cs="Gungsuh"/>
                    <w:sz w:val="19"/>
                    <w:szCs w:val="19"/>
                  </w:rPr>
                  <w:t>Wh</w:t>
                </w:r>
                <w:proofErr w:type="spellEnd"/>
                <w:r>
                  <w:rPr>
                    <w:rFonts w:ascii="Gungsuh" w:eastAsia="Gungsuh" w:hAnsi="Gungsuh" w:cs="Gungsuh"/>
                    <w:sz w:val="19"/>
                    <w:szCs w:val="19"/>
                  </w:rPr>
                  <w:t>/prompt</w:t>
                </w:r>
              </w:sdtContent>
            </w:sdt>
          </w:p>
        </w:tc>
        <w:tc>
          <w:tcPr>
            <w:tcW w:w="4000" w:type="dxa"/>
            <w:tcMar>
              <w:top w:w="80" w:type="dxa"/>
              <w:left w:w="100" w:type="dxa"/>
              <w:bottom w:w="80" w:type="dxa"/>
              <w:right w:w="100" w:type="dxa"/>
            </w:tcMar>
          </w:tcPr>
          <w:p w14:paraId="00000160" w14:textId="77777777" w:rsidR="0062357D" w:rsidRDefault="007E79DA">
            <w:r>
              <w:rPr>
                <w:sz w:val="19"/>
                <w:szCs w:val="19"/>
              </w:rPr>
              <w:t xml:space="preserve">De </w:t>
            </w:r>
            <w:proofErr w:type="spellStart"/>
            <w:r>
              <w:rPr>
                <w:sz w:val="19"/>
                <w:szCs w:val="19"/>
              </w:rPr>
              <w:t>Vries</w:t>
            </w:r>
            <w:proofErr w:type="spellEnd"/>
            <w:r>
              <w:rPr>
                <w:sz w:val="19"/>
                <w:szCs w:val="19"/>
              </w:rPr>
              <w:t xml:space="preserve"> (2023) — now considered an overestimate per Epoch AI and Google's own figures above</w:t>
            </w:r>
          </w:p>
        </w:tc>
      </w:tr>
    </w:tbl>
    <w:p w14:paraId="00000161" w14:textId="77777777" w:rsidR="0062357D" w:rsidRDefault="0062357D">
      <w:pPr>
        <w:spacing w:after="140"/>
      </w:pPr>
    </w:p>
    <w:p w14:paraId="00000162" w14:textId="77777777" w:rsidR="0062357D" w:rsidRDefault="007E79DA">
      <w:pPr>
        <w:pStyle w:val="Heading3"/>
        <w:spacing w:before="200" w:after="100"/>
      </w:pPr>
      <w:r>
        <w:rPr>
          <w:b/>
          <w:bCs/>
          <w:color w:val="333333"/>
          <w:sz w:val="21"/>
          <w:szCs w:val="21"/>
        </w:rPr>
        <w:t>8.7.1.2 Worked Example: Electricity Cost per Query</w:t>
      </w:r>
    </w:p>
    <w:p w14:paraId="00000163" w14:textId="77777777" w:rsidR="0062357D" w:rsidRDefault="007E79DA">
      <w:pPr>
        <w:spacing w:after="140"/>
      </w:pPr>
      <w:sdt>
        <w:sdtPr>
          <w:tag w:val="goog_rdk_11"/>
          <w:id w:val="-334573642"/>
        </w:sdtPr>
        <w:sdtEndPr/>
        <w:sdtContent>
          <w:r>
            <w:rPr>
              <w:rFonts w:ascii="Gungsuh" w:eastAsia="Gungsuh" w:hAnsi="Gungsuh" w:cs="Gungsuh"/>
              <w:sz w:val="21"/>
              <w:szCs w:val="21"/>
            </w:rPr>
            <w:t xml:space="preserve">Combining an energy-per-query figure with a cited electricity price gives the raw electricity cost component of a job — distinct from what an AI provider actually charges, which also covers hardware amortization, staffing, and margin (§8.5). Using the frontier-model median of 0.31 </w:t>
          </w:r>
          <w:proofErr w:type="spellStart"/>
          <w:r>
            <w:rPr>
              <w:rFonts w:ascii="Gungsuh" w:eastAsia="Gungsuh" w:hAnsi="Gungsuh" w:cs="Gungsuh"/>
              <w:sz w:val="21"/>
              <w:szCs w:val="21"/>
            </w:rPr>
            <w:t>Wh</w:t>
          </w:r>
          <w:proofErr w:type="spellEnd"/>
          <w:r>
            <w:rPr>
              <w:rFonts w:ascii="Gungsuh" w:eastAsia="Gungsuh" w:hAnsi="Gungsuh" w:cs="Gungsuh"/>
              <w:sz w:val="21"/>
              <w:szCs w:val="21"/>
            </w:rPr>
            <w:t>/query (§8.7.1.1) against the cited U.S. commercial and industrial electricity rates in §8.7.2.1 (≈ 8.7–13.5 ¢/kWh) works out to roughly $0.000027–$0.000042 of electricity per query — a small fraction of typical per-query API pr</w:t>
          </w:r>
          <w:r>
            <w:rPr>
              <w:rFonts w:ascii="Gungsuh" w:eastAsia="Gungsuh" w:hAnsi="Gungsuh" w:cs="Gungsuh"/>
              <w:sz w:val="21"/>
              <w:szCs w:val="21"/>
            </w:rPr>
            <w:t>icing, underscoring that electricity is one input cost among several, not the dominant one, for most providers (§8.5).</w:t>
          </w:r>
        </w:sdtContent>
      </w:sdt>
    </w:p>
    <w:p w14:paraId="00000164" w14:textId="77777777" w:rsidR="0062357D" w:rsidRDefault="007E79DA">
      <w:pPr>
        <w:pStyle w:val="Heading3"/>
        <w:spacing w:before="200" w:after="100"/>
      </w:pPr>
      <w:r>
        <w:rPr>
          <w:b/>
          <w:bCs/>
          <w:color w:val="333333"/>
          <w:sz w:val="21"/>
          <w:szCs w:val="21"/>
        </w:rPr>
        <w:t>8.7.2 Daily and dynamic electricity price sources</w:t>
      </w:r>
    </w:p>
    <w:p w14:paraId="00000165" w14:textId="77777777" w:rsidR="0062357D" w:rsidRDefault="007E79DA">
      <w:pPr>
        <w:numPr>
          <w:ilvl w:val="0"/>
          <w:numId w:val="1"/>
        </w:numPr>
        <w:pBdr>
          <w:top w:val="nil"/>
          <w:left w:val="nil"/>
          <w:bottom w:val="nil"/>
          <w:right w:val="nil"/>
          <w:between w:val="nil"/>
        </w:pBdr>
        <w:spacing w:after="60"/>
      </w:pPr>
      <w:r>
        <w:rPr>
          <w:color w:val="000000"/>
          <w:sz w:val="21"/>
          <w:szCs w:val="21"/>
        </w:rPr>
        <w:t>U.S. Energy Information Administration (EIA) “Today in Energy” daily price data and the EIA Open Data API — publishes day-ahead spot electricity and natural gas prices by regional hub, updated each weekday.</w:t>
      </w:r>
    </w:p>
    <w:p w14:paraId="00000166" w14:textId="77777777" w:rsidR="0062357D" w:rsidRDefault="007E79DA">
      <w:pPr>
        <w:numPr>
          <w:ilvl w:val="0"/>
          <w:numId w:val="1"/>
        </w:numPr>
        <w:pBdr>
          <w:top w:val="nil"/>
          <w:left w:val="nil"/>
          <w:bottom w:val="nil"/>
          <w:right w:val="nil"/>
          <w:between w:val="nil"/>
        </w:pBdr>
        <w:spacing w:after="60"/>
      </w:pPr>
      <w:r>
        <w:rPr>
          <w:color w:val="000000"/>
          <w:sz w:val="21"/>
          <w:szCs w:val="21"/>
        </w:rPr>
        <w:t>EIA's Wholesale Electricity and Natural Gas Market Data (republished, with permission, from Intercontinental Exchange/ICE data) — covers major U.S. electricity trading hubs (e.g. PJM West, Mid-C, Palo Verde, ERCOT North, SP-15, NP-15, Mass Hub) with daily volumes and weighted-average prices.</w:t>
      </w:r>
    </w:p>
    <w:p w14:paraId="00000167" w14:textId="77777777" w:rsidR="0062357D" w:rsidRDefault="007E79DA">
      <w:pPr>
        <w:numPr>
          <w:ilvl w:val="0"/>
          <w:numId w:val="1"/>
        </w:numPr>
        <w:pBdr>
          <w:top w:val="nil"/>
          <w:left w:val="nil"/>
          <w:bottom w:val="nil"/>
          <w:right w:val="nil"/>
          <w:between w:val="nil"/>
        </w:pBdr>
        <w:spacing w:after="60"/>
      </w:pPr>
      <w:r>
        <w:rPr>
          <w:color w:val="000000"/>
          <w:sz w:val="21"/>
          <w:szCs w:val="21"/>
        </w:rPr>
        <w:t>Electricity Maps' day-ahead electricity price data for Europe and day-ahead locational marginal price (LMP) data for U.S. ISOs/RTOs — available via API for the regions where AI infrastructure is commonly hosted.</w:t>
      </w:r>
    </w:p>
    <w:p w14:paraId="00000168" w14:textId="77777777" w:rsidR="0062357D" w:rsidRDefault="007E79DA">
      <w:pPr>
        <w:numPr>
          <w:ilvl w:val="0"/>
          <w:numId w:val="1"/>
        </w:numPr>
        <w:pBdr>
          <w:top w:val="nil"/>
          <w:left w:val="nil"/>
          <w:bottom w:val="nil"/>
          <w:right w:val="nil"/>
          <w:between w:val="nil"/>
        </w:pBdr>
        <w:spacing w:after="60"/>
      </w:pPr>
      <w:r>
        <w:rPr>
          <w:color w:val="000000"/>
          <w:sz w:val="21"/>
          <w:szCs w:val="21"/>
        </w:rPr>
        <w:t>The ENTSO-E Transparency Platform — the equivalent day-ahead price source for European bidding zones, and the basis regulators such as ACER use for cross-region price comparison.</w:t>
      </w:r>
    </w:p>
    <w:p w14:paraId="00000169" w14:textId="77777777" w:rsidR="0062357D" w:rsidRDefault="007E79DA">
      <w:pPr>
        <w:pStyle w:val="Heading3"/>
        <w:spacing w:before="200" w:after="100"/>
      </w:pPr>
      <w:r>
        <w:rPr>
          <w:b/>
          <w:bCs/>
          <w:color w:val="333333"/>
          <w:sz w:val="21"/>
          <w:szCs w:val="21"/>
        </w:rPr>
        <w:t>8.7.2.1 Illustrative Electricity Rate Figures</w:t>
      </w:r>
    </w:p>
    <w:p w14:paraId="0000016A" w14:textId="77777777" w:rsidR="0062357D" w:rsidRDefault="007E79DA">
      <w:pPr>
        <w:spacing w:after="140"/>
      </w:pPr>
      <w:r>
        <w:rPr>
          <w:sz w:val="21"/>
          <w:szCs w:val="21"/>
        </w:rPr>
        <w:t>Retail and wholesale electricity rates are genuinely dynamic (§8.6) and vary by sector, state, and day — the figures below are a cited point-in-time snapshot for illustration, not a value Stardust hardcodes. Live figures are pulled from the sources in §8.7.2 at the cadence described in §8.6.</w:t>
      </w:r>
    </w:p>
    <w:tbl>
      <w:tblPr>
        <w:tblStyle w:val="a8"/>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600"/>
        <w:gridCol w:w="4000"/>
      </w:tblGrid>
      <w:tr w:rsidR="0062357D" w14:paraId="4A0FCC9F" w14:textId="77777777">
        <w:trPr>
          <w:tblHeader/>
        </w:trPr>
        <w:tc>
          <w:tcPr>
            <w:tcW w:w="3400" w:type="dxa"/>
            <w:shd w:val="clear" w:color="auto" w:fill="1E7A4C"/>
            <w:tcMar>
              <w:top w:w="80" w:type="dxa"/>
              <w:left w:w="100" w:type="dxa"/>
              <w:bottom w:w="80" w:type="dxa"/>
              <w:right w:w="100" w:type="dxa"/>
            </w:tcMar>
          </w:tcPr>
          <w:p w14:paraId="0000016B" w14:textId="77777777" w:rsidR="0062357D" w:rsidRDefault="007E79DA">
            <w:r>
              <w:rPr>
                <w:b/>
                <w:bCs/>
                <w:color w:val="FFFFFF"/>
                <w:sz w:val="19"/>
                <w:szCs w:val="19"/>
              </w:rPr>
              <w:t>Sector / scope</w:t>
            </w:r>
          </w:p>
        </w:tc>
        <w:tc>
          <w:tcPr>
            <w:tcW w:w="2600" w:type="dxa"/>
            <w:shd w:val="clear" w:color="auto" w:fill="1E7A4C"/>
            <w:tcMar>
              <w:top w:w="80" w:type="dxa"/>
              <w:left w:w="100" w:type="dxa"/>
              <w:bottom w:w="80" w:type="dxa"/>
              <w:right w:w="100" w:type="dxa"/>
            </w:tcMar>
          </w:tcPr>
          <w:p w14:paraId="0000016C" w14:textId="77777777" w:rsidR="0062357D" w:rsidRDefault="007E79DA">
            <w:r>
              <w:rPr>
                <w:b/>
                <w:bCs/>
                <w:color w:val="FFFFFF"/>
                <w:sz w:val="19"/>
                <w:szCs w:val="19"/>
              </w:rPr>
              <w:t>Rate (¢/kWh)</w:t>
            </w:r>
          </w:p>
        </w:tc>
        <w:tc>
          <w:tcPr>
            <w:tcW w:w="4000" w:type="dxa"/>
            <w:shd w:val="clear" w:color="auto" w:fill="1E7A4C"/>
            <w:tcMar>
              <w:top w:w="80" w:type="dxa"/>
              <w:left w:w="100" w:type="dxa"/>
              <w:bottom w:w="80" w:type="dxa"/>
              <w:right w:w="100" w:type="dxa"/>
            </w:tcMar>
          </w:tcPr>
          <w:p w14:paraId="0000016D" w14:textId="77777777" w:rsidR="0062357D" w:rsidRDefault="007E79DA">
            <w:r>
              <w:rPr>
                <w:b/>
                <w:bCs/>
                <w:color w:val="FFFFFF"/>
                <w:sz w:val="19"/>
                <w:szCs w:val="19"/>
              </w:rPr>
              <w:t>Source</w:t>
            </w:r>
          </w:p>
        </w:tc>
      </w:tr>
      <w:tr w:rsidR="0062357D" w14:paraId="5B29CB79" w14:textId="77777777">
        <w:tc>
          <w:tcPr>
            <w:tcW w:w="3400" w:type="dxa"/>
            <w:tcMar>
              <w:top w:w="80" w:type="dxa"/>
              <w:left w:w="100" w:type="dxa"/>
              <w:bottom w:w="80" w:type="dxa"/>
              <w:right w:w="100" w:type="dxa"/>
            </w:tcMar>
          </w:tcPr>
          <w:p w14:paraId="0000016E" w14:textId="77777777" w:rsidR="0062357D" w:rsidRDefault="007E79DA">
            <w:r>
              <w:rPr>
                <w:sz w:val="19"/>
                <w:szCs w:val="19"/>
              </w:rPr>
              <w:t>U.S. all-sector average revenue per kWh</w:t>
            </w:r>
          </w:p>
        </w:tc>
        <w:tc>
          <w:tcPr>
            <w:tcW w:w="2600" w:type="dxa"/>
            <w:tcMar>
              <w:top w:w="80" w:type="dxa"/>
              <w:left w:w="100" w:type="dxa"/>
              <w:bottom w:w="80" w:type="dxa"/>
              <w:right w:w="100" w:type="dxa"/>
            </w:tcMar>
          </w:tcPr>
          <w:p w14:paraId="0000016F" w14:textId="77777777" w:rsidR="0062357D" w:rsidRDefault="007E79DA">
            <w:r>
              <w:rPr>
                <w:sz w:val="19"/>
                <w:szCs w:val="19"/>
              </w:rPr>
              <w:t>14.36 (Feb 2026)</w:t>
            </w:r>
          </w:p>
        </w:tc>
        <w:tc>
          <w:tcPr>
            <w:tcW w:w="4000" w:type="dxa"/>
            <w:tcMar>
              <w:top w:w="80" w:type="dxa"/>
              <w:left w:w="100" w:type="dxa"/>
              <w:bottom w:w="80" w:type="dxa"/>
              <w:right w:w="100" w:type="dxa"/>
            </w:tcMar>
          </w:tcPr>
          <w:p w14:paraId="00000170" w14:textId="77777777" w:rsidR="0062357D" w:rsidRDefault="007E79DA">
            <w:r>
              <w:rPr>
                <w:sz w:val="19"/>
                <w:szCs w:val="19"/>
              </w:rPr>
              <w:t>EIA, cited in Utility Dive (Apr 2026)</w:t>
            </w:r>
          </w:p>
        </w:tc>
      </w:tr>
      <w:tr w:rsidR="0062357D" w14:paraId="6D6FC762" w14:textId="77777777">
        <w:tc>
          <w:tcPr>
            <w:tcW w:w="3400" w:type="dxa"/>
            <w:tcMar>
              <w:top w:w="80" w:type="dxa"/>
              <w:left w:w="100" w:type="dxa"/>
              <w:bottom w:w="80" w:type="dxa"/>
              <w:right w:w="100" w:type="dxa"/>
            </w:tcMar>
          </w:tcPr>
          <w:p w14:paraId="00000171" w14:textId="77777777" w:rsidR="0062357D" w:rsidRDefault="007E79DA">
            <w:r>
              <w:rPr>
                <w:sz w:val="19"/>
                <w:szCs w:val="19"/>
              </w:rPr>
              <w:t>U.S. commercial average</w:t>
            </w:r>
          </w:p>
        </w:tc>
        <w:tc>
          <w:tcPr>
            <w:tcW w:w="2600" w:type="dxa"/>
            <w:tcMar>
              <w:top w:w="80" w:type="dxa"/>
              <w:left w:w="100" w:type="dxa"/>
              <w:bottom w:w="80" w:type="dxa"/>
              <w:right w:w="100" w:type="dxa"/>
            </w:tcMar>
          </w:tcPr>
          <w:p w14:paraId="00000172" w14:textId="77777777" w:rsidR="0062357D" w:rsidRDefault="007E79DA">
            <w:r>
              <w:rPr>
                <w:sz w:val="19"/>
                <w:szCs w:val="19"/>
              </w:rPr>
              <w:t>13.51 (Apr 2026)</w:t>
            </w:r>
          </w:p>
        </w:tc>
        <w:tc>
          <w:tcPr>
            <w:tcW w:w="4000" w:type="dxa"/>
            <w:tcMar>
              <w:top w:w="80" w:type="dxa"/>
              <w:left w:w="100" w:type="dxa"/>
              <w:bottom w:w="80" w:type="dxa"/>
              <w:right w:w="100" w:type="dxa"/>
            </w:tcMar>
          </w:tcPr>
          <w:p w14:paraId="00000173" w14:textId="77777777" w:rsidR="0062357D" w:rsidRDefault="007E79DA">
            <w:r>
              <w:rPr>
                <w:sz w:val="19"/>
                <w:szCs w:val="19"/>
              </w:rPr>
              <w:t>EIA Electric Power Monthly, Table 5.6.A</w:t>
            </w:r>
          </w:p>
        </w:tc>
      </w:tr>
      <w:tr w:rsidR="0062357D" w14:paraId="7440E00D" w14:textId="77777777">
        <w:tc>
          <w:tcPr>
            <w:tcW w:w="3400" w:type="dxa"/>
            <w:tcMar>
              <w:top w:w="80" w:type="dxa"/>
              <w:left w:w="100" w:type="dxa"/>
              <w:bottom w:w="80" w:type="dxa"/>
              <w:right w:w="100" w:type="dxa"/>
            </w:tcMar>
          </w:tcPr>
          <w:p w14:paraId="00000174" w14:textId="77777777" w:rsidR="0062357D" w:rsidRDefault="007E79DA">
            <w:r>
              <w:rPr>
                <w:sz w:val="19"/>
                <w:szCs w:val="19"/>
              </w:rPr>
              <w:t>U.S. industrial average</w:t>
            </w:r>
          </w:p>
        </w:tc>
        <w:tc>
          <w:tcPr>
            <w:tcW w:w="2600" w:type="dxa"/>
            <w:tcMar>
              <w:top w:w="80" w:type="dxa"/>
              <w:left w:w="100" w:type="dxa"/>
              <w:bottom w:w="80" w:type="dxa"/>
              <w:right w:w="100" w:type="dxa"/>
            </w:tcMar>
          </w:tcPr>
          <w:p w14:paraId="00000175" w14:textId="77777777" w:rsidR="0062357D" w:rsidRDefault="007E79DA">
            <w:r>
              <w:rPr>
                <w:sz w:val="19"/>
                <w:szCs w:val="19"/>
              </w:rPr>
              <w:t>8.66 (mid-2026)</w:t>
            </w:r>
          </w:p>
        </w:tc>
        <w:tc>
          <w:tcPr>
            <w:tcW w:w="4000" w:type="dxa"/>
            <w:tcMar>
              <w:top w:w="80" w:type="dxa"/>
              <w:left w:w="100" w:type="dxa"/>
              <w:bottom w:w="80" w:type="dxa"/>
              <w:right w:w="100" w:type="dxa"/>
            </w:tcMar>
          </w:tcPr>
          <w:p w14:paraId="00000176" w14:textId="77777777" w:rsidR="0062357D" w:rsidRDefault="007E79DA">
            <w:r>
              <w:rPr>
                <w:sz w:val="19"/>
                <w:szCs w:val="19"/>
              </w:rPr>
              <w:t>EIA Electricity Retail Sales, Form EIA-826</w:t>
            </w:r>
          </w:p>
        </w:tc>
      </w:tr>
      <w:tr w:rsidR="0062357D" w14:paraId="77E050AD" w14:textId="77777777">
        <w:tc>
          <w:tcPr>
            <w:tcW w:w="3400" w:type="dxa"/>
            <w:tcMar>
              <w:top w:w="80" w:type="dxa"/>
              <w:left w:w="100" w:type="dxa"/>
              <w:bottom w:w="80" w:type="dxa"/>
              <w:right w:w="100" w:type="dxa"/>
            </w:tcMar>
          </w:tcPr>
          <w:p w14:paraId="00000177" w14:textId="77777777" w:rsidR="0062357D" w:rsidRDefault="007E79DA">
            <w:r>
              <w:rPr>
                <w:sz w:val="19"/>
                <w:szCs w:val="19"/>
              </w:rPr>
              <w:t>U.S. residential average</w:t>
            </w:r>
          </w:p>
        </w:tc>
        <w:tc>
          <w:tcPr>
            <w:tcW w:w="2600" w:type="dxa"/>
            <w:tcMar>
              <w:top w:w="80" w:type="dxa"/>
              <w:left w:w="100" w:type="dxa"/>
              <w:bottom w:w="80" w:type="dxa"/>
              <w:right w:w="100" w:type="dxa"/>
            </w:tcMar>
          </w:tcPr>
          <w:p w14:paraId="00000178" w14:textId="77777777" w:rsidR="0062357D" w:rsidRDefault="007E79DA">
            <w:r>
              <w:rPr>
                <w:sz w:val="19"/>
                <w:szCs w:val="19"/>
              </w:rPr>
              <w:t>18.44 (May 2026)</w:t>
            </w:r>
          </w:p>
        </w:tc>
        <w:tc>
          <w:tcPr>
            <w:tcW w:w="4000" w:type="dxa"/>
            <w:tcMar>
              <w:top w:w="80" w:type="dxa"/>
              <w:left w:w="100" w:type="dxa"/>
              <w:bottom w:w="80" w:type="dxa"/>
              <w:right w:w="100" w:type="dxa"/>
            </w:tcMar>
          </w:tcPr>
          <w:p w14:paraId="00000179" w14:textId="77777777" w:rsidR="0062357D" w:rsidRDefault="007E79DA">
            <w:r>
              <w:rPr>
                <w:sz w:val="19"/>
                <w:szCs w:val="19"/>
              </w:rPr>
              <w:t>EIA, cited in Choose Energy state rate report</w:t>
            </w:r>
          </w:p>
        </w:tc>
      </w:tr>
      <w:tr w:rsidR="0062357D" w14:paraId="7383E3B9" w14:textId="77777777">
        <w:tc>
          <w:tcPr>
            <w:tcW w:w="3400" w:type="dxa"/>
            <w:tcMar>
              <w:top w:w="80" w:type="dxa"/>
              <w:left w:w="100" w:type="dxa"/>
              <w:bottom w:w="80" w:type="dxa"/>
              <w:right w:w="100" w:type="dxa"/>
            </w:tcMar>
          </w:tcPr>
          <w:p w14:paraId="0000017A" w14:textId="77777777" w:rsidR="0062357D" w:rsidRDefault="007E79DA">
            <w:r>
              <w:rPr>
                <w:sz w:val="19"/>
                <w:szCs w:val="19"/>
              </w:rPr>
              <w:t>U.S. state range (commercial)</w:t>
            </w:r>
          </w:p>
        </w:tc>
        <w:tc>
          <w:tcPr>
            <w:tcW w:w="2600" w:type="dxa"/>
            <w:tcMar>
              <w:top w:w="80" w:type="dxa"/>
              <w:left w:w="100" w:type="dxa"/>
              <w:bottom w:w="80" w:type="dxa"/>
              <w:right w:w="100" w:type="dxa"/>
            </w:tcMar>
          </w:tcPr>
          <w:p w14:paraId="0000017B" w14:textId="77777777" w:rsidR="0062357D" w:rsidRDefault="007E79DA">
            <w:sdt>
              <w:sdtPr>
                <w:tag w:val="goog_rdk_12"/>
                <w:id w:val="-268917811"/>
              </w:sdtPr>
              <w:sdtEndPr/>
              <w:sdtContent>
                <w:r>
                  <w:rPr>
                    <w:rFonts w:ascii="Gungsuh" w:eastAsia="Gungsuh" w:hAnsi="Gungsuh" w:cs="Gungsuh"/>
                    <w:sz w:val="19"/>
                    <w:szCs w:val="19"/>
                  </w:rPr>
                  <w:t>7.05 (North Dakota) – ≈ 43 (Hawaii)</w:t>
                </w:r>
              </w:sdtContent>
            </w:sdt>
          </w:p>
        </w:tc>
        <w:tc>
          <w:tcPr>
            <w:tcW w:w="4000" w:type="dxa"/>
            <w:tcMar>
              <w:top w:w="80" w:type="dxa"/>
              <w:left w:w="100" w:type="dxa"/>
              <w:bottom w:w="80" w:type="dxa"/>
              <w:right w:w="100" w:type="dxa"/>
            </w:tcMar>
          </w:tcPr>
          <w:p w14:paraId="0000017C" w14:textId="77777777" w:rsidR="0062357D" w:rsidRDefault="007E79DA">
            <w:r>
              <w:rPr>
                <w:sz w:val="19"/>
                <w:szCs w:val="19"/>
              </w:rPr>
              <w:t>EIA Electric Power Monthly, Table 5.6.A (Apr 2026)</w:t>
            </w:r>
          </w:p>
        </w:tc>
      </w:tr>
    </w:tbl>
    <w:p w14:paraId="0000017D" w14:textId="77777777" w:rsidR="0062357D" w:rsidRDefault="0062357D">
      <w:pPr>
        <w:spacing w:after="140"/>
      </w:pPr>
    </w:p>
    <w:p w14:paraId="0000017E" w14:textId="77777777" w:rsidR="0062357D" w:rsidRDefault="007E79DA">
      <w:pPr>
        <w:numPr>
          <w:ilvl w:val="0"/>
          <w:numId w:val="1"/>
        </w:numPr>
        <w:pBdr>
          <w:top w:val="nil"/>
          <w:left w:val="nil"/>
          <w:bottom w:val="nil"/>
          <w:right w:val="nil"/>
          <w:between w:val="nil"/>
        </w:pBdr>
        <w:spacing w:after="60"/>
      </w:pPr>
      <w:r>
        <w:rPr>
          <w:color w:val="000000"/>
          <w:sz w:val="21"/>
          <w:szCs w:val="21"/>
        </w:rPr>
        <w:t>The wide U.S. state-level spread (roughly 6× between the lowest and highest commercial rates) is itself a reason cost tier and Impact Grade are computed from region-specific factors (§8.5) rather than a single national average.</w:t>
      </w:r>
    </w:p>
    <w:p w14:paraId="0000017F" w14:textId="77777777" w:rsidR="0062357D" w:rsidRDefault="007E79DA">
      <w:pPr>
        <w:pStyle w:val="Heading3"/>
        <w:spacing w:before="200" w:after="100"/>
      </w:pPr>
      <w:r>
        <w:rPr>
          <w:b/>
          <w:bCs/>
          <w:color w:val="333333"/>
          <w:sz w:val="21"/>
          <w:szCs w:val="21"/>
        </w:rPr>
        <w:t>8.7.3 Energy-source and generation-mix sources</w:t>
      </w:r>
    </w:p>
    <w:p w14:paraId="00000180"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Electricity Maps' Power Breakdown API — real-time and historical electricity generation mix and carbon intensity for 200+ regions worldwide, using a flow-tracing methodology that accounts for cross-border electricity flows; the primary intended source for populating the Energy Source Code (§5.3) and the </w:t>
      </w:r>
      <w:proofErr w:type="spellStart"/>
      <w:r>
        <w:rPr>
          <w:color w:val="000000"/>
          <w:sz w:val="21"/>
          <w:szCs w:val="21"/>
        </w:rPr>
        <w:t>energy_mix_breakdown</w:t>
      </w:r>
      <w:proofErr w:type="spellEnd"/>
      <w:r>
        <w:rPr>
          <w:color w:val="000000"/>
          <w:sz w:val="21"/>
          <w:szCs w:val="21"/>
        </w:rPr>
        <w:t xml:space="preserve"> field (§7) at the region/timestamp level.</w:t>
      </w:r>
    </w:p>
    <w:p w14:paraId="00000181" w14:textId="77777777" w:rsidR="0062357D" w:rsidRDefault="007E79DA">
      <w:pPr>
        <w:numPr>
          <w:ilvl w:val="0"/>
          <w:numId w:val="1"/>
        </w:numPr>
        <w:pBdr>
          <w:top w:val="nil"/>
          <w:left w:val="nil"/>
          <w:bottom w:val="nil"/>
          <w:right w:val="nil"/>
          <w:between w:val="nil"/>
        </w:pBdr>
        <w:spacing w:after="60"/>
      </w:pPr>
      <w:proofErr w:type="spellStart"/>
      <w:r>
        <w:rPr>
          <w:color w:val="000000"/>
          <w:sz w:val="21"/>
          <w:szCs w:val="21"/>
        </w:rPr>
        <w:t>WattTime's</w:t>
      </w:r>
      <w:proofErr w:type="spellEnd"/>
      <w:r>
        <w:rPr>
          <w:color w:val="000000"/>
          <w:sz w:val="21"/>
          <w:szCs w:val="21"/>
        </w:rPr>
        <w:t xml:space="preserve"> Data API — real-time marginal emissions signals (which generation source responds to a marginal change in demand), a complementary source for time-of-request accuracy beyond the average grid mix.</w:t>
      </w:r>
    </w:p>
    <w:p w14:paraId="00000182" w14:textId="77777777" w:rsidR="0062357D" w:rsidRDefault="007E79DA">
      <w:pPr>
        <w:numPr>
          <w:ilvl w:val="0"/>
          <w:numId w:val="1"/>
        </w:numPr>
        <w:pBdr>
          <w:top w:val="nil"/>
          <w:left w:val="nil"/>
          <w:bottom w:val="nil"/>
          <w:right w:val="nil"/>
          <w:between w:val="nil"/>
        </w:pBdr>
        <w:spacing w:after="60"/>
      </w:pPr>
      <w:r>
        <w:rPr>
          <w:color w:val="000000"/>
          <w:sz w:val="21"/>
          <w:szCs w:val="21"/>
        </w:rPr>
        <w:t>EIA plant-level generation and fuel-type data (from EIA-923 and EIA-860 filings) — the underlying source for U.S. regional generation-by-fuel-type figures where a live feed isn't used.</w:t>
      </w:r>
    </w:p>
    <w:p w14:paraId="00000183"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National or regional grid-operator APIs (e.g. Spain's Red </w:t>
      </w:r>
      <w:proofErr w:type="spellStart"/>
      <w:r>
        <w:rPr>
          <w:color w:val="000000"/>
          <w:sz w:val="21"/>
          <w:szCs w:val="21"/>
        </w:rPr>
        <w:t>Eléctrica</w:t>
      </w:r>
      <w:proofErr w:type="spellEnd"/>
      <w:r>
        <w:rPr>
          <w:color w:val="000000"/>
          <w:sz w:val="21"/>
          <w:szCs w:val="21"/>
        </w:rPr>
        <w:t xml:space="preserve"> generation-mix data) are added region by region as they're identified, following the same versioned-configuration approach as the rest of §8.</w:t>
      </w:r>
    </w:p>
    <w:p w14:paraId="00000184" w14:textId="77777777" w:rsidR="0062357D" w:rsidRDefault="007E79DA">
      <w:pPr>
        <w:numPr>
          <w:ilvl w:val="0"/>
          <w:numId w:val="1"/>
        </w:numPr>
        <w:pBdr>
          <w:top w:val="nil"/>
          <w:left w:val="nil"/>
          <w:bottom w:val="nil"/>
          <w:right w:val="nil"/>
          <w:between w:val="nil"/>
        </w:pBdr>
        <w:spacing w:after="60"/>
      </w:pPr>
      <w:r>
        <w:rPr>
          <w:color w:val="000000"/>
          <w:sz w:val="21"/>
          <w:szCs w:val="21"/>
        </w:rPr>
        <w:t>All sources above are swappable, versioned inputs to the methodology engine (§8.4), not hardcoded constants; the published methodology documents which source backs any given figure so a user or reviewer can trace it, consistent with the transparency goal in §8.4 and §17.4.</w:t>
      </w:r>
    </w:p>
    <w:p w14:paraId="7B000001" w14:textId="77777777" w:rsidR="0062357D" w:rsidRDefault="007E79DA">
      <w:pPr>
        <w:pStyle w:val="Heading2"/>
        <w:spacing w:before="280" w:after="120"/>
      </w:pPr>
      <w:r>
        <w:rPr>
          <w:b/>
          <w:bCs/>
          <w:color w:val="1E7A4C"/>
          <w:sz w:val="24"/>
          <w:szCs w:val="24"/>
        </w:rPr>
        <w:t>8.8 Lifecycle Emission Components: Training, Inference, and Hardware</w:t>
      </w:r>
    </w:p>
    <w:p w14:paraId="7B000002" w14:textId="77777777" w:rsidR="0062357D" w:rsidRDefault="007E79DA">
      <w:pPr>
        <w:spacing w:after="140"/>
      </w:pPr>
      <w:r>
        <w:rPr>
          <w:sz w:val="21"/>
          <w:szCs w:val="21"/>
        </w:rPr>
        <w:t>AI emissions come from three distinct sources that behave differently and must not be blended into a single figure: inference (operational energy per call), training (a one-time cost incurred before the model serves any call), and hardware (embodied emissions from manufacturing chips and servers and building facilities). Facility overhead is tracked as a fourth, operational component. Stardust meters each component separately, with its own method and confidence tag, and only then sums them.</w:t>
      </w:r>
    </w:p>
    <w:p w14:paraId="7B000003" w14:textId="77777777" w:rsidR="0062357D" w:rsidRDefault="007E79DA">
      <w:pPr>
        <w:pStyle w:val="Heading3"/>
        <w:spacing w:before="200" w:after="100"/>
      </w:pPr>
      <w:r>
        <w:rPr>
          <w:b/>
          <w:bCs/>
          <w:color w:val="333333"/>
          <w:sz w:val="21"/>
          <w:szCs w:val="21"/>
        </w:rPr>
        <w:t>8.8.1 Component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25C4192F" w14:textId="77777777">
        <w:trPr>
          <w:tblHeader/>
        </w:trPr>
        <w:tc>
          <w:tcPr>
            <w:tcW w:w="960" w:type="dxa"/>
            <w:shd w:val="clear" w:color="auto" w:fill="1E7A4C"/>
            <w:tcMar>
              <w:top w:w="80" w:type="dxa"/>
              <w:left w:w="100" w:type="dxa"/>
              <w:bottom w:w="80" w:type="dxa"/>
              <w:right w:w="100" w:type="dxa"/>
            </w:tcMar>
          </w:tcPr>
          <w:p w14:paraId="7B000004"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7B000005"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7B000006"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7B000007"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7B000008"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7B000009" w14:textId="77777777" w:rsidR="0062357D" w:rsidRDefault="007E79DA">
            <w:r>
              <w:rPr>
                <w:b/>
                <w:bCs/>
                <w:color w:val="FFFFFF"/>
                <w:sz w:val="19"/>
                <w:szCs w:val="19"/>
              </w:rPr>
              <w:t>Confidence</w:t>
            </w:r>
          </w:p>
        </w:tc>
      </w:tr>
      <w:tr w:rsidR="0062357D" w14:paraId="6F06E5FB" w14:textId="77777777">
        <w:trPr>
          <w:cantSplit/>
        </w:trPr>
        <w:tc>
          <w:tcPr>
            <w:tcW w:w="960" w:type="dxa"/>
            <w:tcMar>
              <w:top w:w="80" w:type="dxa"/>
              <w:left w:w="100" w:type="dxa"/>
              <w:bottom w:w="80" w:type="dxa"/>
              <w:right w:w="100" w:type="dxa"/>
            </w:tcMar>
          </w:tcPr>
          <w:p w14:paraId="7B00000A" w14:textId="77777777" w:rsidR="0062357D" w:rsidRDefault="007E79DA">
            <w:r>
              <w:rPr>
                <w:sz w:val="19"/>
                <w:szCs w:val="19"/>
              </w:rPr>
              <w:t>OPE</w:t>
            </w:r>
          </w:p>
        </w:tc>
        <w:tc>
          <w:tcPr>
            <w:tcW w:w="2240" w:type="dxa"/>
            <w:tcMar>
              <w:top w:w="80" w:type="dxa"/>
              <w:left w:w="100" w:type="dxa"/>
              <w:bottom w:w="80" w:type="dxa"/>
              <w:right w:w="100" w:type="dxa"/>
            </w:tcMar>
          </w:tcPr>
          <w:p w14:paraId="7B00000B" w14:textId="77777777" w:rsidR="0062357D" w:rsidRDefault="007E79DA">
            <w:r>
              <w:rPr>
                <w:sz w:val="19"/>
                <w:szCs w:val="19"/>
              </w:rPr>
              <w:t>Operational Inference Emissions</w:t>
            </w:r>
          </w:p>
        </w:tc>
        <w:tc>
          <w:tcPr>
            <w:tcW w:w="2720" w:type="dxa"/>
            <w:tcMar>
              <w:top w:w="80" w:type="dxa"/>
              <w:left w:w="100" w:type="dxa"/>
              <w:bottom w:w="80" w:type="dxa"/>
              <w:right w:w="100" w:type="dxa"/>
            </w:tcMar>
          </w:tcPr>
          <w:p w14:paraId="7B00000C" w14:textId="77777777" w:rsidR="0062357D" w:rsidRDefault="007E79DA">
            <w:r>
              <w:rPr>
                <w:sz w:val="19"/>
                <w:szCs w:val="19"/>
              </w:rPr>
              <w:t>Chip and server energy for the call multiplied by grid carbon intensity at run time (§8.5–§8.6)</w:t>
            </w:r>
          </w:p>
        </w:tc>
        <w:tc>
          <w:tcPr>
            <w:tcW w:w="1280" w:type="dxa"/>
            <w:tcMar>
              <w:top w:w="80" w:type="dxa"/>
              <w:left w:w="100" w:type="dxa"/>
              <w:bottom w:w="80" w:type="dxa"/>
              <w:right w:w="100" w:type="dxa"/>
            </w:tcMar>
          </w:tcPr>
          <w:p w14:paraId="7B00000D" w14:textId="77777777" w:rsidR="0062357D" w:rsidRDefault="007E79DA">
            <w:r>
              <w:rPr>
                <w:sz w:val="19"/>
                <w:szCs w:val="19"/>
              </w:rPr>
              <w:t>gCO2e</w:t>
            </w:r>
          </w:p>
        </w:tc>
        <w:tc>
          <w:tcPr>
            <w:tcW w:w="1280" w:type="dxa"/>
            <w:tcMar>
              <w:top w:w="80" w:type="dxa"/>
              <w:left w:w="100" w:type="dxa"/>
              <w:bottom w:w="80" w:type="dxa"/>
              <w:right w:w="100" w:type="dxa"/>
            </w:tcMar>
          </w:tcPr>
          <w:p w14:paraId="7B00000E" w14:textId="77777777" w:rsidR="0062357D" w:rsidRDefault="007E79DA">
            <w:r>
              <w:rPr>
                <w:sz w:val="19"/>
                <w:szCs w:val="19"/>
              </w:rPr>
              <w:t>Per call</w:t>
            </w:r>
          </w:p>
        </w:tc>
        <w:tc>
          <w:tcPr>
            <w:tcW w:w="1120" w:type="dxa"/>
            <w:tcMar>
              <w:top w:w="80" w:type="dxa"/>
              <w:left w:w="100" w:type="dxa"/>
              <w:bottom w:w="80" w:type="dxa"/>
              <w:right w:w="100" w:type="dxa"/>
            </w:tcMar>
          </w:tcPr>
          <w:p w14:paraId="7B00000F" w14:textId="77777777" w:rsidR="0062357D" w:rsidRDefault="007E79DA">
            <w:r>
              <w:rPr>
                <w:sz w:val="19"/>
                <w:szCs w:val="19"/>
              </w:rPr>
              <w:t>Measured / modeled</w:t>
            </w:r>
          </w:p>
        </w:tc>
      </w:tr>
      <w:tr w:rsidR="0062357D" w14:paraId="76B1BA14" w14:textId="77777777">
        <w:trPr>
          <w:cantSplit/>
        </w:trPr>
        <w:tc>
          <w:tcPr>
            <w:tcW w:w="960" w:type="dxa"/>
            <w:tcMar>
              <w:top w:w="80" w:type="dxa"/>
              <w:left w:w="100" w:type="dxa"/>
              <w:bottom w:w="80" w:type="dxa"/>
              <w:right w:w="100" w:type="dxa"/>
            </w:tcMar>
          </w:tcPr>
          <w:p w14:paraId="7B000010" w14:textId="77777777" w:rsidR="0062357D" w:rsidRDefault="007E79DA">
            <w:r>
              <w:rPr>
                <w:sz w:val="19"/>
                <w:szCs w:val="19"/>
              </w:rPr>
              <w:t>FAC</w:t>
            </w:r>
          </w:p>
        </w:tc>
        <w:tc>
          <w:tcPr>
            <w:tcW w:w="2240" w:type="dxa"/>
            <w:tcMar>
              <w:top w:w="80" w:type="dxa"/>
              <w:left w:w="100" w:type="dxa"/>
              <w:bottom w:w="80" w:type="dxa"/>
              <w:right w:w="100" w:type="dxa"/>
            </w:tcMar>
          </w:tcPr>
          <w:p w14:paraId="7B000011" w14:textId="77777777" w:rsidR="0062357D" w:rsidRDefault="007E79DA">
            <w:r>
              <w:rPr>
                <w:sz w:val="19"/>
                <w:szCs w:val="19"/>
              </w:rPr>
              <w:t>Facility Overhead Emissions</w:t>
            </w:r>
          </w:p>
        </w:tc>
        <w:tc>
          <w:tcPr>
            <w:tcW w:w="2720" w:type="dxa"/>
            <w:tcMar>
              <w:top w:w="80" w:type="dxa"/>
              <w:left w:w="100" w:type="dxa"/>
              <w:bottom w:w="80" w:type="dxa"/>
              <w:right w:w="100" w:type="dxa"/>
            </w:tcMar>
          </w:tcPr>
          <w:p w14:paraId="7B000012" w14:textId="77777777" w:rsidR="0062357D" w:rsidRDefault="007E79DA">
            <w:r>
              <w:rPr>
                <w:sz w:val="19"/>
                <w:szCs w:val="19"/>
              </w:rPr>
              <w:t>Cooling, power conversion and other data-center overhead, derived from OPE and the facility PUE</w:t>
            </w:r>
          </w:p>
        </w:tc>
        <w:tc>
          <w:tcPr>
            <w:tcW w:w="1280" w:type="dxa"/>
            <w:tcMar>
              <w:top w:w="80" w:type="dxa"/>
              <w:left w:w="100" w:type="dxa"/>
              <w:bottom w:w="80" w:type="dxa"/>
              <w:right w:w="100" w:type="dxa"/>
            </w:tcMar>
          </w:tcPr>
          <w:p w14:paraId="7B000013" w14:textId="77777777" w:rsidR="0062357D" w:rsidRDefault="007E79DA">
            <w:r>
              <w:rPr>
                <w:sz w:val="19"/>
                <w:szCs w:val="19"/>
              </w:rPr>
              <w:t>gCO2e</w:t>
            </w:r>
          </w:p>
        </w:tc>
        <w:tc>
          <w:tcPr>
            <w:tcW w:w="1280" w:type="dxa"/>
            <w:tcMar>
              <w:top w:w="80" w:type="dxa"/>
              <w:left w:w="100" w:type="dxa"/>
              <w:bottom w:w="80" w:type="dxa"/>
              <w:right w:w="100" w:type="dxa"/>
            </w:tcMar>
          </w:tcPr>
          <w:p w14:paraId="7B000014" w14:textId="77777777" w:rsidR="0062357D" w:rsidRDefault="007E79DA">
            <w:r>
              <w:rPr>
                <w:sz w:val="19"/>
                <w:szCs w:val="19"/>
              </w:rPr>
              <w:t>Per call</w:t>
            </w:r>
          </w:p>
        </w:tc>
        <w:tc>
          <w:tcPr>
            <w:tcW w:w="1120" w:type="dxa"/>
            <w:tcMar>
              <w:top w:w="80" w:type="dxa"/>
              <w:left w:w="100" w:type="dxa"/>
              <w:bottom w:w="80" w:type="dxa"/>
              <w:right w:w="100" w:type="dxa"/>
            </w:tcMar>
          </w:tcPr>
          <w:p w14:paraId="7B000015" w14:textId="77777777" w:rsidR="0062357D" w:rsidRDefault="007E79DA">
            <w:r>
              <w:rPr>
                <w:sz w:val="19"/>
                <w:szCs w:val="19"/>
              </w:rPr>
              <w:t>Modeled</w:t>
            </w:r>
          </w:p>
        </w:tc>
      </w:tr>
      <w:tr w:rsidR="0062357D" w14:paraId="1B3C80B0" w14:textId="77777777">
        <w:trPr>
          <w:cantSplit/>
        </w:trPr>
        <w:tc>
          <w:tcPr>
            <w:tcW w:w="960" w:type="dxa"/>
            <w:tcMar>
              <w:top w:w="80" w:type="dxa"/>
              <w:left w:w="100" w:type="dxa"/>
              <w:bottom w:w="80" w:type="dxa"/>
              <w:right w:w="100" w:type="dxa"/>
            </w:tcMar>
          </w:tcPr>
          <w:p w14:paraId="7B000016" w14:textId="77777777" w:rsidR="0062357D" w:rsidRDefault="007E79DA">
            <w:r>
              <w:rPr>
                <w:sz w:val="19"/>
                <w:szCs w:val="19"/>
              </w:rPr>
              <w:t>TRA</w:t>
            </w:r>
          </w:p>
        </w:tc>
        <w:tc>
          <w:tcPr>
            <w:tcW w:w="2240" w:type="dxa"/>
            <w:tcMar>
              <w:top w:w="80" w:type="dxa"/>
              <w:left w:w="100" w:type="dxa"/>
              <w:bottom w:w="80" w:type="dxa"/>
              <w:right w:w="100" w:type="dxa"/>
            </w:tcMar>
          </w:tcPr>
          <w:p w14:paraId="7B000017" w14:textId="77777777" w:rsidR="0062357D" w:rsidRDefault="007E79DA">
            <w:r>
              <w:rPr>
                <w:sz w:val="19"/>
                <w:szCs w:val="19"/>
              </w:rPr>
              <w:t>Amortized Training Emissions</w:t>
            </w:r>
          </w:p>
        </w:tc>
        <w:tc>
          <w:tcPr>
            <w:tcW w:w="2720" w:type="dxa"/>
            <w:tcMar>
              <w:top w:w="80" w:type="dxa"/>
              <w:left w:w="100" w:type="dxa"/>
              <w:bottom w:w="80" w:type="dxa"/>
              <w:right w:w="100" w:type="dxa"/>
            </w:tcMar>
          </w:tcPr>
          <w:p w14:paraId="7B000018" w14:textId="77777777" w:rsidR="0062357D" w:rsidRDefault="007E79DA">
            <w:r>
              <w:rPr>
                <w:sz w:val="19"/>
                <w:szCs w:val="19"/>
              </w:rPr>
              <w:t>The call’s share of the model’s total training emissions, amortized over lifetime token throughput</w:t>
            </w:r>
          </w:p>
        </w:tc>
        <w:tc>
          <w:tcPr>
            <w:tcW w:w="1280" w:type="dxa"/>
            <w:tcMar>
              <w:top w:w="80" w:type="dxa"/>
              <w:left w:w="100" w:type="dxa"/>
              <w:bottom w:w="80" w:type="dxa"/>
              <w:right w:w="100" w:type="dxa"/>
            </w:tcMar>
          </w:tcPr>
          <w:p w14:paraId="7B000019" w14:textId="77777777" w:rsidR="0062357D" w:rsidRDefault="007E79DA">
            <w:r>
              <w:rPr>
                <w:sz w:val="19"/>
                <w:szCs w:val="19"/>
              </w:rPr>
              <w:t>gCO2e</w:t>
            </w:r>
          </w:p>
        </w:tc>
        <w:tc>
          <w:tcPr>
            <w:tcW w:w="1280" w:type="dxa"/>
            <w:tcMar>
              <w:top w:w="80" w:type="dxa"/>
              <w:left w:w="100" w:type="dxa"/>
              <w:bottom w:w="80" w:type="dxa"/>
              <w:right w:w="100" w:type="dxa"/>
            </w:tcMar>
          </w:tcPr>
          <w:p w14:paraId="7B00001A" w14:textId="77777777" w:rsidR="0062357D" w:rsidRDefault="007E79DA">
            <w:r>
              <w:rPr>
                <w:sz w:val="19"/>
                <w:szCs w:val="19"/>
              </w:rPr>
              <w:t>Per call</w:t>
            </w:r>
          </w:p>
        </w:tc>
        <w:tc>
          <w:tcPr>
            <w:tcW w:w="1120" w:type="dxa"/>
            <w:tcMar>
              <w:top w:w="80" w:type="dxa"/>
              <w:left w:w="100" w:type="dxa"/>
              <w:bottom w:w="80" w:type="dxa"/>
              <w:right w:w="100" w:type="dxa"/>
            </w:tcMar>
          </w:tcPr>
          <w:p w14:paraId="7B00001B" w14:textId="77777777" w:rsidR="0062357D" w:rsidRDefault="007E79DA">
            <w:r>
              <w:rPr>
                <w:sz w:val="19"/>
                <w:szCs w:val="19"/>
              </w:rPr>
              <w:t>Estimated</w:t>
            </w:r>
          </w:p>
        </w:tc>
      </w:tr>
      <w:tr w:rsidR="0062357D" w14:paraId="7B21974E" w14:textId="77777777">
        <w:trPr>
          <w:cantSplit/>
        </w:trPr>
        <w:tc>
          <w:tcPr>
            <w:tcW w:w="960" w:type="dxa"/>
            <w:tcMar>
              <w:top w:w="80" w:type="dxa"/>
              <w:left w:w="100" w:type="dxa"/>
              <w:bottom w:w="80" w:type="dxa"/>
              <w:right w:w="100" w:type="dxa"/>
            </w:tcMar>
          </w:tcPr>
          <w:p w14:paraId="7B00001C" w14:textId="77777777" w:rsidR="0062357D" w:rsidRDefault="007E79DA">
            <w:r>
              <w:rPr>
                <w:sz w:val="19"/>
                <w:szCs w:val="19"/>
              </w:rPr>
              <w:t>EMB</w:t>
            </w:r>
          </w:p>
        </w:tc>
        <w:tc>
          <w:tcPr>
            <w:tcW w:w="2240" w:type="dxa"/>
            <w:tcMar>
              <w:top w:w="80" w:type="dxa"/>
              <w:left w:w="100" w:type="dxa"/>
              <w:bottom w:w="80" w:type="dxa"/>
              <w:right w:w="100" w:type="dxa"/>
            </w:tcMar>
          </w:tcPr>
          <w:p w14:paraId="7B00001D" w14:textId="77777777" w:rsidR="0062357D" w:rsidRDefault="007E79DA">
            <w:r>
              <w:rPr>
                <w:sz w:val="19"/>
                <w:szCs w:val="19"/>
              </w:rPr>
              <w:t>Embodied Hardware Emissions</w:t>
            </w:r>
          </w:p>
        </w:tc>
        <w:tc>
          <w:tcPr>
            <w:tcW w:w="2720" w:type="dxa"/>
            <w:tcMar>
              <w:top w:w="80" w:type="dxa"/>
              <w:left w:w="100" w:type="dxa"/>
              <w:bottom w:w="80" w:type="dxa"/>
              <w:right w:w="100" w:type="dxa"/>
            </w:tcMar>
          </w:tcPr>
          <w:p w14:paraId="7B00001E" w14:textId="77777777" w:rsidR="0062357D" w:rsidRDefault="007E79DA">
            <w:r>
              <w:rPr>
                <w:sz w:val="19"/>
                <w:szCs w:val="19"/>
              </w:rPr>
              <w:t>The call’s share of manufacturing and construction emissions for the accelerators, servers and facility it used</w:t>
            </w:r>
          </w:p>
        </w:tc>
        <w:tc>
          <w:tcPr>
            <w:tcW w:w="1280" w:type="dxa"/>
            <w:tcMar>
              <w:top w:w="80" w:type="dxa"/>
              <w:left w:w="100" w:type="dxa"/>
              <w:bottom w:w="80" w:type="dxa"/>
              <w:right w:w="100" w:type="dxa"/>
            </w:tcMar>
          </w:tcPr>
          <w:p w14:paraId="7B00001F" w14:textId="77777777" w:rsidR="0062357D" w:rsidRDefault="007E79DA">
            <w:r>
              <w:rPr>
                <w:sz w:val="19"/>
                <w:szCs w:val="19"/>
              </w:rPr>
              <w:t>gCO2e</w:t>
            </w:r>
          </w:p>
        </w:tc>
        <w:tc>
          <w:tcPr>
            <w:tcW w:w="1280" w:type="dxa"/>
            <w:tcMar>
              <w:top w:w="80" w:type="dxa"/>
              <w:left w:w="100" w:type="dxa"/>
              <w:bottom w:w="80" w:type="dxa"/>
              <w:right w:w="100" w:type="dxa"/>
            </w:tcMar>
          </w:tcPr>
          <w:p w14:paraId="7B000020" w14:textId="77777777" w:rsidR="0062357D" w:rsidRDefault="007E79DA">
            <w:r>
              <w:rPr>
                <w:sz w:val="19"/>
                <w:szCs w:val="19"/>
              </w:rPr>
              <w:t>Per call</w:t>
            </w:r>
          </w:p>
        </w:tc>
        <w:tc>
          <w:tcPr>
            <w:tcW w:w="1120" w:type="dxa"/>
            <w:tcMar>
              <w:top w:w="80" w:type="dxa"/>
              <w:left w:w="100" w:type="dxa"/>
              <w:bottom w:w="80" w:type="dxa"/>
              <w:right w:w="100" w:type="dxa"/>
            </w:tcMar>
          </w:tcPr>
          <w:p w14:paraId="7B000021" w14:textId="77777777" w:rsidR="0062357D" w:rsidRDefault="007E79DA">
            <w:r>
              <w:rPr>
                <w:sz w:val="19"/>
                <w:szCs w:val="19"/>
              </w:rPr>
              <w:t>Estimated</w:t>
            </w:r>
          </w:p>
        </w:tc>
      </w:tr>
      <w:tr w:rsidR="0062357D" w14:paraId="52B69474" w14:textId="77777777">
        <w:trPr>
          <w:cantSplit/>
        </w:trPr>
        <w:tc>
          <w:tcPr>
            <w:tcW w:w="960" w:type="dxa"/>
            <w:tcMar>
              <w:top w:w="80" w:type="dxa"/>
              <w:left w:w="100" w:type="dxa"/>
              <w:bottom w:w="80" w:type="dxa"/>
              <w:right w:w="100" w:type="dxa"/>
            </w:tcMar>
          </w:tcPr>
          <w:p w14:paraId="7B000022" w14:textId="77777777" w:rsidR="0062357D" w:rsidRDefault="007E79DA">
            <w:r>
              <w:rPr>
                <w:sz w:val="19"/>
                <w:szCs w:val="19"/>
              </w:rPr>
              <w:t>STE</w:t>
            </w:r>
          </w:p>
        </w:tc>
        <w:tc>
          <w:tcPr>
            <w:tcW w:w="2240" w:type="dxa"/>
            <w:tcMar>
              <w:top w:w="80" w:type="dxa"/>
              <w:left w:w="100" w:type="dxa"/>
              <w:bottom w:w="80" w:type="dxa"/>
              <w:right w:w="100" w:type="dxa"/>
            </w:tcMar>
          </w:tcPr>
          <w:p w14:paraId="7B000023" w14:textId="77777777" w:rsidR="0062357D" w:rsidRDefault="007E79DA">
            <w:r>
              <w:rPr>
                <w:sz w:val="19"/>
                <w:szCs w:val="19"/>
              </w:rPr>
              <w:t>Self-Trained Emissions</w:t>
            </w:r>
          </w:p>
        </w:tc>
        <w:tc>
          <w:tcPr>
            <w:tcW w:w="2720" w:type="dxa"/>
            <w:tcMar>
              <w:top w:w="80" w:type="dxa"/>
              <w:left w:w="100" w:type="dxa"/>
              <w:bottom w:w="80" w:type="dxa"/>
              <w:right w:w="100" w:type="dxa"/>
            </w:tcMar>
          </w:tcPr>
          <w:p w14:paraId="7B000024" w14:textId="77777777" w:rsidR="0062357D" w:rsidRDefault="007E79DA">
            <w:r>
              <w:rPr>
                <w:sz w:val="19"/>
                <w:szCs w:val="19"/>
              </w:rPr>
              <w:t>Training or fine-tuning run on the Subscriber’s own infrastructure, measured by the infra agent and attributed 100% to that Subscriber</w:t>
            </w:r>
          </w:p>
        </w:tc>
        <w:tc>
          <w:tcPr>
            <w:tcW w:w="1280" w:type="dxa"/>
            <w:tcMar>
              <w:top w:w="80" w:type="dxa"/>
              <w:left w:w="100" w:type="dxa"/>
              <w:bottom w:w="80" w:type="dxa"/>
              <w:right w:w="100" w:type="dxa"/>
            </w:tcMar>
          </w:tcPr>
          <w:p w14:paraId="7B000025" w14:textId="77777777" w:rsidR="0062357D" w:rsidRDefault="007E79DA">
            <w:r>
              <w:rPr>
                <w:sz w:val="19"/>
                <w:szCs w:val="19"/>
              </w:rPr>
              <w:t>gCO2e</w:t>
            </w:r>
          </w:p>
        </w:tc>
        <w:tc>
          <w:tcPr>
            <w:tcW w:w="1280" w:type="dxa"/>
            <w:tcMar>
              <w:top w:w="80" w:type="dxa"/>
              <w:left w:w="100" w:type="dxa"/>
              <w:bottom w:w="80" w:type="dxa"/>
              <w:right w:w="100" w:type="dxa"/>
            </w:tcMar>
          </w:tcPr>
          <w:p w14:paraId="7B000026" w14:textId="77777777" w:rsidR="0062357D" w:rsidRDefault="007E79DA">
            <w:r>
              <w:rPr>
                <w:sz w:val="19"/>
                <w:szCs w:val="19"/>
              </w:rPr>
              <w:t>Per job</w:t>
            </w:r>
          </w:p>
        </w:tc>
        <w:tc>
          <w:tcPr>
            <w:tcW w:w="1120" w:type="dxa"/>
            <w:tcMar>
              <w:top w:w="80" w:type="dxa"/>
              <w:left w:w="100" w:type="dxa"/>
              <w:bottom w:w="80" w:type="dxa"/>
              <w:right w:w="100" w:type="dxa"/>
            </w:tcMar>
          </w:tcPr>
          <w:p w14:paraId="7B000027" w14:textId="77777777" w:rsidR="0062357D" w:rsidRDefault="007E79DA">
            <w:r>
              <w:rPr>
                <w:sz w:val="19"/>
                <w:szCs w:val="19"/>
              </w:rPr>
              <w:t>Measured</w:t>
            </w:r>
          </w:p>
        </w:tc>
      </w:tr>
    </w:tbl>
    <w:p w14:paraId="7B000028" w14:textId="77777777" w:rsidR="0062357D" w:rsidRDefault="0062357D">
      <w:pPr>
        <w:spacing w:after="120"/>
      </w:pPr>
    </w:p>
    <w:p w14:paraId="7B000029" w14:textId="77777777" w:rsidR="0062357D" w:rsidRDefault="007E79DA">
      <w:pPr>
        <w:pStyle w:val="Heading3"/>
        <w:spacing w:before="200" w:after="100"/>
      </w:pPr>
      <w:r>
        <w:rPr>
          <w:b/>
          <w:bCs/>
          <w:color w:val="333333"/>
          <w:sz w:val="21"/>
          <w:szCs w:val="21"/>
        </w:rPr>
        <w:t>8.8.2 Amortization Inputs and Derived Totals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416A0F6A" w14:textId="77777777">
        <w:trPr>
          <w:tblHeader/>
        </w:trPr>
        <w:tc>
          <w:tcPr>
            <w:tcW w:w="960" w:type="dxa"/>
            <w:shd w:val="clear" w:color="auto" w:fill="1E7A4C"/>
            <w:tcMar>
              <w:top w:w="80" w:type="dxa"/>
              <w:left w:w="100" w:type="dxa"/>
              <w:bottom w:w="80" w:type="dxa"/>
              <w:right w:w="100" w:type="dxa"/>
            </w:tcMar>
          </w:tcPr>
          <w:p w14:paraId="7B00002A"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7B00002B"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7B00002C"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7B00002D"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7B00002E"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7B00002F" w14:textId="77777777" w:rsidR="0062357D" w:rsidRDefault="007E79DA">
            <w:r>
              <w:rPr>
                <w:b/>
                <w:bCs/>
                <w:color w:val="FFFFFF"/>
                <w:sz w:val="19"/>
                <w:szCs w:val="19"/>
              </w:rPr>
              <w:t>Confidence</w:t>
            </w:r>
          </w:p>
        </w:tc>
      </w:tr>
      <w:tr w:rsidR="0062357D" w14:paraId="1CDE3737" w14:textId="77777777">
        <w:trPr>
          <w:cantSplit/>
        </w:trPr>
        <w:tc>
          <w:tcPr>
            <w:tcW w:w="960" w:type="dxa"/>
            <w:tcMar>
              <w:top w:w="80" w:type="dxa"/>
              <w:left w:w="100" w:type="dxa"/>
              <w:bottom w:w="80" w:type="dxa"/>
              <w:right w:w="100" w:type="dxa"/>
            </w:tcMar>
          </w:tcPr>
          <w:p w14:paraId="7B000030" w14:textId="77777777" w:rsidR="0062357D" w:rsidRDefault="007E79DA">
            <w:r>
              <w:rPr>
                <w:sz w:val="19"/>
                <w:szCs w:val="19"/>
              </w:rPr>
              <w:t>TLE</w:t>
            </w:r>
          </w:p>
        </w:tc>
        <w:tc>
          <w:tcPr>
            <w:tcW w:w="2240" w:type="dxa"/>
            <w:tcMar>
              <w:top w:w="80" w:type="dxa"/>
              <w:left w:w="100" w:type="dxa"/>
              <w:bottom w:w="80" w:type="dxa"/>
              <w:right w:w="100" w:type="dxa"/>
            </w:tcMar>
          </w:tcPr>
          <w:p w14:paraId="7B000031" w14:textId="77777777" w:rsidR="0062357D" w:rsidRDefault="007E79DA">
            <w:r>
              <w:rPr>
                <w:sz w:val="19"/>
                <w:szCs w:val="19"/>
              </w:rPr>
              <w:t>Total Training Emissions</w:t>
            </w:r>
          </w:p>
        </w:tc>
        <w:tc>
          <w:tcPr>
            <w:tcW w:w="2720" w:type="dxa"/>
            <w:tcMar>
              <w:top w:w="80" w:type="dxa"/>
              <w:left w:w="100" w:type="dxa"/>
              <w:bottom w:w="80" w:type="dxa"/>
              <w:right w:w="100" w:type="dxa"/>
            </w:tcMar>
          </w:tcPr>
          <w:p w14:paraId="7B000032" w14:textId="77777777" w:rsidR="0062357D" w:rsidRDefault="007E79DA">
            <w:r>
              <w:rPr>
                <w:sz w:val="19"/>
                <w:szCs w:val="19"/>
              </w:rPr>
              <w:t>Published or estimated lifecycle training emissions for a model version, with source citation (Appendix A)</w:t>
            </w:r>
          </w:p>
        </w:tc>
        <w:tc>
          <w:tcPr>
            <w:tcW w:w="1280" w:type="dxa"/>
            <w:tcMar>
              <w:top w:w="80" w:type="dxa"/>
              <w:left w:w="100" w:type="dxa"/>
              <w:bottom w:w="80" w:type="dxa"/>
              <w:right w:w="100" w:type="dxa"/>
            </w:tcMar>
          </w:tcPr>
          <w:p w14:paraId="7B000033" w14:textId="77777777" w:rsidR="0062357D" w:rsidRDefault="007E79DA">
            <w:r>
              <w:rPr>
                <w:sz w:val="19"/>
                <w:szCs w:val="19"/>
              </w:rPr>
              <w:t>tCO2e</w:t>
            </w:r>
          </w:p>
        </w:tc>
        <w:tc>
          <w:tcPr>
            <w:tcW w:w="1280" w:type="dxa"/>
            <w:tcMar>
              <w:top w:w="80" w:type="dxa"/>
              <w:left w:w="100" w:type="dxa"/>
              <w:bottom w:w="80" w:type="dxa"/>
              <w:right w:w="100" w:type="dxa"/>
            </w:tcMar>
          </w:tcPr>
          <w:p w14:paraId="7B000034" w14:textId="77777777" w:rsidR="0062357D" w:rsidRDefault="007E79DA">
            <w:r>
              <w:rPr>
                <w:sz w:val="19"/>
                <w:szCs w:val="19"/>
              </w:rPr>
              <w:t>Per model version</w:t>
            </w:r>
          </w:p>
        </w:tc>
        <w:tc>
          <w:tcPr>
            <w:tcW w:w="1120" w:type="dxa"/>
            <w:tcMar>
              <w:top w:w="80" w:type="dxa"/>
              <w:left w:w="100" w:type="dxa"/>
              <w:bottom w:w="80" w:type="dxa"/>
              <w:right w:w="100" w:type="dxa"/>
            </w:tcMar>
          </w:tcPr>
          <w:p w14:paraId="7B000035" w14:textId="77777777" w:rsidR="0062357D" w:rsidRDefault="007E79DA">
            <w:r>
              <w:rPr>
                <w:sz w:val="19"/>
                <w:szCs w:val="19"/>
              </w:rPr>
              <w:t>Cited / estimated</w:t>
            </w:r>
          </w:p>
        </w:tc>
      </w:tr>
      <w:tr w:rsidR="0062357D" w14:paraId="13F90D6D" w14:textId="77777777">
        <w:trPr>
          <w:cantSplit/>
        </w:trPr>
        <w:tc>
          <w:tcPr>
            <w:tcW w:w="960" w:type="dxa"/>
            <w:tcMar>
              <w:top w:w="80" w:type="dxa"/>
              <w:left w:w="100" w:type="dxa"/>
              <w:bottom w:w="80" w:type="dxa"/>
              <w:right w:w="100" w:type="dxa"/>
            </w:tcMar>
          </w:tcPr>
          <w:p w14:paraId="7B000036" w14:textId="77777777" w:rsidR="0062357D" w:rsidRDefault="007E79DA">
            <w:r>
              <w:rPr>
                <w:sz w:val="19"/>
                <w:szCs w:val="19"/>
              </w:rPr>
              <w:t>LTT</w:t>
            </w:r>
          </w:p>
        </w:tc>
        <w:tc>
          <w:tcPr>
            <w:tcW w:w="2240" w:type="dxa"/>
            <w:tcMar>
              <w:top w:w="80" w:type="dxa"/>
              <w:left w:w="100" w:type="dxa"/>
              <w:bottom w:w="80" w:type="dxa"/>
              <w:right w:w="100" w:type="dxa"/>
            </w:tcMar>
          </w:tcPr>
          <w:p w14:paraId="7B000037" w14:textId="77777777" w:rsidR="0062357D" w:rsidRDefault="007E79DA">
            <w:r>
              <w:rPr>
                <w:sz w:val="19"/>
                <w:szCs w:val="19"/>
              </w:rPr>
              <w:t>Lifetime Token Throughput</w:t>
            </w:r>
          </w:p>
        </w:tc>
        <w:tc>
          <w:tcPr>
            <w:tcW w:w="2720" w:type="dxa"/>
            <w:tcMar>
              <w:top w:w="80" w:type="dxa"/>
              <w:left w:w="100" w:type="dxa"/>
              <w:bottom w:w="80" w:type="dxa"/>
              <w:right w:w="100" w:type="dxa"/>
            </w:tcMar>
          </w:tcPr>
          <w:p w14:paraId="7B000038" w14:textId="77777777" w:rsidR="0062357D" w:rsidRDefault="007E79DA">
            <w:r>
              <w:rPr>
                <w:sz w:val="19"/>
                <w:szCs w:val="19"/>
              </w:rPr>
              <w:t>Expected total tokens served by a model version over its deployment life</w:t>
            </w:r>
          </w:p>
        </w:tc>
        <w:tc>
          <w:tcPr>
            <w:tcW w:w="1280" w:type="dxa"/>
            <w:tcMar>
              <w:top w:w="80" w:type="dxa"/>
              <w:left w:w="100" w:type="dxa"/>
              <w:bottom w:w="80" w:type="dxa"/>
              <w:right w:w="100" w:type="dxa"/>
            </w:tcMar>
          </w:tcPr>
          <w:p w14:paraId="7B000039" w14:textId="77777777" w:rsidR="0062357D" w:rsidRDefault="007E79DA">
            <w:r>
              <w:rPr>
                <w:sz w:val="19"/>
                <w:szCs w:val="19"/>
              </w:rPr>
              <w:t>tokens</w:t>
            </w:r>
          </w:p>
        </w:tc>
        <w:tc>
          <w:tcPr>
            <w:tcW w:w="1280" w:type="dxa"/>
            <w:tcMar>
              <w:top w:w="80" w:type="dxa"/>
              <w:left w:w="100" w:type="dxa"/>
              <w:bottom w:w="80" w:type="dxa"/>
              <w:right w:w="100" w:type="dxa"/>
            </w:tcMar>
          </w:tcPr>
          <w:p w14:paraId="7B00003A" w14:textId="77777777" w:rsidR="0062357D" w:rsidRDefault="007E79DA">
            <w:r>
              <w:rPr>
                <w:sz w:val="19"/>
                <w:szCs w:val="19"/>
              </w:rPr>
              <w:t>Per model version</w:t>
            </w:r>
          </w:p>
        </w:tc>
        <w:tc>
          <w:tcPr>
            <w:tcW w:w="1120" w:type="dxa"/>
            <w:tcMar>
              <w:top w:w="80" w:type="dxa"/>
              <w:left w:w="100" w:type="dxa"/>
              <w:bottom w:w="80" w:type="dxa"/>
              <w:right w:w="100" w:type="dxa"/>
            </w:tcMar>
          </w:tcPr>
          <w:p w14:paraId="7B00003B" w14:textId="77777777" w:rsidR="0062357D" w:rsidRDefault="007E79DA">
            <w:r>
              <w:rPr>
                <w:sz w:val="19"/>
                <w:szCs w:val="19"/>
              </w:rPr>
              <w:t>Estimated</w:t>
            </w:r>
          </w:p>
        </w:tc>
      </w:tr>
      <w:tr w:rsidR="0062357D" w14:paraId="5484DD45" w14:textId="77777777">
        <w:trPr>
          <w:cantSplit/>
        </w:trPr>
        <w:tc>
          <w:tcPr>
            <w:tcW w:w="960" w:type="dxa"/>
            <w:tcMar>
              <w:top w:w="80" w:type="dxa"/>
              <w:left w:w="100" w:type="dxa"/>
              <w:bottom w:w="80" w:type="dxa"/>
              <w:right w:w="100" w:type="dxa"/>
            </w:tcMar>
          </w:tcPr>
          <w:p w14:paraId="7B00003C" w14:textId="77777777" w:rsidR="0062357D" w:rsidRDefault="007E79DA">
            <w:r>
              <w:rPr>
                <w:sz w:val="19"/>
                <w:szCs w:val="19"/>
              </w:rPr>
              <w:t>HEE</w:t>
            </w:r>
          </w:p>
        </w:tc>
        <w:tc>
          <w:tcPr>
            <w:tcW w:w="2240" w:type="dxa"/>
            <w:tcMar>
              <w:top w:w="80" w:type="dxa"/>
              <w:left w:w="100" w:type="dxa"/>
              <w:bottom w:w="80" w:type="dxa"/>
              <w:right w:w="100" w:type="dxa"/>
            </w:tcMar>
          </w:tcPr>
          <w:p w14:paraId="7B00003D" w14:textId="77777777" w:rsidR="0062357D" w:rsidRDefault="007E79DA">
            <w:r>
              <w:rPr>
                <w:sz w:val="19"/>
                <w:szCs w:val="19"/>
              </w:rPr>
              <w:t>Hardware Embodied Emissions</w:t>
            </w:r>
          </w:p>
        </w:tc>
        <w:tc>
          <w:tcPr>
            <w:tcW w:w="2720" w:type="dxa"/>
            <w:tcMar>
              <w:top w:w="80" w:type="dxa"/>
              <w:left w:w="100" w:type="dxa"/>
              <w:bottom w:w="80" w:type="dxa"/>
              <w:right w:w="100" w:type="dxa"/>
            </w:tcMar>
          </w:tcPr>
          <w:p w14:paraId="7B00003E" w14:textId="77777777" w:rsidR="0062357D" w:rsidRDefault="007E79DA">
            <w:r>
              <w:rPr>
                <w:sz w:val="19"/>
                <w:szCs w:val="19"/>
              </w:rPr>
              <w:t>Manufacturing emissions per server or accelerator, including a configurable share for networking and facility construction</w:t>
            </w:r>
          </w:p>
        </w:tc>
        <w:tc>
          <w:tcPr>
            <w:tcW w:w="1280" w:type="dxa"/>
            <w:tcMar>
              <w:top w:w="80" w:type="dxa"/>
              <w:left w:w="100" w:type="dxa"/>
              <w:bottom w:w="80" w:type="dxa"/>
              <w:right w:w="100" w:type="dxa"/>
            </w:tcMar>
          </w:tcPr>
          <w:p w14:paraId="7B00003F" w14:textId="77777777" w:rsidR="0062357D" w:rsidRDefault="007E79DA">
            <w:r>
              <w:rPr>
                <w:sz w:val="19"/>
                <w:szCs w:val="19"/>
              </w:rPr>
              <w:t>kgCO2e</w:t>
            </w:r>
          </w:p>
        </w:tc>
        <w:tc>
          <w:tcPr>
            <w:tcW w:w="1280" w:type="dxa"/>
            <w:tcMar>
              <w:top w:w="80" w:type="dxa"/>
              <w:left w:w="100" w:type="dxa"/>
              <w:bottom w:w="80" w:type="dxa"/>
              <w:right w:w="100" w:type="dxa"/>
            </w:tcMar>
          </w:tcPr>
          <w:p w14:paraId="7B000040" w14:textId="77777777" w:rsidR="0062357D" w:rsidRDefault="007E79DA">
            <w:r>
              <w:rPr>
                <w:sz w:val="19"/>
                <w:szCs w:val="19"/>
              </w:rPr>
              <w:t>Per hardware class</w:t>
            </w:r>
          </w:p>
        </w:tc>
        <w:tc>
          <w:tcPr>
            <w:tcW w:w="1120" w:type="dxa"/>
            <w:tcMar>
              <w:top w:w="80" w:type="dxa"/>
              <w:left w:w="100" w:type="dxa"/>
              <w:bottom w:w="80" w:type="dxa"/>
              <w:right w:w="100" w:type="dxa"/>
            </w:tcMar>
          </w:tcPr>
          <w:p w14:paraId="7B000041" w14:textId="77777777" w:rsidR="0062357D" w:rsidRDefault="007E79DA">
            <w:r>
              <w:rPr>
                <w:sz w:val="19"/>
                <w:szCs w:val="19"/>
              </w:rPr>
              <w:t>Cited / estimated</w:t>
            </w:r>
          </w:p>
        </w:tc>
      </w:tr>
      <w:tr w:rsidR="0062357D" w14:paraId="082995A2" w14:textId="77777777">
        <w:trPr>
          <w:cantSplit/>
        </w:trPr>
        <w:tc>
          <w:tcPr>
            <w:tcW w:w="960" w:type="dxa"/>
            <w:tcMar>
              <w:top w:w="80" w:type="dxa"/>
              <w:left w:w="100" w:type="dxa"/>
              <w:bottom w:w="80" w:type="dxa"/>
              <w:right w:w="100" w:type="dxa"/>
            </w:tcMar>
          </w:tcPr>
          <w:p w14:paraId="7B000042" w14:textId="77777777" w:rsidR="0062357D" w:rsidRDefault="007E79DA">
            <w:r>
              <w:rPr>
                <w:sz w:val="19"/>
                <w:szCs w:val="19"/>
              </w:rPr>
              <w:t>HLF</w:t>
            </w:r>
          </w:p>
        </w:tc>
        <w:tc>
          <w:tcPr>
            <w:tcW w:w="2240" w:type="dxa"/>
            <w:tcMar>
              <w:top w:w="80" w:type="dxa"/>
              <w:left w:w="100" w:type="dxa"/>
              <w:bottom w:w="80" w:type="dxa"/>
              <w:right w:w="100" w:type="dxa"/>
            </w:tcMar>
          </w:tcPr>
          <w:p w14:paraId="7B000043" w14:textId="77777777" w:rsidR="0062357D" w:rsidRDefault="007E79DA">
            <w:r>
              <w:rPr>
                <w:sz w:val="19"/>
                <w:szCs w:val="19"/>
              </w:rPr>
              <w:t>Hardware Service Life</w:t>
            </w:r>
          </w:p>
        </w:tc>
        <w:tc>
          <w:tcPr>
            <w:tcW w:w="2720" w:type="dxa"/>
            <w:tcMar>
              <w:top w:w="80" w:type="dxa"/>
              <w:left w:w="100" w:type="dxa"/>
              <w:bottom w:w="80" w:type="dxa"/>
              <w:right w:w="100" w:type="dxa"/>
            </w:tcMar>
          </w:tcPr>
          <w:p w14:paraId="7B000044" w14:textId="77777777" w:rsidR="0062357D" w:rsidRDefault="007E79DA">
            <w:r>
              <w:rPr>
                <w:sz w:val="19"/>
                <w:szCs w:val="19"/>
              </w:rPr>
              <w:t>Expected service life of the hardware class</w:t>
            </w:r>
          </w:p>
        </w:tc>
        <w:tc>
          <w:tcPr>
            <w:tcW w:w="1280" w:type="dxa"/>
            <w:tcMar>
              <w:top w:w="80" w:type="dxa"/>
              <w:left w:w="100" w:type="dxa"/>
              <w:bottom w:w="80" w:type="dxa"/>
              <w:right w:w="100" w:type="dxa"/>
            </w:tcMar>
          </w:tcPr>
          <w:p w14:paraId="7B000045" w14:textId="77777777" w:rsidR="0062357D" w:rsidRDefault="007E79DA">
            <w:r>
              <w:rPr>
                <w:sz w:val="19"/>
                <w:szCs w:val="19"/>
              </w:rPr>
              <w:t>years</w:t>
            </w:r>
          </w:p>
        </w:tc>
        <w:tc>
          <w:tcPr>
            <w:tcW w:w="1280" w:type="dxa"/>
            <w:tcMar>
              <w:top w:w="80" w:type="dxa"/>
              <w:left w:w="100" w:type="dxa"/>
              <w:bottom w:w="80" w:type="dxa"/>
              <w:right w:w="100" w:type="dxa"/>
            </w:tcMar>
          </w:tcPr>
          <w:p w14:paraId="7B000046" w14:textId="77777777" w:rsidR="0062357D" w:rsidRDefault="007E79DA">
            <w:r>
              <w:rPr>
                <w:sz w:val="19"/>
                <w:szCs w:val="19"/>
              </w:rPr>
              <w:t>Per hardware class</w:t>
            </w:r>
          </w:p>
        </w:tc>
        <w:tc>
          <w:tcPr>
            <w:tcW w:w="1120" w:type="dxa"/>
            <w:tcMar>
              <w:top w:w="80" w:type="dxa"/>
              <w:left w:w="100" w:type="dxa"/>
              <w:bottom w:w="80" w:type="dxa"/>
              <w:right w:w="100" w:type="dxa"/>
            </w:tcMar>
          </w:tcPr>
          <w:p w14:paraId="7B000047" w14:textId="77777777" w:rsidR="0062357D" w:rsidRDefault="007E79DA">
            <w:r>
              <w:rPr>
                <w:sz w:val="19"/>
                <w:szCs w:val="19"/>
              </w:rPr>
              <w:t>Estimated</w:t>
            </w:r>
          </w:p>
        </w:tc>
      </w:tr>
      <w:tr w:rsidR="0062357D" w14:paraId="3E5E1B1A" w14:textId="77777777">
        <w:trPr>
          <w:cantSplit/>
        </w:trPr>
        <w:tc>
          <w:tcPr>
            <w:tcW w:w="960" w:type="dxa"/>
            <w:tcMar>
              <w:top w:w="80" w:type="dxa"/>
              <w:left w:w="100" w:type="dxa"/>
              <w:bottom w:w="80" w:type="dxa"/>
              <w:right w:w="100" w:type="dxa"/>
            </w:tcMar>
          </w:tcPr>
          <w:p w14:paraId="7B000048" w14:textId="77777777" w:rsidR="0062357D" w:rsidRDefault="007E79DA">
            <w:r>
              <w:rPr>
                <w:sz w:val="19"/>
                <w:szCs w:val="19"/>
              </w:rPr>
              <w:t>HUR</w:t>
            </w:r>
          </w:p>
        </w:tc>
        <w:tc>
          <w:tcPr>
            <w:tcW w:w="2240" w:type="dxa"/>
            <w:tcMar>
              <w:top w:w="80" w:type="dxa"/>
              <w:left w:w="100" w:type="dxa"/>
              <w:bottom w:w="80" w:type="dxa"/>
              <w:right w:w="100" w:type="dxa"/>
            </w:tcMar>
          </w:tcPr>
          <w:p w14:paraId="7B000049" w14:textId="77777777" w:rsidR="0062357D" w:rsidRDefault="007E79DA">
            <w:r>
              <w:rPr>
                <w:sz w:val="19"/>
                <w:szCs w:val="19"/>
              </w:rPr>
              <w:t>Hardware Utilization Ratio</w:t>
            </w:r>
          </w:p>
        </w:tc>
        <w:tc>
          <w:tcPr>
            <w:tcW w:w="2720" w:type="dxa"/>
            <w:tcMar>
              <w:top w:w="80" w:type="dxa"/>
              <w:left w:w="100" w:type="dxa"/>
              <w:bottom w:w="80" w:type="dxa"/>
              <w:right w:w="100" w:type="dxa"/>
            </w:tcMar>
          </w:tcPr>
          <w:p w14:paraId="7B00004A" w14:textId="77777777" w:rsidR="0062357D" w:rsidRDefault="007E79DA">
            <w:r>
              <w:rPr>
                <w:sz w:val="19"/>
                <w:szCs w:val="19"/>
              </w:rPr>
              <w:t>Share of hardware time doing useful work; from GPU (§21.2) where measured, otherwise a provider default</w:t>
            </w:r>
          </w:p>
        </w:tc>
        <w:tc>
          <w:tcPr>
            <w:tcW w:w="1280" w:type="dxa"/>
            <w:tcMar>
              <w:top w:w="80" w:type="dxa"/>
              <w:left w:w="100" w:type="dxa"/>
              <w:bottom w:w="80" w:type="dxa"/>
              <w:right w:w="100" w:type="dxa"/>
            </w:tcMar>
          </w:tcPr>
          <w:p w14:paraId="7B00004B" w14:textId="77777777" w:rsidR="0062357D" w:rsidRDefault="007E79DA">
            <w:r>
              <w:rPr>
                <w:sz w:val="19"/>
                <w:szCs w:val="19"/>
              </w:rPr>
              <w:t>ratio 0–1</w:t>
            </w:r>
          </w:p>
        </w:tc>
        <w:tc>
          <w:tcPr>
            <w:tcW w:w="1280" w:type="dxa"/>
            <w:tcMar>
              <w:top w:w="80" w:type="dxa"/>
              <w:left w:w="100" w:type="dxa"/>
              <w:bottom w:w="80" w:type="dxa"/>
              <w:right w:w="100" w:type="dxa"/>
            </w:tcMar>
          </w:tcPr>
          <w:p w14:paraId="7B00004C" w14:textId="77777777" w:rsidR="0062357D" w:rsidRDefault="007E79DA">
            <w:r>
              <w:rPr>
                <w:sz w:val="19"/>
                <w:szCs w:val="19"/>
              </w:rPr>
              <w:t>Hourly / default</w:t>
            </w:r>
          </w:p>
        </w:tc>
        <w:tc>
          <w:tcPr>
            <w:tcW w:w="1120" w:type="dxa"/>
            <w:tcMar>
              <w:top w:w="80" w:type="dxa"/>
              <w:left w:w="100" w:type="dxa"/>
              <w:bottom w:w="80" w:type="dxa"/>
              <w:right w:w="100" w:type="dxa"/>
            </w:tcMar>
          </w:tcPr>
          <w:p w14:paraId="7B00004D" w14:textId="77777777" w:rsidR="0062357D" w:rsidRDefault="007E79DA">
            <w:r>
              <w:rPr>
                <w:sz w:val="19"/>
                <w:szCs w:val="19"/>
              </w:rPr>
              <w:t>Measured / estimated</w:t>
            </w:r>
          </w:p>
        </w:tc>
      </w:tr>
      <w:tr w:rsidR="0062357D" w14:paraId="3B429793" w14:textId="77777777">
        <w:trPr>
          <w:cantSplit/>
        </w:trPr>
        <w:tc>
          <w:tcPr>
            <w:tcW w:w="960" w:type="dxa"/>
            <w:tcMar>
              <w:top w:w="80" w:type="dxa"/>
              <w:left w:w="100" w:type="dxa"/>
              <w:bottom w:w="80" w:type="dxa"/>
              <w:right w:w="100" w:type="dxa"/>
            </w:tcMar>
          </w:tcPr>
          <w:p w14:paraId="7B00004E" w14:textId="77777777" w:rsidR="0062357D" w:rsidRDefault="007E79DA">
            <w:r>
              <w:rPr>
                <w:sz w:val="19"/>
                <w:szCs w:val="19"/>
              </w:rPr>
              <w:t>ACS</w:t>
            </w:r>
          </w:p>
        </w:tc>
        <w:tc>
          <w:tcPr>
            <w:tcW w:w="2240" w:type="dxa"/>
            <w:tcMar>
              <w:top w:w="80" w:type="dxa"/>
              <w:left w:w="100" w:type="dxa"/>
              <w:bottom w:w="80" w:type="dxa"/>
              <w:right w:w="100" w:type="dxa"/>
            </w:tcMar>
          </w:tcPr>
          <w:p w14:paraId="7B00004F" w14:textId="77777777" w:rsidR="0062357D" w:rsidRDefault="007E79DA">
            <w:r>
              <w:rPr>
                <w:sz w:val="19"/>
                <w:szCs w:val="19"/>
              </w:rPr>
              <w:t>Accelerator-Seconds</w:t>
            </w:r>
          </w:p>
        </w:tc>
        <w:tc>
          <w:tcPr>
            <w:tcW w:w="2720" w:type="dxa"/>
            <w:tcMar>
              <w:top w:w="80" w:type="dxa"/>
              <w:left w:w="100" w:type="dxa"/>
              <w:bottom w:w="80" w:type="dxa"/>
              <w:right w:w="100" w:type="dxa"/>
            </w:tcMar>
          </w:tcPr>
          <w:p w14:paraId="7B000050" w14:textId="77777777" w:rsidR="0062357D" w:rsidRDefault="007E79DA">
            <w:r>
              <w:rPr>
                <w:sz w:val="19"/>
                <w:szCs w:val="19"/>
              </w:rPr>
              <w:t>Accelerator time consumed by the call, measured or modeled from tokens and model class</w:t>
            </w:r>
          </w:p>
        </w:tc>
        <w:tc>
          <w:tcPr>
            <w:tcW w:w="1280" w:type="dxa"/>
            <w:tcMar>
              <w:top w:w="80" w:type="dxa"/>
              <w:left w:w="100" w:type="dxa"/>
              <w:bottom w:w="80" w:type="dxa"/>
              <w:right w:w="100" w:type="dxa"/>
            </w:tcMar>
          </w:tcPr>
          <w:p w14:paraId="7B000051" w14:textId="77777777" w:rsidR="0062357D" w:rsidRDefault="007E79DA">
            <w:r>
              <w:rPr>
                <w:sz w:val="19"/>
                <w:szCs w:val="19"/>
              </w:rPr>
              <w:t>GPU-s</w:t>
            </w:r>
          </w:p>
        </w:tc>
        <w:tc>
          <w:tcPr>
            <w:tcW w:w="1280" w:type="dxa"/>
            <w:tcMar>
              <w:top w:w="80" w:type="dxa"/>
              <w:left w:w="100" w:type="dxa"/>
              <w:bottom w:w="80" w:type="dxa"/>
              <w:right w:w="100" w:type="dxa"/>
            </w:tcMar>
          </w:tcPr>
          <w:p w14:paraId="7B000052" w14:textId="77777777" w:rsidR="0062357D" w:rsidRDefault="007E79DA">
            <w:r>
              <w:rPr>
                <w:sz w:val="19"/>
                <w:szCs w:val="19"/>
              </w:rPr>
              <w:t>Per call</w:t>
            </w:r>
          </w:p>
        </w:tc>
        <w:tc>
          <w:tcPr>
            <w:tcW w:w="1120" w:type="dxa"/>
            <w:tcMar>
              <w:top w:w="80" w:type="dxa"/>
              <w:left w:w="100" w:type="dxa"/>
              <w:bottom w:w="80" w:type="dxa"/>
              <w:right w:w="100" w:type="dxa"/>
            </w:tcMar>
          </w:tcPr>
          <w:p w14:paraId="7B000053" w14:textId="77777777" w:rsidR="0062357D" w:rsidRDefault="007E79DA">
            <w:r>
              <w:rPr>
                <w:sz w:val="19"/>
                <w:szCs w:val="19"/>
              </w:rPr>
              <w:t>Measured / modeled</w:t>
            </w:r>
          </w:p>
        </w:tc>
      </w:tr>
      <w:tr w:rsidR="0062357D" w14:paraId="04BDC829" w14:textId="77777777">
        <w:trPr>
          <w:cantSplit/>
        </w:trPr>
        <w:tc>
          <w:tcPr>
            <w:tcW w:w="960" w:type="dxa"/>
            <w:tcMar>
              <w:top w:w="80" w:type="dxa"/>
              <w:left w:w="100" w:type="dxa"/>
              <w:bottom w:w="80" w:type="dxa"/>
              <w:right w:w="100" w:type="dxa"/>
            </w:tcMar>
          </w:tcPr>
          <w:p w14:paraId="7B000054" w14:textId="77777777" w:rsidR="0062357D" w:rsidRDefault="007E79DA">
            <w:r>
              <w:rPr>
                <w:sz w:val="19"/>
                <w:szCs w:val="19"/>
              </w:rPr>
              <w:t>D-LCE</w:t>
            </w:r>
          </w:p>
        </w:tc>
        <w:tc>
          <w:tcPr>
            <w:tcW w:w="2240" w:type="dxa"/>
            <w:tcMar>
              <w:top w:w="80" w:type="dxa"/>
              <w:left w:w="100" w:type="dxa"/>
              <w:bottom w:w="80" w:type="dxa"/>
              <w:right w:w="100" w:type="dxa"/>
            </w:tcMar>
          </w:tcPr>
          <w:p w14:paraId="7B000055" w14:textId="77777777" w:rsidR="0062357D" w:rsidRDefault="007E79DA">
            <w:r>
              <w:rPr>
                <w:sz w:val="19"/>
                <w:szCs w:val="19"/>
              </w:rPr>
              <w:t>Total Lifecycle Emissions</w:t>
            </w:r>
          </w:p>
        </w:tc>
        <w:tc>
          <w:tcPr>
            <w:tcW w:w="2720" w:type="dxa"/>
            <w:tcMar>
              <w:top w:w="80" w:type="dxa"/>
              <w:left w:w="100" w:type="dxa"/>
              <w:bottom w:w="80" w:type="dxa"/>
              <w:right w:w="100" w:type="dxa"/>
            </w:tcMar>
          </w:tcPr>
          <w:p w14:paraId="7B000056" w14:textId="77777777" w:rsidR="0062357D" w:rsidRDefault="007E79DA">
            <w:r>
              <w:rPr>
                <w:sz w:val="19"/>
                <w:szCs w:val="19"/>
              </w:rPr>
              <w:t>OPE + FAC + TRA + EMB (+ STE where applicable), always stored with its component split</w:t>
            </w:r>
          </w:p>
        </w:tc>
        <w:tc>
          <w:tcPr>
            <w:tcW w:w="1280" w:type="dxa"/>
            <w:tcMar>
              <w:top w:w="80" w:type="dxa"/>
              <w:left w:w="100" w:type="dxa"/>
              <w:bottom w:w="80" w:type="dxa"/>
              <w:right w:w="100" w:type="dxa"/>
            </w:tcMar>
          </w:tcPr>
          <w:p w14:paraId="7B000057" w14:textId="77777777" w:rsidR="0062357D" w:rsidRDefault="007E79DA">
            <w:r>
              <w:rPr>
                <w:sz w:val="19"/>
                <w:szCs w:val="19"/>
              </w:rPr>
              <w:t>gCO2e</w:t>
            </w:r>
          </w:p>
        </w:tc>
        <w:tc>
          <w:tcPr>
            <w:tcW w:w="1280" w:type="dxa"/>
            <w:tcMar>
              <w:top w:w="80" w:type="dxa"/>
              <w:left w:w="100" w:type="dxa"/>
              <w:bottom w:w="80" w:type="dxa"/>
              <w:right w:w="100" w:type="dxa"/>
            </w:tcMar>
          </w:tcPr>
          <w:p w14:paraId="7B000058" w14:textId="77777777" w:rsidR="0062357D" w:rsidRDefault="007E79DA">
            <w:r>
              <w:rPr>
                <w:sz w:val="19"/>
                <w:szCs w:val="19"/>
              </w:rPr>
              <w:t>Per call</w:t>
            </w:r>
          </w:p>
        </w:tc>
        <w:tc>
          <w:tcPr>
            <w:tcW w:w="1120" w:type="dxa"/>
            <w:tcMar>
              <w:top w:w="80" w:type="dxa"/>
              <w:left w:w="100" w:type="dxa"/>
              <w:bottom w:w="80" w:type="dxa"/>
              <w:right w:w="100" w:type="dxa"/>
            </w:tcMar>
          </w:tcPr>
          <w:p w14:paraId="7B000059" w14:textId="77777777" w:rsidR="0062357D" w:rsidRDefault="007E79DA">
            <w:r>
              <w:rPr>
                <w:sz w:val="19"/>
                <w:szCs w:val="19"/>
              </w:rPr>
              <w:t>Lowest of inputs</w:t>
            </w:r>
          </w:p>
        </w:tc>
      </w:tr>
      <w:tr w:rsidR="0062357D" w14:paraId="7FB473A1" w14:textId="77777777">
        <w:trPr>
          <w:cantSplit/>
        </w:trPr>
        <w:tc>
          <w:tcPr>
            <w:tcW w:w="960" w:type="dxa"/>
            <w:tcMar>
              <w:top w:w="80" w:type="dxa"/>
              <w:left w:w="100" w:type="dxa"/>
              <w:bottom w:w="80" w:type="dxa"/>
              <w:right w:w="100" w:type="dxa"/>
            </w:tcMar>
          </w:tcPr>
          <w:p w14:paraId="7B00005A" w14:textId="77777777" w:rsidR="0062357D" w:rsidRDefault="007E79DA">
            <w:r>
              <w:rPr>
                <w:sz w:val="19"/>
                <w:szCs w:val="19"/>
              </w:rPr>
              <w:t>D-SCI</w:t>
            </w:r>
          </w:p>
        </w:tc>
        <w:tc>
          <w:tcPr>
            <w:tcW w:w="2240" w:type="dxa"/>
            <w:tcMar>
              <w:top w:w="80" w:type="dxa"/>
              <w:left w:w="100" w:type="dxa"/>
              <w:bottom w:w="80" w:type="dxa"/>
              <w:right w:w="100" w:type="dxa"/>
            </w:tcMar>
          </w:tcPr>
          <w:p w14:paraId="7B00005B" w14:textId="77777777" w:rsidR="0062357D" w:rsidRDefault="007E79DA">
            <w:r>
              <w:rPr>
                <w:sz w:val="19"/>
                <w:szCs w:val="19"/>
              </w:rPr>
              <w:t>SCI Score</w:t>
            </w:r>
          </w:p>
        </w:tc>
        <w:tc>
          <w:tcPr>
            <w:tcW w:w="2720" w:type="dxa"/>
            <w:tcMar>
              <w:top w:w="80" w:type="dxa"/>
              <w:left w:w="100" w:type="dxa"/>
              <w:bottom w:w="80" w:type="dxa"/>
              <w:right w:w="100" w:type="dxa"/>
            </w:tcMar>
          </w:tcPr>
          <w:p w14:paraId="7B00005C" w14:textId="77777777" w:rsidR="0062357D" w:rsidRDefault="007E79DA">
            <w:r>
              <w:rPr>
                <w:sz w:val="19"/>
                <w:szCs w:val="19"/>
              </w:rPr>
              <w:t>Lifecycle emissions per functional unit, using Useful Output Count (UOC, §21.2) as the unit</w:t>
            </w:r>
          </w:p>
        </w:tc>
        <w:tc>
          <w:tcPr>
            <w:tcW w:w="1280" w:type="dxa"/>
            <w:tcMar>
              <w:top w:w="80" w:type="dxa"/>
              <w:left w:w="100" w:type="dxa"/>
              <w:bottom w:w="80" w:type="dxa"/>
              <w:right w:w="100" w:type="dxa"/>
            </w:tcMar>
          </w:tcPr>
          <w:p w14:paraId="7B00005D" w14:textId="77777777" w:rsidR="0062357D" w:rsidRDefault="007E79DA">
            <w:r>
              <w:rPr>
                <w:sz w:val="19"/>
                <w:szCs w:val="19"/>
              </w:rPr>
              <w:t>gCO2e/UOC</w:t>
            </w:r>
          </w:p>
        </w:tc>
        <w:tc>
          <w:tcPr>
            <w:tcW w:w="1280" w:type="dxa"/>
            <w:tcMar>
              <w:top w:w="80" w:type="dxa"/>
              <w:left w:w="100" w:type="dxa"/>
              <w:bottom w:w="80" w:type="dxa"/>
              <w:right w:w="100" w:type="dxa"/>
            </w:tcMar>
          </w:tcPr>
          <w:p w14:paraId="7B00005E" w14:textId="77777777" w:rsidR="0062357D" w:rsidRDefault="007E79DA">
            <w:r>
              <w:rPr>
                <w:sz w:val="19"/>
                <w:szCs w:val="19"/>
              </w:rPr>
              <w:t>Daily</w:t>
            </w:r>
          </w:p>
        </w:tc>
        <w:tc>
          <w:tcPr>
            <w:tcW w:w="1120" w:type="dxa"/>
            <w:tcMar>
              <w:top w:w="80" w:type="dxa"/>
              <w:left w:w="100" w:type="dxa"/>
              <w:bottom w:w="80" w:type="dxa"/>
              <w:right w:w="100" w:type="dxa"/>
            </w:tcMar>
          </w:tcPr>
          <w:p w14:paraId="7B00005F" w14:textId="77777777" w:rsidR="0062357D" w:rsidRDefault="007E79DA">
            <w:r>
              <w:rPr>
                <w:sz w:val="19"/>
                <w:szCs w:val="19"/>
              </w:rPr>
              <w:t>Lowest of inputs</w:t>
            </w:r>
          </w:p>
        </w:tc>
      </w:tr>
    </w:tbl>
    <w:p w14:paraId="7B000060" w14:textId="77777777" w:rsidR="0062357D" w:rsidRDefault="0062357D">
      <w:pPr>
        <w:spacing w:after="120"/>
      </w:pPr>
    </w:p>
    <w:p w14:paraId="7B000061" w14:textId="77777777" w:rsidR="0062357D" w:rsidRDefault="007E79DA">
      <w:pPr>
        <w:pStyle w:val="Heading3"/>
        <w:spacing w:before="200" w:after="100"/>
      </w:pPr>
      <w:r>
        <w:rPr>
          <w:b/>
          <w:bCs/>
          <w:color w:val="333333"/>
          <w:sz w:val="21"/>
          <w:szCs w:val="21"/>
        </w:rPr>
        <w:t>8.8.3 Amortization Methods</w:t>
      </w:r>
    </w:p>
    <w:p w14:paraId="7B000062" w14:textId="77777777" w:rsidR="0062357D" w:rsidRDefault="007E79DA">
      <w:pPr>
        <w:numPr>
          <w:ilvl w:val="0"/>
          <w:numId w:val="1"/>
        </w:numPr>
        <w:spacing w:after="60"/>
      </w:pPr>
      <w:r>
        <w:rPr>
          <w:b/>
          <w:bCs/>
          <w:sz w:val="21"/>
          <w:szCs w:val="21"/>
        </w:rPr>
        <w:t>Training.</w:t>
      </w:r>
      <w:r>
        <w:rPr>
          <w:sz w:val="21"/>
          <w:szCs w:val="21"/>
        </w:rPr>
        <w:t xml:space="preserve"> TRA = (TLE ÷ LTT) × tokens in the call. TLE comes from published disclosures (model cards, lifecycle analyses) where available; otherwise it is estimated from training compute, hardware class and the grid of the training region. LTT uses provider usage disclosures where available, otherwise a default deployment life held in versioned configuration. For fine-tuned models, the base model share is amortized as above and the fine-tune itself is recorded as STE if run by the Subscriber.</w:t>
      </w:r>
    </w:p>
    <w:p w14:paraId="7B000063" w14:textId="77777777" w:rsidR="0062357D" w:rsidRDefault="007E79DA">
      <w:pPr>
        <w:numPr>
          <w:ilvl w:val="0"/>
          <w:numId w:val="1"/>
        </w:numPr>
        <w:spacing w:after="60"/>
      </w:pPr>
      <w:r>
        <w:rPr>
          <w:b/>
          <w:bCs/>
          <w:sz w:val="21"/>
          <w:szCs w:val="21"/>
        </w:rPr>
        <w:t>Embodied hardware.</w:t>
      </w:r>
      <w:r>
        <w:rPr>
          <w:sz w:val="21"/>
          <w:szCs w:val="21"/>
        </w:rPr>
        <w:t xml:space="preserve"> EMB = HEE × ACS ÷ (HLF in seconds × HUR). Dividing by utilization means idle hardware time is carried by the useful work it supports, so low utilization raises embodied emissions per call.</w:t>
      </w:r>
    </w:p>
    <w:p w14:paraId="7B000064" w14:textId="77777777" w:rsidR="0062357D" w:rsidRDefault="007E79DA">
      <w:pPr>
        <w:numPr>
          <w:ilvl w:val="0"/>
          <w:numId w:val="1"/>
        </w:numPr>
        <w:spacing w:after="60"/>
      </w:pPr>
      <w:r>
        <w:rPr>
          <w:b/>
          <w:bCs/>
          <w:sz w:val="21"/>
          <w:szCs w:val="21"/>
        </w:rPr>
        <w:t>Facility overhead.</w:t>
      </w:r>
      <w:r>
        <w:rPr>
          <w:sz w:val="21"/>
          <w:szCs w:val="21"/>
        </w:rPr>
        <w:t xml:space="preserve"> FAC = OPE × (PUE − 1), using provider- and region-specific PUE from §8.5. Water is handled the same way through WUE and reported under the water metric (§4.3).</w:t>
      </w:r>
    </w:p>
    <w:p w14:paraId="7B000065" w14:textId="77777777" w:rsidR="0062357D" w:rsidRDefault="007E79DA">
      <w:pPr>
        <w:numPr>
          <w:ilvl w:val="0"/>
          <w:numId w:val="1"/>
        </w:numPr>
        <w:spacing w:after="60"/>
      </w:pPr>
      <w:r>
        <w:rPr>
          <w:b/>
          <w:bCs/>
          <w:sz w:val="21"/>
          <w:szCs w:val="21"/>
        </w:rPr>
        <w:t>Self-trained.</w:t>
      </w:r>
      <w:r>
        <w:rPr>
          <w:sz w:val="21"/>
          <w:szCs w:val="21"/>
        </w:rPr>
        <w:t xml:space="preserve"> STE is measured directly by the infrastructure agent (§3.3) and attributed in full to the Subscriber that ran the job. It is never amortized across other Subscribers.</w:t>
      </w:r>
    </w:p>
    <w:p w14:paraId="7B000066" w14:textId="77777777" w:rsidR="0062357D" w:rsidRDefault="007E79DA">
      <w:pPr>
        <w:numPr>
          <w:ilvl w:val="0"/>
          <w:numId w:val="1"/>
        </w:numPr>
        <w:spacing w:after="60"/>
      </w:pPr>
      <w:r>
        <w:rPr>
          <w:b/>
          <w:bCs/>
          <w:sz w:val="21"/>
          <w:szCs w:val="21"/>
        </w:rPr>
        <w:t>Governance.</w:t>
      </w:r>
      <w:r>
        <w:rPr>
          <w:sz w:val="21"/>
          <w:szCs w:val="21"/>
        </w:rPr>
        <w:t xml:space="preserve"> Every default (deployment life, hardware life, construction share, PUE) is versioned configuration under §8.4, and every TLE and HEE value cites its source in Appendix A.</w:t>
      </w:r>
    </w:p>
    <w:p w14:paraId="7B000067" w14:textId="77777777" w:rsidR="0062357D" w:rsidRDefault="007E79DA">
      <w:pPr>
        <w:pStyle w:val="Heading3"/>
        <w:spacing w:before="200" w:after="100"/>
      </w:pPr>
      <w:r>
        <w:rPr>
          <w:b/>
          <w:bCs/>
          <w:color w:val="333333"/>
          <w:sz w:val="21"/>
          <w:szCs w:val="21"/>
        </w:rPr>
        <w:t>8.8.4 Reporting Rules</w:t>
      </w:r>
    </w:p>
    <w:p w14:paraId="7B000068" w14:textId="77777777" w:rsidR="0062357D" w:rsidRDefault="007E79DA">
      <w:pPr>
        <w:numPr>
          <w:ilvl w:val="0"/>
          <w:numId w:val="1"/>
        </w:numPr>
        <w:spacing w:after="60"/>
      </w:pPr>
      <w:r>
        <w:rPr>
          <w:b/>
          <w:bCs/>
          <w:sz w:val="21"/>
          <w:szCs w:val="21"/>
        </w:rPr>
        <w:t>Always show the split.</w:t>
      </w:r>
      <w:r>
        <w:rPr>
          <w:sz w:val="21"/>
          <w:szCs w:val="21"/>
        </w:rPr>
        <w:t xml:space="preserve"> Dashboards (§6.3), exports and Return-on-Impact reports display operational (OPE + FAC), training (TRA) and embodied (EMB) separately. A blended total is never shown without its components.</w:t>
      </w:r>
    </w:p>
    <w:p w14:paraId="7B000069" w14:textId="77777777" w:rsidR="0062357D" w:rsidRDefault="007E79DA">
      <w:pPr>
        <w:numPr>
          <w:ilvl w:val="0"/>
          <w:numId w:val="1"/>
        </w:numPr>
        <w:spacing w:after="60"/>
      </w:pPr>
      <w:r>
        <w:rPr>
          <w:b/>
          <w:bCs/>
          <w:sz w:val="21"/>
          <w:szCs w:val="21"/>
        </w:rPr>
        <w:t>Confidence travels with each component.</w:t>
      </w:r>
      <w:r>
        <w:rPr>
          <w:sz w:val="21"/>
          <w:szCs w:val="21"/>
        </w:rPr>
        <w:t xml:space="preserve"> Each component carries its measured / modeled / estimated tag (§8.1–§8.3); D-LCE inherits the lowest confidence of its inputs.</w:t>
      </w:r>
    </w:p>
    <w:p w14:paraId="7B00006A" w14:textId="77777777" w:rsidR="0062357D" w:rsidRDefault="007E79DA">
      <w:pPr>
        <w:numPr>
          <w:ilvl w:val="0"/>
          <w:numId w:val="1"/>
        </w:numPr>
        <w:spacing w:after="60"/>
      </w:pPr>
      <w:r>
        <w:rPr>
          <w:b/>
          <w:bCs/>
          <w:sz w:val="21"/>
          <w:szCs w:val="21"/>
        </w:rPr>
        <w:t>SCI alignment.</w:t>
      </w:r>
      <w:r>
        <w:rPr>
          <w:sz w:val="21"/>
          <w:szCs w:val="21"/>
        </w:rPr>
        <w:t xml:space="preserve"> OPE + FAC map to the SCI operational term (energy × intensity) and EMB to the embodied term (M), with UOC as the functional unit, making D-SCI conformant with the GSF Software Carbon Intensity approach (§11). TRA is reported as a disclosed extension alongside it.</w:t>
      </w:r>
    </w:p>
    <w:p w14:paraId="7B00006B" w14:textId="77777777" w:rsidR="0062357D" w:rsidRDefault="007E79DA">
      <w:pPr>
        <w:numPr>
          <w:ilvl w:val="0"/>
          <w:numId w:val="1"/>
        </w:numPr>
        <w:spacing w:after="60"/>
      </w:pPr>
      <w:r>
        <w:rPr>
          <w:b/>
          <w:bCs/>
          <w:sz w:val="21"/>
          <w:szCs w:val="21"/>
        </w:rPr>
        <w:t>GHG Protocol and double counting.</w:t>
      </w:r>
      <w:r>
        <w:rPr>
          <w:sz w:val="21"/>
          <w:szCs w:val="21"/>
        </w:rPr>
        <w:t xml:space="preserve"> For Subscribers, all components are Scope 3 purchased services. Marketplace retirements (§10) state which components they cover, and a provider’s own offsets are not credited to a Subscriber unless independently verified.</w:t>
      </w:r>
    </w:p>
    <w:p w14:paraId="7B00006C" w14:textId="77777777" w:rsidR="0062357D" w:rsidRDefault="007E79DA">
      <w:pPr>
        <w:numPr>
          <w:ilvl w:val="0"/>
          <w:numId w:val="1"/>
        </w:numPr>
        <w:spacing w:after="60"/>
      </w:pPr>
      <w:r>
        <w:rPr>
          <w:b/>
          <w:bCs/>
          <w:sz w:val="21"/>
          <w:szCs w:val="21"/>
        </w:rPr>
        <w:t>Right-sizing interaction.</w:t>
      </w:r>
      <w:r>
        <w:rPr>
          <w:sz w:val="21"/>
          <w:szCs w:val="21"/>
        </w:rPr>
        <w:t xml:space="preserve"> Right-sizing actions (§21) reduce OPE and FAC directly and reduce EMB through higher utilization. TRA falls only through model choice: a smaller model carries a smaller training share per token.</w:t>
      </w:r>
    </w:p>
    <w:p w14:paraId="7C000001" w14:textId="77777777" w:rsidR="0062357D" w:rsidRDefault="007E79DA">
      <w:pPr>
        <w:pStyle w:val="Heading3"/>
        <w:spacing w:before="200" w:after="100"/>
      </w:pPr>
      <w:r>
        <w:rPr>
          <w:b/>
          <w:bCs/>
          <w:color w:val="333333"/>
          <w:sz w:val="21"/>
          <w:szCs w:val="21"/>
        </w:rPr>
        <w:t>8.8.5 Published Reference Values</w:t>
      </w:r>
    </w:p>
    <w:p w14:paraId="7C000002" w14:textId="77777777" w:rsidR="0062357D" w:rsidRDefault="007E79DA">
      <w:pPr>
        <w:spacing w:after="140"/>
      </w:pPr>
      <w:r>
        <w:rPr>
          <w:sz w:val="21"/>
          <w:szCs w:val="21"/>
        </w:rPr>
        <w:t>The following disclosures and peer-reviewed studies provide cited starting values for the lifecycle components. Each is loaded as versioned configuration (§8.4) with its system boundary recorded, because boundaries differ between sources and directly change results.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1700"/>
        <w:gridCol w:w="3600"/>
        <w:gridCol w:w="2000"/>
      </w:tblGrid>
      <w:tr w:rsidR="0062357D" w14:paraId="48C4E42B" w14:textId="77777777">
        <w:trPr>
          <w:tblHeader/>
        </w:trPr>
        <w:tc>
          <w:tcPr>
            <w:tcW w:w="2300" w:type="dxa"/>
            <w:shd w:val="clear" w:color="auto" w:fill="1E7A4C"/>
            <w:tcMar>
              <w:top w:w="80" w:type="dxa"/>
              <w:left w:w="100" w:type="dxa"/>
              <w:bottom w:w="80" w:type="dxa"/>
              <w:right w:w="100" w:type="dxa"/>
            </w:tcMar>
          </w:tcPr>
          <w:p w14:paraId="7C000003" w14:textId="77777777" w:rsidR="0062357D" w:rsidRDefault="007E79DA">
            <w:r>
              <w:rPr>
                <w:b/>
                <w:bCs/>
                <w:color w:val="FFFFFF"/>
                <w:sz w:val="19"/>
                <w:szCs w:val="19"/>
              </w:rPr>
              <w:t>Item</w:t>
            </w:r>
          </w:p>
        </w:tc>
        <w:tc>
          <w:tcPr>
            <w:tcW w:w="1700" w:type="dxa"/>
            <w:shd w:val="clear" w:color="auto" w:fill="1E7A4C"/>
            <w:tcMar>
              <w:top w:w="80" w:type="dxa"/>
              <w:left w:w="100" w:type="dxa"/>
              <w:bottom w:w="80" w:type="dxa"/>
              <w:right w:w="100" w:type="dxa"/>
            </w:tcMar>
          </w:tcPr>
          <w:p w14:paraId="7C000004" w14:textId="77777777" w:rsidR="0062357D" w:rsidRDefault="007E79DA">
            <w:r>
              <w:rPr>
                <w:b/>
                <w:bCs/>
                <w:color w:val="FFFFFF"/>
                <w:sz w:val="19"/>
                <w:szCs w:val="19"/>
              </w:rPr>
              <w:t>Value</w:t>
            </w:r>
          </w:p>
        </w:tc>
        <w:tc>
          <w:tcPr>
            <w:tcW w:w="3600" w:type="dxa"/>
            <w:shd w:val="clear" w:color="auto" w:fill="1E7A4C"/>
            <w:tcMar>
              <w:top w:w="80" w:type="dxa"/>
              <w:left w:w="100" w:type="dxa"/>
              <w:bottom w:w="80" w:type="dxa"/>
              <w:right w:w="100" w:type="dxa"/>
            </w:tcMar>
          </w:tcPr>
          <w:p w14:paraId="7C000005" w14:textId="77777777" w:rsidR="0062357D" w:rsidRDefault="007E79DA">
            <w:r>
              <w:rPr>
                <w:b/>
                <w:bCs/>
                <w:color w:val="FFFFFF"/>
                <w:sz w:val="19"/>
                <w:szCs w:val="19"/>
              </w:rPr>
              <w:t>Scope and boundary</w:t>
            </w:r>
          </w:p>
        </w:tc>
        <w:tc>
          <w:tcPr>
            <w:tcW w:w="2000" w:type="dxa"/>
            <w:shd w:val="clear" w:color="auto" w:fill="1E7A4C"/>
            <w:tcMar>
              <w:top w:w="80" w:type="dxa"/>
              <w:left w:w="100" w:type="dxa"/>
              <w:bottom w:w="80" w:type="dxa"/>
              <w:right w:w="100" w:type="dxa"/>
            </w:tcMar>
          </w:tcPr>
          <w:p w14:paraId="7C000006" w14:textId="77777777" w:rsidR="0062357D" w:rsidRDefault="007E79DA">
            <w:r>
              <w:rPr>
                <w:b/>
                <w:bCs/>
                <w:color w:val="FFFFFF"/>
                <w:sz w:val="19"/>
                <w:szCs w:val="19"/>
              </w:rPr>
              <w:t>Source</w:t>
            </w:r>
          </w:p>
        </w:tc>
      </w:tr>
      <w:tr w:rsidR="0062357D" w14:paraId="4472290D" w14:textId="77777777">
        <w:trPr>
          <w:cantSplit/>
        </w:trPr>
        <w:tc>
          <w:tcPr>
            <w:tcW w:w="2300" w:type="dxa"/>
            <w:tcMar>
              <w:top w:w="80" w:type="dxa"/>
              <w:left w:w="100" w:type="dxa"/>
              <w:bottom w:w="80" w:type="dxa"/>
              <w:right w:w="100" w:type="dxa"/>
            </w:tcMar>
          </w:tcPr>
          <w:p w14:paraId="7C000007" w14:textId="77777777" w:rsidR="0062357D" w:rsidRDefault="007E79DA">
            <w:r>
              <w:rPr>
                <w:sz w:val="19"/>
                <w:szCs w:val="19"/>
              </w:rPr>
              <w:t>Mistral Large 2: training plus 18 months of use</w:t>
            </w:r>
          </w:p>
        </w:tc>
        <w:tc>
          <w:tcPr>
            <w:tcW w:w="1700" w:type="dxa"/>
            <w:tcMar>
              <w:top w:w="80" w:type="dxa"/>
              <w:left w:w="100" w:type="dxa"/>
              <w:bottom w:w="80" w:type="dxa"/>
              <w:right w:w="100" w:type="dxa"/>
            </w:tcMar>
          </w:tcPr>
          <w:p w14:paraId="7C000008" w14:textId="77777777" w:rsidR="0062357D" w:rsidRDefault="007E79DA">
            <w:r>
              <w:rPr>
                <w:sz w:val="19"/>
                <w:szCs w:val="19"/>
              </w:rPr>
              <w:t>20.4 ktCO2e</w:t>
            </w:r>
          </w:p>
        </w:tc>
        <w:tc>
          <w:tcPr>
            <w:tcW w:w="3600" w:type="dxa"/>
            <w:tcMar>
              <w:top w:w="80" w:type="dxa"/>
              <w:left w:w="100" w:type="dxa"/>
              <w:bottom w:w="80" w:type="dxa"/>
              <w:right w:w="100" w:type="dxa"/>
            </w:tcMar>
          </w:tcPr>
          <w:p w14:paraId="7C000009" w14:textId="77777777" w:rsidR="0062357D" w:rsidRDefault="007E79DA">
            <w:r>
              <w:rPr>
                <w:sz w:val="19"/>
                <w:szCs w:val="19"/>
              </w:rPr>
              <w:t>Full lifecycle, location-based, including upstream hardware manufacturing; ISO 14040/44 and GHG Protocol Product Standard; peer reviewed</w:t>
            </w:r>
          </w:p>
        </w:tc>
        <w:tc>
          <w:tcPr>
            <w:tcW w:w="2000" w:type="dxa"/>
            <w:tcMar>
              <w:top w:w="80" w:type="dxa"/>
              <w:left w:w="100" w:type="dxa"/>
              <w:bottom w:w="80" w:type="dxa"/>
              <w:right w:w="100" w:type="dxa"/>
            </w:tcMar>
          </w:tcPr>
          <w:p w14:paraId="7C00000A" w14:textId="77777777" w:rsidR="0062357D" w:rsidRDefault="007E79DA">
            <w:r>
              <w:rPr>
                <w:sz w:val="19"/>
                <w:szCs w:val="19"/>
              </w:rPr>
              <w:t>Mistral AI with Carbone 4 and ADEME (Jul 2025)</w:t>
            </w:r>
          </w:p>
        </w:tc>
      </w:tr>
      <w:tr w:rsidR="0062357D" w14:paraId="6A9DB2FC" w14:textId="77777777">
        <w:trPr>
          <w:cantSplit/>
        </w:trPr>
        <w:tc>
          <w:tcPr>
            <w:tcW w:w="2300" w:type="dxa"/>
            <w:tcMar>
              <w:top w:w="80" w:type="dxa"/>
              <w:left w:w="100" w:type="dxa"/>
              <w:bottom w:w="80" w:type="dxa"/>
              <w:right w:w="100" w:type="dxa"/>
            </w:tcMar>
          </w:tcPr>
          <w:p w14:paraId="7C00000B" w14:textId="77777777" w:rsidR="0062357D" w:rsidRDefault="007E79DA">
            <w:r>
              <w:rPr>
                <w:sz w:val="19"/>
                <w:szCs w:val="19"/>
              </w:rPr>
              <w:t>Mistral Le Chat, one 400-token response</w:t>
            </w:r>
          </w:p>
        </w:tc>
        <w:tc>
          <w:tcPr>
            <w:tcW w:w="1700" w:type="dxa"/>
            <w:tcMar>
              <w:top w:w="80" w:type="dxa"/>
              <w:left w:w="100" w:type="dxa"/>
              <w:bottom w:w="80" w:type="dxa"/>
              <w:right w:w="100" w:type="dxa"/>
            </w:tcMar>
          </w:tcPr>
          <w:p w14:paraId="7C00000C" w14:textId="77777777" w:rsidR="0062357D" w:rsidRDefault="007E79DA">
            <w:r>
              <w:rPr>
                <w:sz w:val="19"/>
                <w:szCs w:val="19"/>
              </w:rPr>
              <w:t>1.14 gCO2e; 45 mL water</w:t>
            </w:r>
          </w:p>
        </w:tc>
        <w:tc>
          <w:tcPr>
            <w:tcW w:w="3600" w:type="dxa"/>
            <w:tcMar>
              <w:top w:w="80" w:type="dxa"/>
              <w:left w:w="100" w:type="dxa"/>
              <w:bottom w:w="80" w:type="dxa"/>
              <w:right w:w="100" w:type="dxa"/>
            </w:tcMar>
          </w:tcPr>
          <w:p w14:paraId="7C00000D" w14:textId="77777777" w:rsidR="0062357D" w:rsidRDefault="007E79DA">
            <w:r>
              <w:rPr>
                <w:sz w:val="19"/>
                <w:szCs w:val="19"/>
              </w:rPr>
              <w:t>Marginal inference including upstream impacts; excludes the user’s device</w:t>
            </w:r>
          </w:p>
        </w:tc>
        <w:tc>
          <w:tcPr>
            <w:tcW w:w="2000" w:type="dxa"/>
            <w:tcMar>
              <w:top w:w="80" w:type="dxa"/>
              <w:left w:w="100" w:type="dxa"/>
              <w:bottom w:w="80" w:type="dxa"/>
              <w:right w:w="100" w:type="dxa"/>
            </w:tcMar>
          </w:tcPr>
          <w:p w14:paraId="7C00000E" w14:textId="77777777" w:rsidR="0062357D" w:rsidRDefault="007E79DA">
            <w:r>
              <w:rPr>
                <w:sz w:val="19"/>
                <w:szCs w:val="19"/>
              </w:rPr>
              <w:t>Mistral AI (Jul 2025)</w:t>
            </w:r>
          </w:p>
        </w:tc>
      </w:tr>
      <w:tr w:rsidR="0062357D" w14:paraId="3EE85087" w14:textId="77777777">
        <w:trPr>
          <w:cantSplit/>
        </w:trPr>
        <w:tc>
          <w:tcPr>
            <w:tcW w:w="2300" w:type="dxa"/>
            <w:tcMar>
              <w:top w:w="80" w:type="dxa"/>
              <w:left w:w="100" w:type="dxa"/>
              <w:bottom w:w="80" w:type="dxa"/>
              <w:right w:w="100" w:type="dxa"/>
            </w:tcMar>
          </w:tcPr>
          <w:p w14:paraId="7C00000F" w14:textId="77777777" w:rsidR="0062357D" w:rsidRDefault="007E79DA">
            <w:r>
              <w:rPr>
                <w:sz w:val="19"/>
                <w:szCs w:val="19"/>
              </w:rPr>
              <w:t>Gemini Apps median text prompt, comprehensive method</w:t>
            </w:r>
          </w:p>
        </w:tc>
        <w:tc>
          <w:tcPr>
            <w:tcW w:w="1700" w:type="dxa"/>
            <w:tcMar>
              <w:top w:w="80" w:type="dxa"/>
              <w:left w:w="100" w:type="dxa"/>
              <w:bottom w:w="80" w:type="dxa"/>
              <w:right w:w="100" w:type="dxa"/>
            </w:tcMar>
          </w:tcPr>
          <w:p w14:paraId="7C000010" w14:textId="77777777" w:rsidR="0062357D" w:rsidRDefault="007E79DA">
            <w:r>
              <w:rPr>
                <w:sz w:val="19"/>
                <w:szCs w:val="19"/>
              </w:rPr>
              <w:t xml:space="preserve">0.24 </w:t>
            </w:r>
            <w:proofErr w:type="spellStart"/>
            <w:r>
              <w:rPr>
                <w:sz w:val="19"/>
                <w:szCs w:val="19"/>
              </w:rPr>
              <w:t>Wh</w:t>
            </w:r>
            <w:proofErr w:type="spellEnd"/>
            <w:r>
              <w:rPr>
                <w:sz w:val="19"/>
                <w:szCs w:val="19"/>
              </w:rPr>
              <w:t>; 0.03 gCO2e; 0.26 mL water</w:t>
            </w:r>
          </w:p>
        </w:tc>
        <w:tc>
          <w:tcPr>
            <w:tcW w:w="3600" w:type="dxa"/>
            <w:tcMar>
              <w:top w:w="80" w:type="dxa"/>
              <w:left w:w="100" w:type="dxa"/>
              <w:bottom w:w="80" w:type="dxa"/>
              <w:right w:w="100" w:type="dxa"/>
            </w:tcMar>
          </w:tcPr>
          <w:p w14:paraId="7C000011" w14:textId="77777777" w:rsidR="0062357D" w:rsidRDefault="007E79DA">
            <w:r>
              <w:rPr>
                <w:sz w:val="19"/>
                <w:szCs w:val="19"/>
              </w:rPr>
              <w:t>Includes host CPU/DRAM, idle capacity, facility overhead and embodied hardware; market-based. Split: 0.023 g Scope 2, 0.010 g Scope 1+3</w:t>
            </w:r>
          </w:p>
        </w:tc>
        <w:tc>
          <w:tcPr>
            <w:tcW w:w="2000" w:type="dxa"/>
            <w:tcMar>
              <w:top w:w="80" w:type="dxa"/>
              <w:left w:w="100" w:type="dxa"/>
              <w:bottom w:w="80" w:type="dxa"/>
              <w:right w:w="100" w:type="dxa"/>
            </w:tcMar>
          </w:tcPr>
          <w:p w14:paraId="7C000012" w14:textId="77777777" w:rsidR="0062357D" w:rsidRDefault="007E79DA">
            <w:proofErr w:type="spellStart"/>
            <w:r>
              <w:rPr>
                <w:sz w:val="19"/>
                <w:szCs w:val="19"/>
              </w:rPr>
              <w:t>Elsworth</w:t>
            </w:r>
            <w:proofErr w:type="spellEnd"/>
            <w:r>
              <w:rPr>
                <w:sz w:val="19"/>
                <w:szCs w:val="19"/>
              </w:rPr>
              <w:t xml:space="preserve"> et al., Google (Aug 2025)</w:t>
            </w:r>
          </w:p>
        </w:tc>
      </w:tr>
      <w:tr w:rsidR="0062357D" w14:paraId="716622DB" w14:textId="77777777">
        <w:trPr>
          <w:cantSplit/>
        </w:trPr>
        <w:tc>
          <w:tcPr>
            <w:tcW w:w="2300" w:type="dxa"/>
            <w:tcMar>
              <w:top w:w="80" w:type="dxa"/>
              <w:left w:w="100" w:type="dxa"/>
              <w:bottom w:w="80" w:type="dxa"/>
              <w:right w:w="100" w:type="dxa"/>
            </w:tcMar>
          </w:tcPr>
          <w:p w14:paraId="7C000013" w14:textId="77777777" w:rsidR="0062357D" w:rsidRDefault="007E79DA">
            <w:r>
              <w:rPr>
                <w:sz w:val="19"/>
                <w:szCs w:val="19"/>
              </w:rPr>
              <w:t>Gemini Apps median text prompt, accelerator-only method</w:t>
            </w:r>
          </w:p>
        </w:tc>
        <w:tc>
          <w:tcPr>
            <w:tcW w:w="1700" w:type="dxa"/>
            <w:tcMar>
              <w:top w:w="80" w:type="dxa"/>
              <w:left w:w="100" w:type="dxa"/>
              <w:bottom w:w="80" w:type="dxa"/>
              <w:right w:w="100" w:type="dxa"/>
            </w:tcMar>
          </w:tcPr>
          <w:p w14:paraId="7C000014" w14:textId="77777777" w:rsidR="0062357D" w:rsidRDefault="007E79DA">
            <w:r>
              <w:rPr>
                <w:sz w:val="19"/>
                <w:szCs w:val="19"/>
              </w:rPr>
              <w:t xml:space="preserve">0.10 </w:t>
            </w:r>
            <w:proofErr w:type="spellStart"/>
            <w:r>
              <w:rPr>
                <w:sz w:val="19"/>
                <w:szCs w:val="19"/>
              </w:rPr>
              <w:t>Wh</w:t>
            </w:r>
            <w:proofErr w:type="spellEnd"/>
            <w:r>
              <w:rPr>
                <w:sz w:val="19"/>
                <w:szCs w:val="19"/>
              </w:rPr>
              <w:t>; 0.02 gCO2e</w:t>
            </w:r>
          </w:p>
        </w:tc>
        <w:tc>
          <w:tcPr>
            <w:tcW w:w="3600" w:type="dxa"/>
            <w:tcMar>
              <w:top w:w="80" w:type="dxa"/>
              <w:left w:w="100" w:type="dxa"/>
              <w:bottom w:w="80" w:type="dxa"/>
              <w:right w:w="100" w:type="dxa"/>
            </w:tcMar>
          </w:tcPr>
          <w:p w14:paraId="7C000015" w14:textId="77777777" w:rsidR="0062357D" w:rsidRDefault="007E79DA">
            <w:r>
              <w:rPr>
                <w:sz w:val="19"/>
                <w:szCs w:val="19"/>
              </w:rPr>
              <w:t>Active accelerator is 58% of total energy; the narrow method understates energy by 2.4x</w:t>
            </w:r>
          </w:p>
        </w:tc>
        <w:tc>
          <w:tcPr>
            <w:tcW w:w="2000" w:type="dxa"/>
            <w:tcMar>
              <w:top w:w="80" w:type="dxa"/>
              <w:left w:w="100" w:type="dxa"/>
              <w:bottom w:w="80" w:type="dxa"/>
              <w:right w:w="100" w:type="dxa"/>
            </w:tcMar>
          </w:tcPr>
          <w:p w14:paraId="7C000016" w14:textId="77777777" w:rsidR="0062357D" w:rsidRDefault="007E79DA">
            <w:proofErr w:type="spellStart"/>
            <w:r>
              <w:rPr>
                <w:sz w:val="19"/>
                <w:szCs w:val="19"/>
              </w:rPr>
              <w:t>Elsworth</w:t>
            </w:r>
            <w:proofErr w:type="spellEnd"/>
            <w:r>
              <w:rPr>
                <w:sz w:val="19"/>
                <w:szCs w:val="19"/>
              </w:rPr>
              <w:t xml:space="preserve"> et al., Google (Aug 2025)</w:t>
            </w:r>
          </w:p>
        </w:tc>
      </w:tr>
      <w:tr w:rsidR="0062357D" w14:paraId="76542743" w14:textId="77777777">
        <w:trPr>
          <w:cantSplit/>
        </w:trPr>
        <w:tc>
          <w:tcPr>
            <w:tcW w:w="2300" w:type="dxa"/>
            <w:tcMar>
              <w:top w:w="80" w:type="dxa"/>
              <w:left w:w="100" w:type="dxa"/>
              <w:bottom w:w="80" w:type="dxa"/>
              <w:right w:w="100" w:type="dxa"/>
            </w:tcMar>
          </w:tcPr>
          <w:p w14:paraId="7C000017" w14:textId="77777777" w:rsidR="0062357D" w:rsidRDefault="007E79DA">
            <w:r>
              <w:rPr>
                <w:sz w:val="19"/>
                <w:szCs w:val="19"/>
              </w:rPr>
              <w:t>Llama 3.1 training: 8B / 70B / 405B</w:t>
            </w:r>
          </w:p>
        </w:tc>
        <w:tc>
          <w:tcPr>
            <w:tcW w:w="1700" w:type="dxa"/>
            <w:tcMar>
              <w:top w:w="80" w:type="dxa"/>
              <w:left w:w="100" w:type="dxa"/>
              <w:bottom w:w="80" w:type="dxa"/>
              <w:right w:w="100" w:type="dxa"/>
            </w:tcMar>
          </w:tcPr>
          <w:p w14:paraId="7C000018" w14:textId="77777777" w:rsidR="0062357D" w:rsidRDefault="007E79DA">
            <w:r>
              <w:rPr>
                <w:sz w:val="19"/>
                <w:szCs w:val="19"/>
              </w:rPr>
              <w:t>420 / 2,040 / 8,930 tCO2e</w:t>
            </w:r>
          </w:p>
        </w:tc>
        <w:tc>
          <w:tcPr>
            <w:tcW w:w="3600" w:type="dxa"/>
            <w:tcMar>
              <w:top w:w="80" w:type="dxa"/>
              <w:left w:w="100" w:type="dxa"/>
              <w:bottom w:w="80" w:type="dxa"/>
              <w:right w:w="100" w:type="dxa"/>
            </w:tcMar>
          </w:tcPr>
          <w:p w14:paraId="7C000019" w14:textId="77777777" w:rsidR="0062357D" w:rsidRDefault="007E79DA">
            <w:r>
              <w:rPr>
                <w:sz w:val="19"/>
                <w:szCs w:val="19"/>
              </w:rPr>
              <w:t xml:space="preserve">Location-based, operational only (no embodied); 39.3M H100 GPU-hours in total; about 15T </w:t>
            </w:r>
            <w:proofErr w:type="spellStart"/>
            <w:r>
              <w:rPr>
                <w:sz w:val="19"/>
                <w:szCs w:val="19"/>
              </w:rPr>
              <w:t>pretraining</w:t>
            </w:r>
            <w:proofErr w:type="spellEnd"/>
            <w:r>
              <w:rPr>
                <w:sz w:val="19"/>
                <w:szCs w:val="19"/>
              </w:rPr>
              <w:t xml:space="preserve"> tokens; market-based reported as 0</w:t>
            </w:r>
          </w:p>
        </w:tc>
        <w:tc>
          <w:tcPr>
            <w:tcW w:w="2000" w:type="dxa"/>
            <w:tcMar>
              <w:top w:w="80" w:type="dxa"/>
              <w:left w:w="100" w:type="dxa"/>
              <w:bottom w:w="80" w:type="dxa"/>
              <w:right w:w="100" w:type="dxa"/>
            </w:tcMar>
          </w:tcPr>
          <w:p w14:paraId="7C00001A" w14:textId="77777777" w:rsidR="0062357D" w:rsidRDefault="007E79DA">
            <w:r>
              <w:rPr>
                <w:sz w:val="19"/>
                <w:szCs w:val="19"/>
              </w:rPr>
              <w:t>Meta, Llama 3.1 model card (Jul 2024)</w:t>
            </w:r>
          </w:p>
        </w:tc>
      </w:tr>
      <w:tr w:rsidR="0062357D" w14:paraId="15733159" w14:textId="77777777">
        <w:trPr>
          <w:cantSplit/>
        </w:trPr>
        <w:tc>
          <w:tcPr>
            <w:tcW w:w="2300" w:type="dxa"/>
            <w:tcMar>
              <w:top w:w="80" w:type="dxa"/>
              <w:left w:w="100" w:type="dxa"/>
              <w:bottom w:w="80" w:type="dxa"/>
              <w:right w:w="100" w:type="dxa"/>
            </w:tcMar>
          </w:tcPr>
          <w:p w14:paraId="7C00001B" w14:textId="77777777" w:rsidR="0062357D" w:rsidRDefault="007E79DA">
            <w:r>
              <w:rPr>
                <w:sz w:val="19"/>
                <w:szCs w:val="19"/>
              </w:rPr>
              <w:t>BLOOM-176B training</w:t>
            </w:r>
          </w:p>
        </w:tc>
        <w:tc>
          <w:tcPr>
            <w:tcW w:w="1700" w:type="dxa"/>
            <w:tcMar>
              <w:top w:w="80" w:type="dxa"/>
              <w:left w:w="100" w:type="dxa"/>
              <w:bottom w:w="80" w:type="dxa"/>
              <w:right w:w="100" w:type="dxa"/>
            </w:tcMar>
          </w:tcPr>
          <w:p w14:paraId="7C00001C" w14:textId="77777777" w:rsidR="0062357D" w:rsidRDefault="007E79DA">
            <w:r>
              <w:rPr>
                <w:sz w:val="19"/>
                <w:szCs w:val="19"/>
              </w:rPr>
              <w:t>24.7 vs. 50.5 tCO2e</w:t>
            </w:r>
          </w:p>
        </w:tc>
        <w:tc>
          <w:tcPr>
            <w:tcW w:w="3600" w:type="dxa"/>
            <w:tcMar>
              <w:top w:w="80" w:type="dxa"/>
              <w:left w:w="100" w:type="dxa"/>
              <w:bottom w:w="80" w:type="dxa"/>
              <w:right w:w="100" w:type="dxa"/>
            </w:tcMar>
          </w:tcPr>
          <w:p w14:paraId="7C00001D" w14:textId="77777777" w:rsidR="0062357D" w:rsidRDefault="007E79DA">
            <w:r>
              <w:rPr>
                <w:sz w:val="19"/>
                <w:szCs w:val="19"/>
              </w:rPr>
              <w:t>Dynamic power only vs. including idle and upstream contributions: the system boundary roughly doubles the result</w:t>
            </w:r>
          </w:p>
        </w:tc>
        <w:tc>
          <w:tcPr>
            <w:tcW w:w="2000" w:type="dxa"/>
            <w:tcMar>
              <w:top w:w="80" w:type="dxa"/>
              <w:left w:w="100" w:type="dxa"/>
              <w:bottom w:w="80" w:type="dxa"/>
              <w:right w:w="100" w:type="dxa"/>
            </w:tcMar>
          </w:tcPr>
          <w:p w14:paraId="7C00001E" w14:textId="77777777" w:rsidR="0062357D" w:rsidRDefault="007E79DA">
            <w:proofErr w:type="spellStart"/>
            <w:r>
              <w:rPr>
                <w:sz w:val="19"/>
                <w:szCs w:val="19"/>
              </w:rPr>
              <w:t>Luccioni</w:t>
            </w:r>
            <w:proofErr w:type="spellEnd"/>
            <w:r>
              <w:rPr>
                <w:sz w:val="19"/>
                <w:szCs w:val="19"/>
              </w:rPr>
              <w:t xml:space="preserve"> et al. (2023)</w:t>
            </w:r>
          </w:p>
        </w:tc>
      </w:tr>
      <w:tr w:rsidR="0062357D" w14:paraId="7F38EE7B" w14:textId="77777777">
        <w:trPr>
          <w:cantSplit/>
        </w:trPr>
        <w:tc>
          <w:tcPr>
            <w:tcW w:w="2300" w:type="dxa"/>
            <w:tcMar>
              <w:top w:w="80" w:type="dxa"/>
              <w:left w:w="100" w:type="dxa"/>
              <w:bottom w:w="80" w:type="dxa"/>
              <w:right w:w="100" w:type="dxa"/>
            </w:tcMar>
          </w:tcPr>
          <w:p w14:paraId="7C00001F" w14:textId="77777777" w:rsidR="0062357D" w:rsidRDefault="007E79DA">
            <w:r>
              <w:rPr>
                <w:sz w:val="19"/>
                <w:szCs w:val="19"/>
              </w:rPr>
              <w:t>NVIDIA HGX H100 baseboard (8 GPUs)</w:t>
            </w:r>
          </w:p>
        </w:tc>
        <w:tc>
          <w:tcPr>
            <w:tcW w:w="1700" w:type="dxa"/>
            <w:tcMar>
              <w:top w:w="80" w:type="dxa"/>
              <w:left w:w="100" w:type="dxa"/>
              <w:bottom w:w="80" w:type="dxa"/>
              <w:right w:w="100" w:type="dxa"/>
            </w:tcMar>
          </w:tcPr>
          <w:p w14:paraId="7C000020" w14:textId="77777777" w:rsidR="0062357D" w:rsidRDefault="007E79DA">
            <w:r>
              <w:rPr>
                <w:sz w:val="19"/>
                <w:szCs w:val="19"/>
              </w:rPr>
              <w:t>1,312 kgCO2e (about 164 per GPU)</w:t>
            </w:r>
          </w:p>
        </w:tc>
        <w:tc>
          <w:tcPr>
            <w:tcW w:w="3600" w:type="dxa"/>
            <w:tcMar>
              <w:top w:w="80" w:type="dxa"/>
              <w:left w:w="100" w:type="dxa"/>
              <w:bottom w:w="80" w:type="dxa"/>
              <w:right w:w="100" w:type="dxa"/>
            </w:tcMar>
          </w:tcPr>
          <w:p w14:paraId="7C000021" w14:textId="77777777" w:rsidR="0062357D" w:rsidRDefault="007E79DA">
            <w:r>
              <w:rPr>
                <w:sz w:val="19"/>
                <w:szCs w:val="19"/>
              </w:rPr>
              <w:t>Cradle-to-gate, baseboard only; excludes CPUs, server chassis, storage, networking and facility. Memory 42%, ICs 25%, thermal 18%</w:t>
            </w:r>
          </w:p>
        </w:tc>
        <w:tc>
          <w:tcPr>
            <w:tcW w:w="2000" w:type="dxa"/>
            <w:tcMar>
              <w:top w:w="80" w:type="dxa"/>
              <w:left w:w="100" w:type="dxa"/>
              <w:bottom w:w="80" w:type="dxa"/>
              <w:right w:w="100" w:type="dxa"/>
            </w:tcMar>
          </w:tcPr>
          <w:p w14:paraId="7C000022" w14:textId="77777777" w:rsidR="0062357D" w:rsidRDefault="007E79DA">
            <w:r>
              <w:rPr>
                <w:sz w:val="19"/>
                <w:szCs w:val="19"/>
              </w:rPr>
              <w:t>NVIDIA Product Carbon Footprint (2025)</w:t>
            </w:r>
          </w:p>
        </w:tc>
      </w:tr>
      <w:tr w:rsidR="0062357D" w14:paraId="4621EC01" w14:textId="77777777">
        <w:trPr>
          <w:cantSplit/>
        </w:trPr>
        <w:tc>
          <w:tcPr>
            <w:tcW w:w="2300" w:type="dxa"/>
            <w:tcMar>
              <w:top w:w="80" w:type="dxa"/>
              <w:left w:w="100" w:type="dxa"/>
              <w:bottom w:w="80" w:type="dxa"/>
              <w:right w:w="100" w:type="dxa"/>
            </w:tcMar>
          </w:tcPr>
          <w:p w14:paraId="7C000023" w14:textId="77777777" w:rsidR="0062357D" w:rsidRDefault="007E79DA">
            <w:r>
              <w:rPr>
                <w:sz w:val="19"/>
                <w:szCs w:val="19"/>
              </w:rPr>
              <w:t>Embodied intensity, HGX H100 / HGX B200</w:t>
            </w:r>
          </w:p>
        </w:tc>
        <w:tc>
          <w:tcPr>
            <w:tcW w:w="1700" w:type="dxa"/>
            <w:tcMar>
              <w:top w:w="80" w:type="dxa"/>
              <w:left w:w="100" w:type="dxa"/>
              <w:bottom w:w="80" w:type="dxa"/>
              <w:right w:w="100" w:type="dxa"/>
            </w:tcMar>
          </w:tcPr>
          <w:p w14:paraId="7C000024" w14:textId="77777777" w:rsidR="0062357D" w:rsidRDefault="007E79DA">
            <w:r>
              <w:rPr>
                <w:sz w:val="19"/>
                <w:szCs w:val="19"/>
              </w:rPr>
              <w:t xml:space="preserve">0.66 / 0.50 gCO2e per </w:t>
            </w:r>
            <w:proofErr w:type="spellStart"/>
            <w:r>
              <w:rPr>
                <w:sz w:val="19"/>
                <w:szCs w:val="19"/>
              </w:rPr>
              <w:t>exaFLOP</w:t>
            </w:r>
            <w:proofErr w:type="spellEnd"/>
            <w:r>
              <w:rPr>
                <w:sz w:val="19"/>
                <w:szCs w:val="19"/>
              </w:rPr>
              <w:t xml:space="preserve"> (FP16)</w:t>
            </w:r>
          </w:p>
        </w:tc>
        <w:tc>
          <w:tcPr>
            <w:tcW w:w="3600" w:type="dxa"/>
            <w:tcMar>
              <w:top w:w="80" w:type="dxa"/>
              <w:left w:w="100" w:type="dxa"/>
              <w:bottom w:w="80" w:type="dxa"/>
              <w:right w:w="100" w:type="dxa"/>
            </w:tcMar>
          </w:tcPr>
          <w:p w14:paraId="7C000025" w14:textId="77777777" w:rsidR="0062357D" w:rsidRDefault="007E79DA">
            <w:r>
              <w:rPr>
                <w:sz w:val="19"/>
                <w:szCs w:val="19"/>
              </w:rPr>
              <w:t>Amortized over the product’s lifetime FLOPs</w:t>
            </w:r>
          </w:p>
        </w:tc>
        <w:tc>
          <w:tcPr>
            <w:tcW w:w="2000" w:type="dxa"/>
            <w:tcMar>
              <w:top w:w="80" w:type="dxa"/>
              <w:left w:w="100" w:type="dxa"/>
              <w:bottom w:w="80" w:type="dxa"/>
              <w:right w:w="100" w:type="dxa"/>
            </w:tcMar>
          </w:tcPr>
          <w:p w14:paraId="7C000026" w14:textId="77777777" w:rsidR="0062357D" w:rsidRDefault="007E79DA">
            <w:r>
              <w:rPr>
                <w:sz w:val="19"/>
                <w:szCs w:val="19"/>
              </w:rPr>
              <w:t>NVIDIA (2025)</w:t>
            </w:r>
          </w:p>
        </w:tc>
      </w:tr>
      <w:tr w:rsidR="0062357D" w14:paraId="1E67BDDA" w14:textId="77777777">
        <w:trPr>
          <w:cantSplit/>
        </w:trPr>
        <w:tc>
          <w:tcPr>
            <w:tcW w:w="2300" w:type="dxa"/>
            <w:tcMar>
              <w:top w:w="80" w:type="dxa"/>
              <w:left w:w="100" w:type="dxa"/>
              <w:bottom w:w="80" w:type="dxa"/>
              <w:right w:w="100" w:type="dxa"/>
            </w:tcMar>
          </w:tcPr>
          <w:p w14:paraId="7C000027" w14:textId="77777777" w:rsidR="0062357D" w:rsidRDefault="007E79DA">
            <w:r>
              <w:rPr>
                <w:sz w:val="19"/>
                <w:szCs w:val="19"/>
              </w:rPr>
              <w:t>NVIDIA A100 SXM, cradle-to-grave</w:t>
            </w:r>
          </w:p>
        </w:tc>
        <w:tc>
          <w:tcPr>
            <w:tcW w:w="1700" w:type="dxa"/>
            <w:tcMar>
              <w:top w:w="80" w:type="dxa"/>
              <w:left w:w="100" w:type="dxa"/>
              <w:bottom w:w="80" w:type="dxa"/>
              <w:right w:w="100" w:type="dxa"/>
            </w:tcMar>
          </w:tcPr>
          <w:p w14:paraId="7C000028" w14:textId="77777777" w:rsidR="0062357D" w:rsidRDefault="007E79DA">
            <w:r>
              <w:rPr>
                <w:sz w:val="19"/>
                <w:szCs w:val="19"/>
              </w:rPr>
              <w:t>141 kgCO2e per GPU</w:t>
            </w:r>
          </w:p>
        </w:tc>
        <w:tc>
          <w:tcPr>
            <w:tcW w:w="3600" w:type="dxa"/>
            <w:tcMar>
              <w:top w:w="80" w:type="dxa"/>
              <w:left w:w="100" w:type="dxa"/>
              <w:bottom w:w="80" w:type="dxa"/>
              <w:right w:w="100" w:type="dxa"/>
            </w:tcMar>
          </w:tcPr>
          <w:p w14:paraId="7C000029" w14:textId="77777777" w:rsidR="0062357D" w:rsidRDefault="007E79DA">
            <w:r>
              <w:rPr>
                <w:sz w:val="19"/>
                <w:szCs w:val="19"/>
              </w:rPr>
              <w:t>Includes distribution (12%) and disposal; 3-year life assumed</w:t>
            </w:r>
          </w:p>
        </w:tc>
        <w:tc>
          <w:tcPr>
            <w:tcW w:w="2000" w:type="dxa"/>
            <w:tcMar>
              <w:top w:w="80" w:type="dxa"/>
              <w:left w:w="100" w:type="dxa"/>
              <w:bottom w:w="80" w:type="dxa"/>
              <w:right w:w="100" w:type="dxa"/>
            </w:tcMar>
          </w:tcPr>
          <w:p w14:paraId="7C00002A" w14:textId="77777777" w:rsidR="0062357D" w:rsidRDefault="007E79DA">
            <w:r>
              <w:rPr>
                <w:sz w:val="19"/>
                <w:szCs w:val="19"/>
              </w:rPr>
              <w:t>Falk et al., “More than carbon” (2026)</w:t>
            </w:r>
          </w:p>
        </w:tc>
      </w:tr>
    </w:tbl>
    <w:p w14:paraId="7C00002B" w14:textId="77777777" w:rsidR="0062357D" w:rsidRDefault="0062357D">
      <w:pPr>
        <w:spacing w:after="120"/>
      </w:pPr>
    </w:p>
    <w:p w14:paraId="7C00002C" w14:textId="77777777" w:rsidR="0062357D" w:rsidRDefault="007E79DA">
      <w:pPr>
        <w:pStyle w:val="Heading3"/>
        <w:spacing w:before="200" w:after="100"/>
      </w:pPr>
      <w:r>
        <w:rPr>
          <w:b/>
          <w:bCs/>
          <w:color w:val="333333"/>
          <w:sz w:val="21"/>
          <w:szCs w:val="21"/>
        </w:rPr>
        <w:t>8.8.6 Worked Example Using Cited Inputs</w:t>
      </w:r>
    </w:p>
    <w:p w14:paraId="7C00002D" w14:textId="77777777" w:rsidR="0062357D" w:rsidRDefault="007E79DA">
      <w:pPr>
        <w:spacing w:after="140"/>
      </w:pPr>
      <w:r>
        <w:rPr>
          <w:b/>
          <w:bCs/>
          <w:sz w:val="21"/>
          <w:szCs w:val="21"/>
        </w:rPr>
        <w:t>Amortized training (TRA).</w:t>
      </w:r>
      <w:r>
        <w:rPr>
          <w:sz w:val="21"/>
          <w:szCs w:val="21"/>
        </w:rPr>
        <w:t xml:space="preserve"> Llama 3.1 70B has a published training footprint of 2,040 tCO2e (TLE). No provider publishes lifetime token throughput (LTT), so Stardust must estimate it. The per-call training share is highly sensitive to that estimate:</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0"/>
        <w:gridCol w:w="4000"/>
      </w:tblGrid>
      <w:tr w:rsidR="0062357D" w14:paraId="0CEB25B9" w14:textId="77777777">
        <w:trPr>
          <w:tblHeader/>
        </w:trPr>
        <w:tc>
          <w:tcPr>
            <w:tcW w:w="5600" w:type="dxa"/>
            <w:shd w:val="clear" w:color="auto" w:fill="1E7A4C"/>
            <w:tcMar>
              <w:top w:w="80" w:type="dxa"/>
              <w:left w:w="100" w:type="dxa"/>
              <w:bottom w:w="80" w:type="dxa"/>
              <w:right w:w="100" w:type="dxa"/>
            </w:tcMar>
          </w:tcPr>
          <w:p w14:paraId="7C00002E" w14:textId="77777777" w:rsidR="0062357D" w:rsidRDefault="007E79DA">
            <w:r>
              <w:rPr>
                <w:b/>
                <w:bCs/>
                <w:color w:val="FFFFFF"/>
                <w:sz w:val="19"/>
                <w:szCs w:val="19"/>
              </w:rPr>
              <w:t>Assumed LTT (lifetime tokens served)</w:t>
            </w:r>
          </w:p>
        </w:tc>
        <w:tc>
          <w:tcPr>
            <w:tcW w:w="4000" w:type="dxa"/>
            <w:shd w:val="clear" w:color="auto" w:fill="1E7A4C"/>
            <w:tcMar>
              <w:top w:w="80" w:type="dxa"/>
              <w:left w:w="100" w:type="dxa"/>
              <w:bottom w:w="80" w:type="dxa"/>
              <w:right w:w="100" w:type="dxa"/>
            </w:tcMar>
          </w:tcPr>
          <w:p w14:paraId="7C00002F" w14:textId="77777777" w:rsidR="0062357D" w:rsidRDefault="007E79DA">
            <w:r>
              <w:rPr>
                <w:b/>
                <w:bCs/>
                <w:color w:val="FFFFFF"/>
                <w:sz w:val="19"/>
                <w:szCs w:val="19"/>
              </w:rPr>
              <w:t>TRA per 1,000-token call (gCO2e)</w:t>
            </w:r>
          </w:p>
        </w:tc>
      </w:tr>
      <w:tr w:rsidR="0062357D" w14:paraId="3412CF4C" w14:textId="77777777">
        <w:trPr>
          <w:cantSplit/>
        </w:trPr>
        <w:tc>
          <w:tcPr>
            <w:tcW w:w="5600" w:type="dxa"/>
            <w:tcMar>
              <w:top w:w="80" w:type="dxa"/>
              <w:left w:w="100" w:type="dxa"/>
              <w:bottom w:w="80" w:type="dxa"/>
              <w:right w:w="100" w:type="dxa"/>
            </w:tcMar>
          </w:tcPr>
          <w:p w14:paraId="7C000030" w14:textId="77777777" w:rsidR="0062357D" w:rsidRDefault="007E79DA">
            <w:r>
              <w:rPr>
                <w:sz w:val="19"/>
                <w:szCs w:val="19"/>
              </w:rPr>
              <w:t>1 trillion tokens</w:t>
            </w:r>
          </w:p>
        </w:tc>
        <w:tc>
          <w:tcPr>
            <w:tcW w:w="4000" w:type="dxa"/>
            <w:tcMar>
              <w:top w:w="80" w:type="dxa"/>
              <w:left w:w="100" w:type="dxa"/>
              <w:bottom w:w="80" w:type="dxa"/>
              <w:right w:w="100" w:type="dxa"/>
            </w:tcMar>
          </w:tcPr>
          <w:p w14:paraId="7C000031" w14:textId="77777777" w:rsidR="0062357D" w:rsidRDefault="007E79DA">
            <w:r>
              <w:rPr>
                <w:sz w:val="19"/>
                <w:szCs w:val="19"/>
              </w:rPr>
              <w:t>2.04</w:t>
            </w:r>
          </w:p>
        </w:tc>
      </w:tr>
      <w:tr w:rsidR="0062357D" w14:paraId="50A76D13" w14:textId="77777777">
        <w:trPr>
          <w:cantSplit/>
        </w:trPr>
        <w:tc>
          <w:tcPr>
            <w:tcW w:w="5600" w:type="dxa"/>
            <w:tcMar>
              <w:top w:w="80" w:type="dxa"/>
              <w:left w:w="100" w:type="dxa"/>
              <w:bottom w:w="80" w:type="dxa"/>
              <w:right w:w="100" w:type="dxa"/>
            </w:tcMar>
          </w:tcPr>
          <w:p w14:paraId="7C000032" w14:textId="77777777" w:rsidR="0062357D" w:rsidRDefault="007E79DA">
            <w:r>
              <w:rPr>
                <w:sz w:val="19"/>
                <w:szCs w:val="19"/>
              </w:rPr>
              <w:t>10 trillion tokens</w:t>
            </w:r>
          </w:p>
        </w:tc>
        <w:tc>
          <w:tcPr>
            <w:tcW w:w="4000" w:type="dxa"/>
            <w:tcMar>
              <w:top w:w="80" w:type="dxa"/>
              <w:left w:w="100" w:type="dxa"/>
              <w:bottom w:w="80" w:type="dxa"/>
              <w:right w:w="100" w:type="dxa"/>
            </w:tcMar>
          </w:tcPr>
          <w:p w14:paraId="7C000033" w14:textId="77777777" w:rsidR="0062357D" w:rsidRDefault="007E79DA">
            <w:r>
              <w:rPr>
                <w:sz w:val="19"/>
                <w:szCs w:val="19"/>
              </w:rPr>
              <w:t>0.20</w:t>
            </w:r>
          </w:p>
        </w:tc>
      </w:tr>
      <w:tr w:rsidR="0062357D" w14:paraId="42106345" w14:textId="77777777">
        <w:trPr>
          <w:cantSplit/>
        </w:trPr>
        <w:tc>
          <w:tcPr>
            <w:tcW w:w="5600" w:type="dxa"/>
            <w:tcMar>
              <w:top w:w="80" w:type="dxa"/>
              <w:left w:w="100" w:type="dxa"/>
              <w:bottom w:w="80" w:type="dxa"/>
              <w:right w:w="100" w:type="dxa"/>
            </w:tcMar>
          </w:tcPr>
          <w:p w14:paraId="7C000034" w14:textId="77777777" w:rsidR="0062357D" w:rsidRDefault="007E79DA">
            <w:r>
              <w:rPr>
                <w:sz w:val="19"/>
                <w:szCs w:val="19"/>
              </w:rPr>
              <w:t>100 trillion tokens</w:t>
            </w:r>
          </w:p>
        </w:tc>
        <w:tc>
          <w:tcPr>
            <w:tcW w:w="4000" w:type="dxa"/>
            <w:tcMar>
              <w:top w:w="80" w:type="dxa"/>
              <w:left w:w="100" w:type="dxa"/>
              <w:bottom w:w="80" w:type="dxa"/>
              <w:right w:w="100" w:type="dxa"/>
            </w:tcMar>
          </w:tcPr>
          <w:p w14:paraId="7C000035" w14:textId="77777777" w:rsidR="0062357D" w:rsidRDefault="007E79DA">
            <w:r>
              <w:rPr>
                <w:sz w:val="19"/>
                <w:szCs w:val="19"/>
              </w:rPr>
              <w:t>0.02</w:t>
            </w:r>
          </w:p>
        </w:tc>
      </w:tr>
    </w:tbl>
    <w:p w14:paraId="7C000036" w14:textId="77777777" w:rsidR="0062357D" w:rsidRDefault="0062357D">
      <w:pPr>
        <w:spacing w:after="120"/>
      </w:pPr>
    </w:p>
    <w:p w14:paraId="7C000037" w14:textId="77777777" w:rsidR="0062357D" w:rsidRDefault="007E79DA">
      <w:pPr>
        <w:spacing w:after="140"/>
      </w:pPr>
      <w:r>
        <w:rPr>
          <w:sz w:val="21"/>
          <w:szCs w:val="21"/>
        </w:rPr>
        <w:t>For comparison, Mistral reports 1.14 gCO2e for the inference of a 400-token response and Google reports 0.03 gCO2e for a median Gemini prompt. A lightly used model can therefore carry a training share comparable to or larger than its inference emissions, while a heavily used one carries very little. Meta’s figure is also operational only; the BLOOM study shows that adding idle and upstream contributions can roughly double a training footprint.</w:t>
      </w:r>
    </w:p>
    <w:p w14:paraId="7C000038" w14:textId="77777777" w:rsidR="0062357D" w:rsidRDefault="007E79DA">
      <w:pPr>
        <w:spacing w:after="140"/>
      </w:pPr>
      <w:r>
        <w:rPr>
          <w:b/>
          <w:bCs/>
          <w:sz w:val="21"/>
          <w:szCs w:val="21"/>
        </w:rPr>
        <w:t>Embodied hardware (EMB).</w:t>
      </w:r>
      <w:r>
        <w:rPr>
          <w:sz w:val="21"/>
          <w:szCs w:val="21"/>
        </w:rPr>
        <w:t xml:space="preserve"> Using NVIDIA’s 164 kgCO2e per H100 (baseboard share) and an assumed 4-year service life, embodied emissions are about 1.3 mgCO2e per GPU-second, or about 2.6 mg per useful GPU-second at 50% utilization. This is a floor: it excludes CPUs, memory outside the baseboard, storage, networking and facility construction.</w:t>
      </w:r>
    </w:p>
    <w:p w14:paraId="7C000039" w14:textId="77777777" w:rsidR="0062357D" w:rsidRDefault="007E79DA">
      <w:pPr>
        <w:spacing w:after="140"/>
      </w:pPr>
      <w:r>
        <w:rPr>
          <w:b/>
          <w:bCs/>
          <w:sz w:val="21"/>
          <w:szCs w:val="21"/>
        </w:rPr>
        <w:t>Share of the total.</w:t>
      </w:r>
      <w:r>
        <w:rPr>
          <w:sz w:val="21"/>
          <w:szCs w:val="21"/>
        </w:rPr>
        <w:t xml:space="preserve"> Google’s comprehensive Gemini figure attributes about one third of per-prompt emissions (0.010 of 0.03 gCO2e) to Scope 1 and 3 sources, which include embodied hardware. Because Google’s electricity is largely matched with clean energy on a market basis, non-operational components form a larger share of the total as operational emissions fall.</w:t>
      </w:r>
    </w:p>
    <w:p w14:paraId="7C00003A" w14:textId="77777777" w:rsidR="0062357D" w:rsidRDefault="007E79DA">
      <w:pPr>
        <w:pStyle w:val="Heading3"/>
        <w:spacing w:before="200" w:after="100"/>
      </w:pPr>
      <w:r>
        <w:rPr>
          <w:b/>
          <w:bCs/>
          <w:color w:val="333333"/>
          <w:sz w:val="21"/>
          <w:szCs w:val="21"/>
        </w:rPr>
        <w:t>8.8.7 Data Gaps</w:t>
      </w:r>
    </w:p>
    <w:p w14:paraId="7C00003B" w14:textId="77777777" w:rsidR="0062357D" w:rsidRDefault="007E79DA">
      <w:pPr>
        <w:numPr>
          <w:ilvl w:val="0"/>
          <w:numId w:val="1"/>
        </w:numPr>
        <w:spacing w:after="60"/>
      </w:pPr>
      <w:r>
        <w:rPr>
          <w:b/>
          <w:bCs/>
          <w:sz w:val="21"/>
          <w:szCs w:val="21"/>
        </w:rPr>
        <w:t>Lifetime token throughput</w:t>
      </w:r>
      <w:r>
        <w:rPr>
          <w:sz w:val="21"/>
          <w:szCs w:val="21"/>
        </w:rPr>
        <w:t xml:space="preserve"> is not published by any provider, so TRA remains “Estimated” for every model.</w:t>
      </w:r>
    </w:p>
    <w:p w14:paraId="7C00003C" w14:textId="77777777" w:rsidR="0062357D" w:rsidRDefault="007E79DA">
      <w:pPr>
        <w:numPr>
          <w:ilvl w:val="0"/>
          <w:numId w:val="1"/>
        </w:numPr>
        <w:spacing w:after="60"/>
      </w:pPr>
      <w:r>
        <w:rPr>
          <w:b/>
          <w:bCs/>
          <w:sz w:val="21"/>
          <w:szCs w:val="21"/>
        </w:rPr>
        <w:t>Closed frontier models</w:t>
      </w:r>
      <w:r>
        <w:rPr>
          <w:sz w:val="21"/>
          <w:szCs w:val="21"/>
        </w:rPr>
        <w:t xml:space="preserve"> generally do not disclose per-model training emissions; TLE for these must be estimated from training compute, hardware and region.</w:t>
      </w:r>
    </w:p>
    <w:p w14:paraId="7C00003D" w14:textId="77777777" w:rsidR="0062357D" w:rsidRDefault="007E79DA">
      <w:pPr>
        <w:numPr>
          <w:ilvl w:val="0"/>
          <w:numId w:val="1"/>
        </w:numPr>
        <w:spacing w:after="60"/>
      </w:pPr>
      <w:r>
        <w:rPr>
          <w:b/>
          <w:bCs/>
          <w:sz w:val="21"/>
          <w:szCs w:val="21"/>
        </w:rPr>
        <w:t>NVIDIA’s PCF covers the baseboard only</w:t>
      </w:r>
      <w:r>
        <w:rPr>
          <w:sz w:val="21"/>
          <w:szCs w:val="21"/>
        </w:rPr>
        <w:t>, so HEE for complete servers and facilities still relies on academic estimates.</w:t>
      </w:r>
    </w:p>
    <w:p w14:paraId="7C00003E" w14:textId="77777777" w:rsidR="0062357D" w:rsidRDefault="007E79DA">
      <w:pPr>
        <w:numPr>
          <w:ilvl w:val="0"/>
          <w:numId w:val="1"/>
        </w:numPr>
        <w:spacing w:after="60"/>
      </w:pPr>
      <w:r>
        <w:rPr>
          <w:b/>
          <w:bCs/>
          <w:sz w:val="21"/>
          <w:szCs w:val="21"/>
        </w:rPr>
        <w:t>Accounting bases differ.</w:t>
      </w:r>
      <w:r>
        <w:rPr>
          <w:sz w:val="21"/>
          <w:szCs w:val="21"/>
        </w:rPr>
        <w:t xml:space="preserve"> Google reports market-based figures, while Mistral and Meta’s location-based figures use different boundaries. Stardust stores the basis and boundary with every factor and never mixes them in one total without disclosure.</w:t>
      </w:r>
    </w:p>
    <w:p w14:paraId="7C00003F" w14:textId="77777777" w:rsidR="0062357D" w:rsidRDefault="007E79DA">
      <w:pPr>
        <w:numPr>
          <w:ilvl w:val="0"/>
          <w:numId w:val="1"/>
        </w:numPr>
        <w:spacing w:after="60"/>
      </w:pPr>
      <w:r>
        <w:rPr>
          <w:sz w:val="21"/>
          <w:szCs w:val="21"/>
        </w:rPr>
        <w:t>As new disclosures appear, they replace estimates through the versioned-configuration process in §8.4, and the component’s confidence tag is upgraded accordingly.</w:t>
      </w:r>
    </w:p>
    <w:p w14:paraId="00000185" w14:textId="77777777" w:rsidR="0062357D" w:rsidRDefault="007E79DA">
      <w:pPr>
        <w:pStyle w:val="Heading1"/>
        <w:spacing w:before="360" w:after="160"/>
      </w:pPr>
      <w:r>
        <w:rPr>
          <w:b/>
          <w:bCs/>
          <w:color w:val="0F4A2E"/>
          <w:sz w:val="30"/>
          <w:szCs w:val="30"/>
        </w:rPr>
        <w:t>9. System Architecture</w:t>
      </w:r>
    </w:p>
    <w:p w14:paraId="00000186" w14:textId="77777777" w:rsidR="0062357D" w:rsidRDefault="007E79DA">
      <w:pPr>
        <w:pStyle w:val="Heading2"/>
        <w:spacing w:before="280" w:after="120"/>
      </w:pPr>
      <w:r>
        <w:rPr>
          <w:b/>
          <w:bCs/>
          <w:color w:val="1E7A4C"/>
          <w:sz w:val="24"/>
          <w:szCs w:val="24"/>
        </w:rPr>
        <w:t>9.1 Layers</w:t>
      </w:r>
    </w:p>
    <w:p w14:paraId="00000187" w14:textId="77777777" w:rsidR="0062357D" w:rsidRDefault="007E79DA">
      <w:pPr>
        <w:numPr>
          <w:ilvl w:val="0"/>
          <w:numId w:val="1"/>
        </w:numPr>
        <w:pBdr>
          <w:top w:val="nil"/>
          <w:left w:val="nil"/>
          <w:bottom w:val="nil"/>
          <w:right w:val="nil"/>
          <w:between w:val="nil"/>
        </w:pBdr>
        <w:spacing w:after="60"/>
      </w:pPr>
      <w:r>
        <w:rPr>
          <w:color w:val="000000"/>
          <w:sz w:val="21"/>
          <w:szCs w:val="21"/>
        </w:rPr>
        <w:t>Stardust Chat Plugin — thin client using each AI platform's plugin/connector or content-injection surface; reads exposed usage metadata where available, otherwise DOM-observes rendered token/usage counters.</w:t>
      </w:r>
    </w:p>
    <w:p w14:paraId="00000188" w14:textId="77777777" w:rsidR="0062357D" w:rsidRDefault="007E79DA">
      <w:pPr>
        <w:numPr>
          <w:ilvl w:val="0"/>
          <w:numId w:val="1"/>
        </w:numPr>
        <w:pBdr>
          <w:top w:val="nil"/>
          <w:left w:val="nil"/>
          <w:bottom w:val="nil"/>
          <w:right w:val="nil"/>
          <w:between w:val="nil"/>
        </w:pBdr>
        <w:spacing w:after="60"/>
      </w:pPr>
      <w:r>
        <w:rPr>
          <w:color w:val="000000"/>
          <w:sz w:val="21"/>
          <w:szCs w:val="21"/>
        </w:rPr>
        <w:t>Stardust Browser Extension — Manifest V3 background service worker + content scripts; universal fallback and general web-usage capture; handles the cross-browser portability requirement (Chrome/Edge share MV3, Firefox MV3 event-page adaptation, Safari via Safari Web Extension conversion).</w:t>
      </w:r>
    </w:p>
    <w:p w14:paraId="00000189" w14:textId="77777777" w:rsidR="0062357D" w:rsidRDefault="007E79DA">
      <w:pPr>
        <w:numPr>
          <w:ilvl w:val="0"/>
          <w:numId w:val="1"/>
        </w:numPr>
        <w:pBdr>
          <w:top w:val="nil"/>
          <w:left w:val="nil"/>
          <w:bottom w:val="nil"/>
          <w:right w:val="nil"/>
          <w:between w:val="nil"/>
        </w:pBdr>
        <w:spacing w:after="60"/>
      </w:pPr>
      <w:r>
        <w:rPr>
          <w:color w:val="000000"/>
          <w:sz w:val="21"/>
          <w:szCs w:val="21"/>
        </w:rPr>
        <w:t>Stardust Infra Agent/SDK — language SDKs (starting with JS/TS and Python) plus an optional reverse-proxy/sidecar for teams that cannot modify application code directly; instruments database drivers and AI/cloud API calls to emit normalized events.</w:t>
      </w:r>
    </w:p>
    <w:p w14:paraId="0000018A" w14:textId="77777777" w:rsidR="0062357D" w:rsidRDefault="007E79DA">
      <w:pPr>
        <w:numPr>
          <w:ilvl w:val="0"/>
          <w:numId w:val="1"/>
        </w:numPr>
        <w:pBdr>
          <w:top w:val="nil"/>
          <w:left w:val="nil"/>
          <w:bottom w:val="nil"/>
          <w:right w:val="nil"/>
          <w:between w:val="nil"/>
        </w:pBdr>
        <w:spacing w:after="60"/>
      </w:pPr>
      <w:r>
        <w:rPr>
          <w:color w:val="000000"/>
          <w:sz w:val="21"/>
          <w:szCs w:val="21"/>
        </w:rPr>
        <w:t>Stardust Core — ingestion API, event normalization, environmental-methodology engine (§8), indicator-code computation (§5), storage, and reporting/dashboard API consumed by all client UIs.</w:t>
      </w:r>
    </w:p>
    <w:p w14:paraId="7D000003" w14:textId="77777777" w:rsidR="0062357D" w:rsidRDefault="007E79DA">
      <w:pPr>
        <w:numPr>
          <w:ilvl w:val="0"/>
          <w:numId w:val="1"/>
        </w:numPr>
        <w:spacing w:after="60"/>
      </w:pPr>
      <w:r>
        <w:rPr>
          <w:b/>
          <w:bCs/>
          <w:sz w:val="21"/>
          <w:szCs w:val="21"/>
        </w:rPr>
        <w:t>Stardust Net Impact Ledger and Credit Connectors</w:t>
      </w:r>
      <w:r>
        <w:rPr>
          <w:sz w:val="21"/>
          <w:szCs w:val="21"/>
        </w:rPr>
        <w:t xml:space="preserve"> — part of Stardust Core: the Net Impact Ledger records negative and positive impact per dimension (carbon, electricity, water, heat, materials), and the Registry and Market Connector layer links the broker to the registries and markets where carbon, energy, water, heat and recycling credits are issued, traded and retired (§22.5–§22.6).</w:t>
      </w:r>
    </w:p>
    <w:p w14:paraId="0000018B" w14:textId="77777777" w:rsidR="0062357D" w:rsidRDefault="007E79DA">
      <w:pPr>
        <w:pStyle w:val="Heading2"/>
        <w:spacing w:before="280" w:after="120"/>
      </w:pPr>
      <w:r>
        <w:rPr>
          <w:b/>
          <w:bCs/>
          <w:color w:val="1E7A4C"/>
          <w:sz w:val="24"/>
          <w:szCs w:val="24"/>
        </w:rPr>
        <w:t>9.2 Data Flow</w:t>
      </w:r>
    </w:p>
    <w:p w14:paraId="0000018C" w14:textId="77777777" w:rsidR="0062357D" w:rsidRDefault="007E79DA">
      <w:pPr>
        <w:spacing w:after="140"/>
      </w:pPr>
      <w:sdt>
        <w:sdtPr>
          <w:tag w:val="goog_rdk_13"/>
          <w:id w:val="160474259"/>
        </w:sdtPr>
        <w:sdtEndPr/>
        <w:sdtContent>
          <w:r>
            <w:rPr>
              <w:rFonts w:ascii="Cardo" w:eastAsia="Cardo" w:hAnsi="Cardo" w:cs="Cardo"/>
              <w:sz w:val="21"/>
              <w:szCs w:val="21"/>
            </w:rPr>
            <w:t>Client layer captures a raw usage event → event is normalized to the schema in §7 → Stardust Core applies cost lookup and the environmental methodology engine → an indicator code is computed → the result is returned to the originating client for inline display and written to the user's/org's history for the dashboard views in §6.3.</w:t>
          </w:r>
        </w:sdtContent>
      </w:sdt>
    </w:p>
    <w:p w14:paraId="7A000001" w14:textId="77777777" w:rsidR="0062357D" w:rsidRDefault="007E79DA">
      <w:pPr>
        <w:spacing w:after="140"/>
      </w:pPr>
      <w:r>
        <w:rPr>
          <w:sz w:val="21"/>
          <w:szCs w:val="21"/>
        </w:rPr>
        <w:t>Figure 2 summarizes the end-to-end flow from the point of capture to actionable outputs, including the right-sizing and efficiency engine specified in §21 and the carbon marketplace described in §10.</w:t>
      </w:r>
    </w:p>
    <w:p w14:paraId="7A000002" w14:textId="77777777" w:rsidR="0062357D" w:rsidRDefault="007E79DA">
      <w:pPr>
        <w:keepNext/>
        <w:spacing w:before="120" w:after="60"/>
        <w:jc w:val="center"/>
      </w:pPr>
      <w:r>
        <w:rPr>
          <w:noProof/>
        </w:rPr>
        <w:drawing>
          <wp:inline distT="0" distB="0" distL="0" distR="0" wp14:anchorId="749FE107" wp14:editId="3488B657">
            <wp:extent cx="5852160" cy="4925846"/>
            <wp:effectExtent l="0" t="0" r="0" b="0"/>
            <wp:docPr id="2" name="Figure 2" descr="Stardust end-to-end data flow from capture to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
                    <a:stretch>
                      <a:fillRect/>
                    </a:stretch>
                  </pic:blipFill>
                  <pic:spPr>
                    <a:xfrm>
                      <a:off x="0" y="0"/>
                      <a:ext cx="5852160" cy="4925846"/>
                    </a:xfrm>
                    <a:prstGeom prst="rect">
                      <a:avLst/>
                    </a:prstGeom>
                  </pic:spPr>
                </pic:pic>
              </a:graphicData>
            </a:graphic>
          </wp:inline>
        </w:drawing>
      </w:r>
    </w:p>
    <w:p w14:paraId="7A000003" w14:textId="77777777" w:rsidR="0062357D" w:rsidRDefault="007E79DA">
      <w:pPr>
        <w:spacing w:after="200"/>
        <w:jc w:val="center"/>
      </w:pPr>
      <w:r>
        <w:rPr>
          <w:i/>
          <w:iCs/>
          <w:color w:val="555555"/>
          <w:sz w:val="18"/>
          <w:szCs w:val="18"/>
        </w:rPr>
        <w:t>Figure 2. Stardust end-to-end data flow: capture in chat apps, browsers and infrastructure; metering; cost and environmental-impact enrichment; telemetry aggregation; right-sizing and efficiency analysis (§21); and action through Subscriber dashboards, the carbon marketplace, and public benchmarks.</w:t>
      </w:r>
    </w:p>
    <w:p w14:paraId="0000018D" w14:textId="77777777" w:rsidR="0062357D" w:rsidRDefault="007E79DA">
      <w:pPr>
        <w:pStyle w:val="Heading2"/>
        <w:spacing w:before="280" w:after="120"/>
      </w:pPr>
      <w:r>
        <w:rPr>
          <w:b/>
          <w:bCs/>
          <w:color w:val="1E7A4C"/>
          <w:sz w:val="24"/>
          <w:szCs w:val="24"/>
        </w:rPr>
        <w:t>9.3 Deployment Model</w:t>
      </w:r>
    </w:p>
    <w:p w14:paraId="0000018E" w14:textId="77777777" w:rsidR="0062357D" w:rsidRDefault="007E79DA">
      <w:pPr>
        <w:numPr>
          <w:ilvl w:val="0"/>
          <w:numId w:val="1"/>
        </w:numPr>
        <w:pBdr>
          <w:top w:val="nil"/>
          <w:left w:val="nil"/>
          <w:bottom w:val="nil"/>
          <w:right w:val="nil"/>
          <w:between w:val="nil"/>
        </w:pBdr>
        <w:spacing w:after="60"/>
      </w:pPr>
      <w:r>
        <w:rPr>
          <w:color w:val="000000"/>
          <w:sz w:val="21"/>
          <w:szCs w:val="21"/>
        </w:rPr>
        <w:t>Consumer layer (chat plugin, browser extension): hosted multi-tenant Stardust Core service.</w:t>
      </w:r>
    </w:p>
    <w:p w14:paraId="0000018F" w14:textId="77777777" w:rsidR="0062357D" w:rsidRDefault="007E79DA">
      <w:pPr>
        <w:numPr>
          <w:ilvl w:val="0"/>
          <w:numId w:val="1"/>
        </w:numPr>
        <w:pBdr>
          <w:top w:val="nil"/>
          <w:left w:val="nil"/>
          <w:bottom w:val="nil"/>
          <w:right w:val="nil"/>
          <w:between w:val="nil"/>
        </w:pBdr>
        <w:spacing w:after="60"/>
      </w:pPr>
      <w:r>
        <w:rPr>
          <w:color w:val="000000"/>
          <w:sz w:val="21"/>
          <w:szCs w:val="21"/>
        </w:rPr>
        <w:t>Enterprise/infra layer: offer both a hosted multi-tenant option and a self-hosted/VPC-deployable Stardust Core for organizations that cannot send infrastructure telemetry to a third-party service — a likely requirement for the IT-infrastructure integration surface.</w:t>
      </w:r>
    </w:p>
    <w:p w14:paraId="00000190" w14:textId="77777777" w:rsidR="0062357D" w:rsidRDefault="007E79DA">
      <w:pPr>
        <w:pStyle w:val="Heading2"/>
        <w:spacing w:before="280" w:after="120"/>
      </w:pPr>
      <w:r>
        <w:rPr>
          <w:b/>
          <w:bCs/>
          <w:color w:val="1E7A4C"/>
          <w:sz w:val="24"/>
          <w:szCs w:val="24"/>
        </w:rPr>
        <w:t>9.4 Implementation Reference: Reused Open Source Components</w:t>
      </w:r>
    </w:p>
    <w:p w14:paraId="00000191" w14:textId="77777777" w:rsidR="0062357D" w:rsidRDefault="007E79DA">
      <w:pPr>
        <w:spacing w:after="140"/>
      </w:pPr>
      <w:r>
        <w:rPr>
          <w:sz w:val="21"/>
          <w:szCs w:val="21"/>
        </w:rPr>
        <w:t>Rather than build a token/cost pricing database from scratch, Stardust's cost-calculation logic is built on two existing, permissively-licensed open source projects — both compatible with Stardust's own open-core licensing direction (§17.3).</w:t>
      </w:r>
    </w:p>
    <w:p w14:paraId="00000192"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Pricing data backbone: </w:t>
      </w:r>
      <w:proofErr w:type="spellStart"/>
      <w:r>
        <w:rPr>
          <w:color w:val="000000"/>
          <w:sz w:val="21"/>
          <w:szCs w:val="21"/>
        </w:rPr>
        <w:t>BerriAI</w:t>
      </w:r>
      <w:proofErr w:type="spellEnd"/>
      <w:r>
        <w:rPr>
          <w:color w:val="000000"/>
          <w:sz w:val="21"/>
          <w:szCs w:val="21"/>
        </w:rPr>
        <w:t>/</w:t>
      </w:r>
      <w:proofErr w:type="spellStart"/>
      <w:r>
        <w:rPr>
          <w:color w:val="000000"/>
          <w:sz w:val="21"/>
          <w:szCs w:val="21"/>
        </w:rPr>
        <w:t>litellm's</w:t>
      </w:r>
      <w:proofErr w:type="spellEnd"/>
      <w:r>
        <w:rPr>
          <w:color w:val="000000"/>
          <w:sz w:val="21"/>
          <w:szCs w:val="21"/>
        </w:rPr>
        <w:t xml:space="preserve"> </w:t>
      </w:r>
      <w:proofErr w:type="spellStart"/>
      <w:r>
        <w:rPr>
          <w:color w:val="000000"/>
          <w:sz w:val="21"/>
          <w:szCs w:val="21"/>
        </w:rPr>
        <w:t>model_prices_and_context_window.json</w:t>
      </w:r>
      <w:proofErr w:type="spellEnd"/>
      <w:r>
        <w:rPr>
          <w:color w:val="000000"/>
          <w:sz w:val="21"/>
          <w:szCs w:val="21"/>
        </w:rPr>
        <w:t xml:space="preserve"> (MIT license) — the de facto community pricing database, covering 100+ providers and 1,600+ models. Several other pricing tools (e.g., </w:t>
      </w:r>
      <w:proofErr w:type="spellStart"/>
      <w:r>
        <w:rPr>
          <w:color w:val="000000"/>
          <w:sz w:val="21"/>
          <w:szCs w:val="21"/>
        </w:rPr>
        <w:t>tokencost</w:t>
      </w:r>
      <w:proofErr w:type="spellEnd"/>
      <w:r>
        <w:rPr>
          <w:color w:val="000000"/>
          <w:sz w:val="21"/>
          <w:szCs w:val="21"/>
        </w:rPr>
        <w:t xml:space="preserve">, </w:t>
      </w:r>
      <w:proofErr w:type="spellStart"/>
      <w:r>
        <w:rPr>
          <w:color w:val="000000"/>
          <w:sz w:val="21"/>
          <w:szCs w:val="21"/>
        </w:rPr>
        <w:t>tokonomics</w:t>
      </w:r>
      <w:proofErr w:type="spellEnd"/>
      <w:r>
        <w:rPr>
          <w:color w:val="000000"/>
          <w:sz w:val="21"/>
          <w:szCs w:val="21"/>
        </w:rPr>
        <w:t>) already source their own pricing from this same file rather than maintaining a separate one, so Stardust reuses the same canonical source instead of fragmenting it further.</w:t>
      </w:r>
    </w:p>
    <w:p w14:paraId="00000193"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Calculator base: </w:t>
      </w:r>
      <w:proofErr w:type="spellStart"/>
      <w:r>
        <w:rPr>
          <w:color w:val="000000"/>
          <w:sz w:val="21"/>
          <w:szCs w:val="21"/>
        </w:rPr>
        <w:t>AgentOps</w:t>
      </w:r>
      <w:proofErr w:type="spellEnd"/>
      <w:r>
        <w:rPr>
          <w:color w:val="000000"/>
          <w:sz w:val="21"/>
          <w:szCs w:val="21"/>
        </w:rPr>
        <w:t>-AI/</w:t>
      </w:r>
      <w:proofErr w:type="spellStart"/>
      <w:r>
        <w:rPr>
          <w:color w:val="000000"/>
          <w:sz w:val="21"/>
          <w:szCs w:val="21"/>
        </w:rPr>
        <w:t>tokencost</w:t>
      </w:r>
      <w:proofErr w:type="spellEnd"/>
      <w:r>
        <w:rPr>
          <w:color w:val="000000"/>
          <w:sz w:val="21"/>
          <w:szCs w:val="21"/>
        </w:rPr>
        <w:t xml:space="preserve"> (MIT license) — a lightweight Python library (</w:t>
      </w:r>
      <w:proofErr w:type="spellStart"/>
      <w:r>
        <w:rPr>
          <w:color w:val="000000"/>
          <w:sz w:val="21"/>
          <w:szCs w:val="21"/>
        </w:rPr>
        <w:t>calculate_prompt_cost</w:t>
      </w:r>
      <w:proofErr w:type="spellEnd"/>
      <w:r>
        <w:rPr>
          <w:color w:val="000000"/>
          <w:sz w:val="21"/>
          <w:szCs w:val="21"/>
        </w:rPr>
        <w:t xml:space="preserve">(), </w:t>
      </w:r>
      <w:proofErr w:type="spellStart"/>
      <w:r>
        <w:rPr>
          <w:color w:val="000000"/>
          <w:sz w:val="21"/>
          <w:szCs w:val="21"/>
        </w:rPr>
        <w:t>calculate_completion_cost</w:t>
      </w:r>
      <w:proofErr w:type="spellEnd"/>
      <w:r>
        <w:rPr>
          <w:color w:val="000000"/>
          <w:sz w:val="21"/>
          <w:szCs w:val="21"/>
        </w:rPr>
        <w:t xml:space="preserve">()) forked as the base for Stardust's own cost-calculation functions. Chosen over </w:t>
      </w:r>
      <w:proofErr w:type="spellStart"/>
      <w:r>
        <w:rPr>
          <w:color w:val="000000"/>
          <w:sz w:val="21"/>
          <w:szCs w:val="21"/>
        </w:rPr>
        <w:t>vendoring</w:t>
      </w:r>
      <w:proofErr w:type="spellEnd"/>
      <w:r>
        <w:rPr>
          <w:color w:val="000000"/>
          <w:sz w:val="21"/>
          <w:szCs w:val="21"/>
        </w:rPr>
        <w:t xml:space="preserve"> </w:t>
      </w:r>
      <w:proofErr w:type="spellStart"/>
      <w:r>
        <w:rPr>
          <w:color w:val="000000"/>
          <w:sz w:val="21"/>
          <w:szCs w:val="21"/>
        </w:rPr>
        <w:t>LiteLLM's</w:t>
      </w:r>
      <w:proofErr w:type="spellEnd"/>
      <w:r>
        <w:rPr>
          <w:color w:val="000000"/>
          <w:sz w:val="21"/>
          <w:szCs w:val="21"/>
        </w:rPr>
        <w:t xml:space="preserve"> full gateway/proxy, which is a heavier routing server Stardust doesn't need just to calculate cost.</w:t>
      </w:r>
    </w:p>
    <w:p w14:paraId="00000194"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Extension pattern: each entry in the reused pricing data is extended with Stardust's own environmental fields — </w:t>
      </w:r>
      <w:proofErr w:type="spellStart"/>
      <w:r>
        <w:rPr>
          <w:color w:val="000000"/>
          <w:sz w:val="21"/>
          <w:szCs w:val="21"/>
        </w:rPr>
        <w:t>energy_wh_per_token</w:t>
      </w:r>
      <w:proofErr w:type="spellEnd"/>
      <w:r>
        <w:rPr>
          <w:color w:val="000000"/>
          <w:sz w:val="21"/>
          <w:szCs w:val="21"/>
        </w:rPr>
        <w:t xml:space="preserve">, co2e_g_per_token, </w:t>
      </w:r>
      <w:proofErr w:type="spellStart"/>
      <w:r>
        <w:rPr>
          <w:color w:val="000000"/>
          <w:sz w:val="21"/>
          <w:szCs w:val="21"/>
        </w:rPr>
        <w:t>water_ml_per_token</w:t>
      </w:r>
      <w:proofErr w:type="spellEnd"/>
      <w:r>
        <w:rPr>
          <w:color w:val="000000"/>
          <w:sz w:val="21"/>
          <w:szCs w:val="21"/>
        </w:rPr>
        <w:t xml:space="preserve">, esc, </w:t>
      </w:r>
      <w:proofErr w:type="spellStart"/>
      <w:r>
        <w:rPr>
          <w:color w:val="000000"/>
          <w:sz w:val="21"/>
          <w:szCs w:val="21"/>
        </w:rPr>
        <w:t>grid_style</w:t>
      </w:r>
      <w:proofErr w:type="spellEnd"/>
      <w:r>
        <w:rPr>
          <w:color w:val="000000"/>
          <w:sz w:val="21"/>
          <w:szCs w:val="21"/>
        </w:rPr>
        <w:t xml:space="preserve">, </w:t>
      </w:r>
      <w:proofErr w:type="spellStart"/>
      <w:r>
        <w:rPr>
          <w:color w:val="000000"/>
          <w:sz w:val="21"/>
          <w:szCs w:val="21"/>
        </w:rPr>
        <w:t>grid_majority_share_pct</w:t>
      </w:r>
      <w:proofErr w:type="spellEnd"/>
      <w:r>
        <w:rPr>
          <w:color w:val="000000"/>
          <w:sz w:val="21"/>
          <w:szCs w:val="21"/>
        </w:rPr>
        <w:t xml:space="preserve"> (§5.3, §7) — keyed by the same model-name lookup already used for pricing, consistent with the versioned, swappable configuration principle established in §8.4.</w:t>
      </w:r>
    </w:p>
    <w:p w14:paraId="00000195"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License compatibility: both source projects are MIT, compatible with the permissive license direction already proposed for Stardust itself (§17.3); original license and attribution notices are retained in the </w:t>
      </w:r>
      <w:proofErr w:type="spellStart"/>
      <w:r>
        <w:rPr>
          <w:color w:val="000000"/>
          <w:sz w:val="21"/>
          <w:szCs w:val="21"/>
        </w:rPr>
        <w:t>vendored</w:t>
      </w:r>
      <w:proofErr w:type="spellEnd"/>
      <w:r>
        <w:rPr>
          <w:color w:val="000000"/>
          <w:sz w:val="21"/>
          <w:szCs w:val="21"/>
        </w:rPr>
        <w:t>/forked code per each project's license terms, consistent with standard open source practice.</w:t>
      </w:r>
    </w:p>
    <w:p w14:paraId="00000196" w14:textId="77777777" w:rsidR="0062357D" w:rsidRDefault="007E79DA">
      <w:pPr>
        <w:pStyle w:val="Heading1"/>
        <w:spacing w:before="360" w:after="160"/>
      </w:pPr>
      <w:r>
        <w:rPr>
          <w:b/>
          <w:bCs/>
          <w:color w:val="0F4A2E"/>
          <w:sz w:val="30"/>
          <w:szCs w:val="30"/>
        </w:rPr>
        <w:t>10. Remediation Provider and Subscriber Architecture</w:t>
      </w:r>
    </w:p>
    <w:p w14:paraId="00000197" w14:textId="77777777" w:rsidR="0062357D" w:rsidRDefault="007E79DA">
      <w:pPr>
        <w:spacing w:after="140"/>
      </w:pPr>
      <w:r>
        <w:rPr>
          <w:sz w:val="21"/>
          <w:szCs w:val="21"/>
        </w:rPr>
        <w:t>The remediation call-to-action introduced in §6.2 and the donation flow in §18 both assume something that has not, until now, been specified: how Stardust actually connects a user's measured impact to a real-world carbon-sequestration or habitat-restoration action. This section defines that connection as a three-layer model, deliberately modeled on two familiar plug-and-play patterns: remediation providers attach the way print drivers attach to an operating system's print spooler, and subscribing applicatio</w:t>
      </w:r>
      <w:r>
        <w:rPr>
          <w:sz w:val="21"/>
          <w:szCs w:val="21"/>
        </w:rPr>
        <w:t xml:space="preserve">ns attach the way client apps talk to a background OS service — with </w:t>
      </w:r>
      <w:proofErr w:type="spellStart"/>
      <w:r>
        <w:rPr>
          <w:sz w:val="21"/>
          <w:szCs w:val="21"/>
        </w:rPr>
        <w:t>AIforE's</w:t>
      </w:r>
      <w:proofErr w:type="spellEnd"/>
      <w:r>
        <w:rPr>
          <w:sz w:val="21"/>
          <w:szCs w:val="21"/>
        </w:rPr>
        <w:t xml:space="preserve"> Stardust Core acting as the broker in the middle, the same way the OS mediates between drivers and applications without either side needing to know about the other directly.</w:t>
      </w:r>
    </w:p>
    <w:p w14:paraId="00000198" w14:textId="77777777" w:rsidR="0062357D" w:rsidRDefault="007E79DA">
      <w:pPr>
        <w:pStyle w:val="Heading2"/>
        <w:spacing w:before="280" w:after="120"/>
      </w:pPr>
      <w:r>
        <w:rPr>
          <w:b/>
          <w:bCs/>
          <w:color w:val="1E7A4C"/>
          <w:sz w:val="24"/>
          <w:szCs w:val="24"/>
        </w:rPr>
        <w:t>10.1 The Three Layers</w:t>
      </w:r>
    </w:p>
    <w:tbl>
      <w:tblPr>
        <w:tblStyle w:val="a9"/>
        <w:tblW w:w="10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200"/>
        <w:gridCol w:w="3800"/>
      </w:tblGrid>
      <w:tr w:rsidR="0062357D" w14:paraId="09BD2117" w14:textId="77777777">
        <w:trPr>
          <w:tblHeader/>
        </w:trPr>
        <w:tc>
          <w:tcPr>
            <w:tcW w:w="2400" w:type="dxa"/>
            <w:shd w:val="clear" w:color="auto" w:fill="1E7A4C"/>
            <w:tcMar>
              <w:top w:w="80" w:type="dxa"/>
              <w:left w:w="100" w:type="dxa"/>
              <w:bottom w:w="80" w:type="dxa"/>
              <w:right w:w="100" w:type="dxa"/>
            </w:tcMar>
          </w:tcPr>
          <w:p w14:paraId="00000199" w14:textId="77777777" w:rsidR="0062357D" w:rsidRDefault="007E79DA">
            <w:r>
              <w:rPr>
                <w:b/>
                <w:bCs/>
                <w:color w:val="FFFFFF"/>
                <w:sz w:val="19"/>
                <w:szCs w:val="19"/>
              </w:rPr>
              <w:t>Layer</w:t>
            </w:r>
          </w:p>
        </w:tc>
        <w:tc>
          <w:tcPr>
            <w:tcW w:w="4200" w:type="dxa"/>
            <w:shd w:val="clear" w:color="auto" w:fill="1E7A4C"/>
            <w:tcMar>
              <w:top w:w="80" w:type="dxa"/>
              <w:left w:w="100" w:type="dxa"/>
              <w:bottom w:w="80" w:type="dxa"/>
              <w:right w:w="100" w:type="dxa"/>
            </w:tcMar>
          </w:tcPr>
          <w:p w14:paraId="0000019A" w14:textId="77777777" w:rsidR="0062357D" w:rsidRDefault="007E79DA">
            <w:r>
              <w:rPr>
                <w:b/>
                <w:bCs/>
                <w:color w:val="FFFFFF"/>
                <w:sz w:val="19"/>
                <w:szCs w:val="19"/>
              </w:rPr>
              <w:t>Analogy</w:t>
            </w:r>
          </w:p>
        </w:tc>
        <w:tc>
          <w:tcPr>
            <w:tcW w:w="3800" w:type="dxa"/>
            <w:shd w:val="clear" w:color="auto" w:fill="1E7A4C"/>
            <w:tcMar>
              <w:top w:w="80" w:type="dxa"/>
              <w:left w:w="100" w:type="dxa"/>
              <w:bottom w:w="80" w:type="dxa"/>
              <w:right w:w="100" w:type="dxa"/>
            </w:tcMar>
          </w:tcPr>
          <w:p w14:paraId="0000019B" w14:textId="77777777" w:rsidR="0062357D" w:rsidRDefault="007E79DA">
            <w:r>
              <w:rPr>
                <w:b/>
                <w:bCs/>
                <w:color w:val="FFFFFF"/>
                <w:sz w:val="19"/>
                <w:szCs w:val="19"/>
              </w:rPr>
              <w:t>Who's here</w:t>
            </w:r>
          </w:p>
        </w:tc>
      </w:tr>
      <w:tr w:rsidR="0062357D" w14:paraId="37AB2CB9" w14:textId="77777777">
        <w:tc>
          <w:tcPr>
            <w:tcW w:w="2400" w:type="dxa"/>
            <w:tcMar>
              <w:top w:w="80" w:type="dxa"/>
              <w:left w:w="100" w:type="dxa"/>
              <w:bottom w:w="80" w:type="dxa"/>
              <w:right w:w="100" w:type="dxa"/>
            </w:tcMar>
          </w:tcPr>
          <w:p w14:paraId="0000019C" w14:textId="77777777" w:rsidR="0062357D" w:rsidRDefault="007E79DA">
            <w:r>
              <w:rPr>
                <w:sz w:val="19"/>
                <w:szCs w:val="19"/>
              </w:rPr>
              <w:t>Provider layer</w:t>
            </w:r>
          </w:p>
        </w:tc>
        <w:tc>
          <w:tcPr>
            <w:tcW w:w="4200" w:type="dxa"/>
            <w:tcMar>
              <w:top w:w="80" w:type="dxa"/>
              <w:left w:w="100" w:type="dxa"/>
              <w:bottom w:w="80" w:type="dxa"/>
              <w:right w:w="100" w:type="dxa"/>
            </w:tcMar>
          </w:tcPr>
          <w:p w14:paraId="0000019D" w14:textId="77777777" w:rsidR="0062357D" w:rsidRDefault="007E79DA">
            <w:r>
              <w:rPr>
                <w:sz w:val="19"/>
                <w:szCs w:val="19"/>
              </w:rPr>
              <w:t>Print drivers — each implements one standard interface to become available system-wide</w:t>
            </w:r>
          </w:p>
        </w:tc>
        <w:tc>
          <w:tcPr>
            <w:tcW w:w="3800" w:type="dxa"/>
            <w:tcMar>
              <w:top w:w="80" w:type="dxa"/>
              <w:left w:w="100" w:type="dxa"/>
              <w:bottom w:w="80" w:type="dxa"/>
              <w:right w:w="100" w:type="dxa"/>
            </w:tcMar>
          </w:tcPr>
          <w:p w14:paraId="0000019E" w14:textId="77777777" w:rsidR="0062357D" w:rsidRDefault="007E79DA">
            <w:r>
              <w:rPr>
                <w:sz w:val="19"/>
                <w:szCs w:val="19"/>
              </w:rPr>
              <w:t xml:space="preserve">Tree-planting and reforestation programs, kelp/blue-carbon restoration projects, direct air capture (DAC) and </w:t>
            </w:r>
            <w:proofErr w:type="spellStart"/>
            <w:r>
              <w:rPr>
                <w:sz w:val="19"/>
                <w:szCs w:val="19"/>
              </w:rPr>
              <w:t>biochar</w:t>
            </w:r>
            <w:proofErr w:type="spellEnd"/>
            <w:r>
              <w:rPr>
                <w:sz w:val="19"/>
                <w:szCs w:val="19"/>
              </w:rPr>
              <w:t xml:space="preserve"> operators, mangrove/</w:t>
            </w:r>
            <w:proofErr w:type="spellStart"/>
            <w:r>
              <w:rPr>
                <w:sz w:val="19"/>
                <w:szCs w:val="19"/>
              </w:rPr>
              <w:t>seagrass</w:t>
            </w:r>
            <w:proofErr w:type="spellEnd"/>
            <w:r>
              <w:rPr>
                <w:sz w:val="19"/>
                <w:szCs w:val="19"/>
              </w:rPr>
              <w:t xml:space="preserve"> restoration — and any future remediation category, added the same way</w:t>
            </w:r>
          </w:p>
        </w:tc>
      </w:tr>
      <w:tr w:rsidR="0062357D" w14:paraId="3CDF85FB" w14:textId="77777777">
        <w:tc>
          <w:tcPr>
            <w:tcW w:w="2400" w:type="dxa"/>
            <w:tcMar>
              <w:top w:w="80" w:type="dxa"/>
              <w:left w:w="100" w:type="dxa"/>
              <w:bottom w:w="80" w:type="dxa"/>
              <w:right w:w="100" w:type="dxa"/>
            </w:tcMar>
          </w:tcPr>
          <w:p w14:paraId="0000019F" w14:textId="77777777" w:rsidR="0062357D" w:rsidRDefault="007E79DA">
            <w:proofErr w:type="spellStart"/>
            <w:r>
              <w:rPr>
                <w:sz w:val="19"/>
                <w:szCs w:val="19"/>
              </w:rPr>
              <w:t>AIforE</w:t>
            </w:r>
            <w:proofErr w:type="spellEnd"/>
            <w:r>
              <w:rPr>
                <w:sz w:val="19"/>
                <w:szCs w:val="19"/>
              </w:rPr>
              <w:t xml:space="preserve"> middle layer</w:t>
            </w:r>
          </w:p>
        </w:tc>
        <w:tc>
          <w:tcPr>
            <w:tcW w:w="4200" w:type="dxa"/>
            <w:tcMar>
              <w:top w:w="80" w:type="dxa"/>
              <w:left w:w="100" w:type="dxa"/>
              <w:bottom w:w="80" w:type="dxa"/>
              <w:right w:w="100" w:type="dxa"/>
            </w:tcMar>
          </w:tcPr>
          <w:p w14:paraId="000001A0" w14:textId="77777777" w:rsidR="0062357D" w:rsidRDefault="007E79DA">
            <w:r>
              <w:rPr>
                <w:sz w:val="19"/>
                <w:szCs w:val="19"/>
              </w:rPr>
              <w:t>The OS print spooler — owns the driver registry, routes jobs, exposes one API to applications</w:t>
            </w:r>
          </w:p>
        </w:tc>
        <w:tc>
          <w:tcPr>
            <w:tcW w:w="3800" w:type="dxa"/>
            <w:tcMar>
              <w:top w:w="80" w:type="dxa"/>
              <w:left w:w="100" w:type="dxa"/>
              <w:bottom w:w="80" w:type="dxa"/>
              <w:right w:w="100" w:type="dxa"/>
            </w:tcMar>
          </w:tcPr>
          <w:p w14:paraId="000001A1" w14:textId="77777777" w:rsidR="0062357D" w:rsidRDefault="007E79DA">
            <w:r>
              <w:rPr>
                <w:sz w:val="19"/>
                <w:szCs w:val="19"/>
              </w:rPr>
              <w:t>Stardust Core's Remediation Registry and Broker (§10.4), part of the same Core described in §9.1</w:t>
            </w:r>
          </w:p>
        </w:tc>
      </w:tr>
      <w:tr w:rsidR="0062357D" w14:paraId="6623C0AD" w14:textId="77777777">
        <w:tc>
          <w:tcPr>
            <w:tcW w:w="2400" w:type="dxa"/>
            <w:tcMar>
              <w:top w:w="80" w:type="dxa"/>
              <w:left w:w="100" w:type="dxa"/>
              <w:bottom w:w="80" w:type="dxa"/>
              <w:right w:w="100" w:type="dxa"/>
            </w:tcMar>
          </w:tcPr>
          <w:p w14:paraId="000001A2" w14:textId="77777777" w:rsidR="0062357D" w:rsidRDefault="007E79DA">
            <w:r>
              <w:rPr>
                <w:sz w:val="19"/>
                <w:szCs w:val="19"/>
              </w:rPr>
              <w:t>Subscriber layer</w:t>
            </w:r>
          </w:p>
        </w:tc>
        <w:tc>
          <w:tcPr>
            <w:tcW w:w="4200" w:type="dxa"/>
            <w:tcMar>
              <w:top w:w="80" w:type="dxa"/>
              <w:left w:w="100" w:type="dxa"/>
              <w:bottom w:w="80" w:type="dxa"/>
              <w:right w:w="100" w:type="dxa"/>
            </w:tcMar>
          </w:tcPr>
          <w:p w14:paraId="000001A3" w14:textId="77777777" w:rsidR="0062357D" w:rsidRDefault="007E79DA">
            <w:r>
              <w:rPr>
                <w:sz w:val="19"/>
                <w:szCs w:val="19"/>
              </w:rPr>
              <w:t>Applications calling a Windows service — each talks to one documented API, never to the driver directly</w:t>
            </w:r>
          </w:p>
        </w:tc>
        <w:tc>
          <w:tcPr>
            <w:tcW w:w="3800" w:type="dxa"/>
            <w:tcMar>
              <w:top w:w="80" w:type="dxa"/>
              <w:left w:w="100" w:type="dxa"/>
              <w:bottom w:w="80" w:type="dxa"/>
              <w:right w:w="100" w:type="dxa"/>
            </w:tcMar>
          </w:tcPr>
          <w:p w14:paraId="000001A4" w14:textId="77777777" w:rsidR="0062357D" w:rsidRDefault="007E79DA">
            <w:r>
              <w:rPr>
                <w:sz w:val="19"/>
                <w:szCs w:val="19"/>
              </w:rPr>
              <w:t>Stardust's own chat-plugin/browser-extension/dashboard clients (§12), plus any third-party product built on the open core (§17) — any company can subscribe</w:t>
            </w:r>
          </w:p>
        </w:tc>
      </w:tr>
    </w:tbl>
    <w:p w14:paraId="000001A5" w14:textId="77777777" w:rsidR="0062357D" w:rsidRDefault="0062357D">
      <w:pPr>
        <w:spacing w:after="140"/>
      </w:pPr>
    </w:p>
    <w:p w14:paraId="000001A6" w14:textId="77777777" w:rsidR="0062357D" w:rsidRDefault="007E79DA">
      <w:pPr>
        <w:numPr>
          <w:ilvl w:val="0"/>
          <w:numId w:val="1"/>
        </w:numPr>
        <w:pBdr>
          <w:top w:val="nil"/>
          <w:left w:val="nil"/>
          <w:bottom w:val="nil"/>
          <w:right w:val="nil"/>
          <w:between w:val="nil"/>
        </w:pBdr>
        <w:spacing w:after="60"/>
      </w:pPr>
      <w:r>
        <w:rPr>
          <w:color w:val="000000"/>
          <w:sz w:val="21"/>
          <w:szCs w:val="21"/>
        </w:rPr>
        <w:t>A provider only has to implement the interface once (§10.2) to become available to every current and future subscriber, without either side writing integration code against the other — the same reason a printer manufacturer writes one driver rather than one integration per application.</w:t>
      </w:r>
    </w:p>
    <w:p w14:paraId="000001A7" w14:textId="77777777" w:rsidR="0062357D" w:rsidRDefault="007E79DA">
      <w:pPr>
        <w:numPr>
          <w:ilvl w:val="0"/>
          <w:numId w:val="1"/>
        </w:numPr>
        <w:pBdr>
          <w:top w:val="nil"/>
          <w:left w:val="nil"/>
          <w:bottom w:val="nil"/>
          <w:right w:val="nil"/>
          <w:between w:val="nil"/>
        </w:pBdr>
        <w:spacing w:after="60"/>
      </w:pPr>
      <w:r>
        <w:rPr>
          <w:color w:val="000000"/>
          <w:sz w:val="21"/>
          <w:szCs w:val="21"/>
        </w:rPr>
        <w:t>A subscriber only has to integrate against the broker's one API (§10.3) to offer remediation and donation actions to its own users, without maintaining a relationship with every individual tree-planting or kelp-restoration organization itself.</w:t>
      </w:r>
    </w:p>
    <w:p w14:paraId="7D000004" w14:textId="77777777" w:rsidR="0062357D" w:rsidRDefault="007E79DA">
      <w:pPr>
        <w:spacing w:after="140"/>
      </w:pPr>
      <w:r>
        <w:rPr>
          <w:sz w:val="21"/>
          <w:szCs w:val="21"/>
        </w:rPr>
        <w:t>As of v1.2 the Provider layer is no longer limited to carbon remediation. Renewable energy generators, water restoration, recycling and remediation operators, heat recovery operators, and materials recyclers join through the same interface, and each is matched to Subscribers like for like by impact dimension (§22).</w:t>
      </w:r>
    </w:p>
    <w:p w14:paraId="000001A8" w14:textId="77777777" w:rsidR="0062357D" w:rsidRDefault="007E79DA">
      <w:pPr>
        <w:pStyle w:val="Heading2"/>
        <w:spacing w:before="280" w:after="120"/>
      </w:pPr>
      <w:r>
        <w:rPr>
          <w:b/>
          <w:bCs/>
          <w:color w:val="1E7A4C"/>
          <w:sz w:val="24"/>
          <w:szCs w:val="24"/>
        </w:rPr>
        <w:t>10.2 Provider SDK</w:t>
      </w:r>
    </w:p>
    <w:p w14:paraId="000001A9" w14:textId="77777777" w:rsidR="0062357D" w:rsidRDefault="007E79DA">
      <w:pPr>
        <w:spacing w:after="140"/>
      </w:pPr>
      <w:r>
        <w:rPr>
          <w:sz w:val="21"/>
          <w:szCs w:val="21"/>
        </w:rPr>
        <w:t xml:space="preserve">The Remediation Provider Interface is the standard contract every provider implements, regardless of remediation category. It is part of the open core (§17) — published, versioned, and implementable by any organization without needing </w:t>
      </w:r>
      <w:proofErr w:type="spellStart"/>
      <w:r>
        <w:rPr>
          <w:sz w:val="21"/>
          <w:szCs w:val="21"/>
        </w:rPr>
        <w:t>AIforE's</w:t>
      </w:r>
      <w:proofErr w:type="spellEnd"/>
      <w:r>
        <w:rPr>
          <w:sz w:val="21"/>
          <w:szCs w:val="21"/>
        </w:rPr>
        <w:t xml:space="preserve"> permission to write against it, the same way Windows documents its print driver model rather than gatekeeping who can implement one.</w:t>
      </w:r>
    </w:p>
    <w:tbl>
      <w:tblPr>
        <w:tblStyle w:val="a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62357D" w14:paraId="04A3AC88" w14:textId="77777777">
        <w:trPr>
          <w:tblHeader/>
        </w:trPr>
        <w:tc>
          <w:tcPr>
            <w:tcW w:w="2600" w:type="dxa"/>
            <w:shd w:val="clear" w:color="auto" w:fill="1E7A4C"/>
            <w:tcMar>
              <w:top w:w="80" w:type="dxa"/>
              <w:left w:w="100" w:type="dxa"/>
              <w:bottom w:w="80" w:type="dxa"/>
              <w:right w:w="100" w:type="dxa"/>
            </w:tcMar>
          </w:tcPr>
          <w:p w14:paraId="000001AA" w14:textId="77777777" w:rsidR="0062357D" w:rsidRDefault="007E79DA">
            <w:r>
              <w:rPr>
                <w:b/>
                <w:bCs/>
                <w:color w:val="FFFFFF"/>
                <w:sz w:val="19"/>
                <w:szCs w:val="19"/>
              </w:rPr>
              <w:t>Interface method</w:t>
            </w:r>
          </w:p>
        </w:tc>
        <w:tc>
          <w:tcPr>
            <w:tcW w:w="6800" w:type="dxa"/>
            <w:shd w:val="clear" w:color="auto" w:fill="1E7A4C"/>
            <w:tcMar>
              <w:top w:w="80" w:type="dxa"/>
              <w:left w:w="100" w:type="dxa"/>
              <w:bottom w:w="80" w:type="dxa"/>
              <w:right w:w="100" w:type="dxa"/>
            </w:tcMar>
          </w:tcPr>
          <w:p w14:paraId="000001AB" w14:textId="77777777" w:rsidR="0062357D" w:rsidRDefault="007E79DA">
            <w:r>
              <w:rPr>
                <w:b/>
                <w:bCs/>
                <w:color w:val="FFFFFF"/>
                <w:sz w:val="19"/>
                <w:szCs w:val="19"/>
              </w:rPr>
              <w:t>Purpose</w:t>
            </w:r>
          </w:p>
        </w:tc>
      </w:tr>
      <w:tr w:rsidR="0062357D" w14:paraId="161E7E4D" w14:textId="77777777">
        <w:tc>
          <w:tcPr>
            <w:tcW w:w="2600" w:type="dxa"/>
            <w:tcMar>
              <w:top w:w="80" w:type="dxa"/>
              <w:left w:w="100" w:type="dxa"/>
              <w:bottom w:w="80" w:type="dxa"/>
              <w:right w:w="100" w:type="dxa"/>
            </w:tcMar>
          </w:tcPr>
          <w:p w14:paraId="000001AC" w14:textId="77777777" w:rsidR="0062357D" w:rsidRDefault="007E79DA">
            <w:proofErr w:type="spellStart"/>
            <w:r>
              <w:rPr>
                <w:sz w:val="19"/>
                <w:szCs w:val="19"/>
              </w:rPr>
              <w:t>register_provider</w:t>
            </w:r>
            <w:proofErr w:type="spellEnd"/>
            <w:r>
              <w:rPr>
                <w:sz w:val="19"/>
                <w:szCs w:val="19"/>
              </w:rPr>
              <w:t>()</w:t>
            </w:r>
          </w:p>
        </w:tc>
        <w:tc>
          <w:tcPr>
            <w:tcW w:w="6800" w:type="dxa"/>
            <w:tcMar>
              <w:top w:w="80" w:type="dxa"/>
              <w:left w:w="100" w:type="dxa"/>
              <w:bottom w:w="80" w:type="dxa"/>
              <w:right w:w="100" w:type="dxa"/>
            </w:tcMar>
          </w:tcPr>
          <w:p w14:paraId="000001AD" w14:textId="77777777" w:rsidR="0062357D" w:rsidRDefault="007E79DA">
            <w:r>
              <w:rPr>
                <w:sz w:val="19"/>
                <w:szCs w:val="19"/>
              </w:rPr>
              <w:t xml:space="preserve">Declares provider identity, remediation category (reforestation, blue carbon, DAC, </w:t>
            </w:r>
            <w:proofErr w:type="spellStart"/>
            <w:r>
              <w:rPr>
                <w:sz w:val="19"/>
                <w:szCs w:val="19"/>
              </w:rPr>
              <w:t>biochar</w:t>
            </w:r>
            <w:proofErr w:type="spellEnd"/>
            <w:r>
              <w:rPr>
                <w:sz w:val="19"/>
                <w:szCs w:val="19"/>
              </w:rPr>
              <w:t>, mangrove/</w:t>
            </w:r>
            <w:proofErr w:type="spellStart"/>
            <w:r>
              <w:rPr>
                <w:sz w:val="19"/>
                <w:szCs w:val="19"/>
              </w:rPr>
              <w:t>seagrass</w:t>
            </w:r>
            <w:proofErr w:type="spellEnd"/>
            <w:r>
              <w:rPr>
                <w:sz w:val="19"/>
                <w:szCs w:val="19"/>
              </w:rPr>
              <w:t>, other), and certification status</w:t>
            </w:r>
          </w:p>
        </w:tc>
      </w:tr>
      <w:tr w:rsidR="0062357D" w14:paraId="2AE01FD9" w14:textId="77777777">
        <w:tc>
          <w:tcPr>
            <w:tcW w:w="2600" w:type="dxa"/>
            <w:tcMar>
              <w:top w:w="80" w:type="dxa"/>
              <w:left w:w="100" w:type="dxa"/>
              <w:bottom w:w="80" w:type="dxa"/>
              <w:right w:w="100" w:type="dxa"/>
            </w:tcMar>
          </w:tcPr>
          <w:p w14:paraId="000001AE" w14:textId="77777777" w:rsidR="0062357D" w:rsidRDefault="007E79DA">
            <w:proofErr w:type="spellStart"/>
            <w:r>
              <w:rPr>
                <w:sz w:val="19"/>
                <w:szCs w:val="19"/>
              </w:rPr>
              <w:t>get_catalog</w:t>
            </w:r>
            <w:proofErr w:type="spellEnd"/>
            <w:r>
              <w:rPr>
                <w:sz w:val="19"/>
                <w:szCs w:val="19"/>
              </w:rPr>
              <w:t>()</w:t>
            </w:r>
          </w:p>
        </w:tc>
        <w:tc>
          <w:tcPr>
            <w:tcW w:w="6800" w:type="dxa"/>
            <w:tcMar>
              <w:top w:w="80" w:type="dxa"/>
              <w:left w:w="100" w:type="dxa"/>
              <w:bottom w:w="80" w:type="dxa"/>
              <w:right w:w="100" w:type="dxa"/>
            </w:tcMar>
          </w:tcPr>
          <w:p w14:paraId="000001AF" w14:textId="77777777" w:rsidR="0062357D" w:rsidRDefault="007E79DA">
            <w:r>
              <w:rPr>
                <w:sz w:val="19"/>
                <w:szCs w:val="19"/>
              </w:rPr>
              <w:t>Lists the provider's available remediation products or projects — region, capacity, price — for the broker's registry</w:t>
            </w:r>
          </w:p>
        </w:tc>
      </w:tr>
      <w:tr w:rsidR="0062357D" w14:paraId="7332936F" w14:textId="77777777">
        <w:tc>
          <w:tcPr>
            <w:tcW w:w="2600" w:type="dxa"/>
            <w:tcMar>
              <w:top w:w="80" w:type="dxa"/>
              <w:left w:w="100" w:type="dxa"/>
              <w:bottom w:w="80" w:type="dxa"/>
              <w:right w:w="100" w:type="dxa"/>
            </w:tcMar>
          </w:tcPr>
          <w:p w14:paraId="000001B0" w14:textId="77777777" w:rsidR="0062357D" w:rsidRDefault="007E79DA">
            <w:r>
              <w:rPr>
                <w:sz w:val="19"/>
                <w:szCs w:val="19"/>
              </w:rPr>
              <w:t>quote(co2e_g)</w:t>
            </w:r>
          </w:p>
        </w:tc>
        <w:tc>
          <w:tcPr>
            <w:tcW w:w="6800" w:type="dxa"/>
            <w:tcMar>
              <w:top w:w="80" w:type="dxa"/>
              <w:left w:w="100" w:type="dxa"/>
              <w:bottom w:w="80" w:type="dxa"/>
              <w:right w:w="100" w:type="dxa"/>
            </w:tcMar>
          </w:tcPr>
          <w:p w14:paraId="000001B1" w14:textId="77777777" w:rsidR="0062357D" w:rsidRDefault="007E79DA">
            <w:r>
              <w:rPr>
                <w:sz w:val="19"/>
                <w:szCs w:val="19"/>
              </w:rPr>
              <w:t>Returns a cost and fulfillment-time estimate for sequestering a given quantity of CO2e</w:t>
            </w:r>
          </w:p>
        </w:tc>
      </w:tr>
      <w:tr w:rsidR="0062357D" w14:paraId="764EEDBA" w14:textId="77777777">
        <w:tc>
          <w:tcPr>
            <w:tcW w:w="2600" w:type="dxa"/>
            <w:tcMar>
              <w:top w:w="80" w:type="dxa"/>
              <w:left w:w="100" w:type="dxa"/>
              <w:bottom w:w="80" w:type="dxa"/>
              <w:right w:w="100" w:type="dxa"/>
            </w:tcMar>
          </w:tcPr>
          <w:p w14:paraId="000001B2" w14:textId="77777777" w:rsidR="0062357D" w:rsidRDefault="007E79DA">
            <w:r>
              <w:rPr>
                <w:sz w:val="19"/>
                <w:szCs w:val="19"/>
              </w:rPr>
              <w:t>fulfill(order)</w:t>
            </w:r>
          </w:p>
        </w:tc>
        <w:tc>
          <w:tcPr>
            <w:tcW w:w="6800" w:type="dxa"/>
            <w:tcMar>
              <w:top w:w="80" w:type="dxa"/>
              <w:left w:w="100" w:type="dxa"/>
              <w:bottom w:w="80" w:type="dxa"/>
              <w:right w:w="100" w:type="dxa"/>
            </w:tcMar>
          </w:tcPr>
          <w:p w14:paraId="000001B3" w14:textId="77777777" w:rsidR="0062357D" w:rsidRDefault="007E79DA">
            <w:r>
              <w:rPr>
                <w:sz w:val="19"/>
                <w:szCs w:val="19"/>
              </w:rPr>
              <w:t>Executes and records a remediation purchase against a specific subscriber-originated order</w:t>
            </w:r>
          </w:p>
        </w:tc>
      </w:tr>
      <w:tr w:rsidR="0062357D" w14:paraId="4D02E1B2" w14:textId="77777777">
        <w:tc>
          <w:tcPr>
            <w:tcW w:w="2600" w:type="dxa"/>
            <w:tcMar>
              <w:top w:w="80" w:type="dxa"/>
              <w:left w:w="100" w:type="dxa"/>
              <w:bottom w:w="80" w:type="dxa"/>
              <w:right w:w="100" w:type="dxa"/>
            </w:tcMar>
          </w:tcPr>
          <w:p w14:paraId="000001B4" w14:textId="77777777" w:rsidR="0062357D" w:rsidRDefault="007E79DA">
            <w:proofErr w:type="spellStart"/>
            <w:r>
              <w:rPr>
                <w:sz w:val="19"/>
                <w:szCs w:val="19"/>
              </w:rPr>
              <w:t>get_certificate</w:t>
            </w:r>
            <w:proofErr w:type="spellEnd"/>
            <w:r>
              <w:rPr>
                <w:sz w:val="19"/>
                <w:szCs w:val="19"/>
              </w:rPr>
              <w:t>() / verify()</w:t>
            </w:r>
          </w:p>
        </w:tc>
        <w:tc>
          <w:tcPr>
            <w:tcW w:w="6800" w:type="dxa"/>
            <w:tcMar>
              <w:top w:w="80" w:type="dxa"/>
              <w:left w:w="100" w:type="dxa"/>
              <w:bottom w:w="80" w:type="dxa"/>
              <w:right w:w="100" w:type="dxa"/>
            </w:tcMar>
          </w:tcPr>
          <w:p w14:paraId="000001B5" w14:textId="77777777" w:rsidR="0062357D" w:rsidRDefault="007E79DA">
            <w:r>
              <w:rPr>
                <w:sz w:val="19"/>
                <w:szCs w:val="19"/>
              </w:rPr>
              <w:t xml:space="preserve">Returns proof of fulfillment — a </w:t>
            </w:r>
            <w:proofErr w:type="spellStart"/>
            <w:r>
              <w:rPr>
                <w:sz w:val="19"/>
                <w:szCs w:val="19"/>
              </w:rPr>
              <w:t>Verra</w:t>
            </w:r>
            <w:proofErr w:type="spellEnd"/>
            <w:r>
              <w:rPr>
                <w:sz w:val="19"/>
                <w:szCs w:val="19"/>
              </w:rPr>
              <w:t>/Gold Standard credit serial number where one exists, or a provider attestation where no formal standard exists yet (§10.2.1)</w:t>
            </w:r>
          </w:p>
        </w:tc>
      </w:tr>
      <w:tr w:rsidR="0062357D" w14:paraId="02993D83" w14:textId="77777777">
        <w:tc>
          <w:tcPr>
            <w:tcW w:w="2600" w:type="dxa"/>
            <w:tcMar>
              <w:top w:w="80" w:type="dxa"/>
              <w:left w:w="100" w:type="dxa"/>
              <w:bottom w:w="80" w:type="dxa"/>
              <w:right w:w="100" w:type="dxa"/>
            </w:tcMar>
          </w:tcPr>
          <w:p w14:paraId="000001B6" w14:textId="77777777" w:rsidR="0062357D" w:rsidRDefault="007E79DA">
            <w:proofErr w:type="spellStart"/>
            <w:r>
              <w:rPr>
                <w:sz w:val="19"/>
                <w:szCs w:val="19"/>
              </w:rPr>
              <w:t>report_status</w:t>
            </w:r>
            <w:proofErr w:type="spellEnd"/>
            <w:r>
              <w:rPr>
                <w:sz w:val="19"/>
                <w:szCs w:val="19"/>
              </w:rPr>
              <w:t>(</w:t>
            </w:r>
            <w:proofErr w:type="spellStart"/>
            <w:r>
              <w:rPr>
                <w:sz w:val="19"/>
                <w:szCs w:val="19"/>
              </w:rPr>
              <w:t>order_id</w:t>
            </w:r>
            <w:proofErr w:type="spellEnd"/>
            <w:r>
              <w:rPr>
                <w:sz w:val="19"/>
                <w:szCs w:val="19"/>
              </w:rPr>
              <w:t>)</w:t>
            </w:r>
          </w:p>
        </w:tc>
        <w:tc>
          <w:tcPr>
            <w:tcW w:w="6800" w:type="dxa"/>
            <w:tcMar>
              <w:top w:w="80" w:type="dxa"/>
              <w:left w:w="100" w:type="dxa"/>
              <w:bottom w:w="80" w:type="dxa"/>
              <w:right w:w="100" w:type="dxa"/>
            </w:tcMar>
          </w:tcPr>
          <w:p w14:paraId="000001B7" w14:textId="77777777" w:rsidR="0062357D" w:rsidRDefault="007E79DA">
            <w:r>
              <w:rPr>
                <w:sz w:val="19"/>
                <w:szCs w:val="19"/>
              </w:rPr>
              <w:t>Ongoing fulfillment status for orders that complete over time (e.g., a tree's multi-year growth horizon, §2 of the cited tree-offset methodology sources)</w:t>
            </w:r>
          </w:p>
        </w:tc>
      </w:tr>
    </w:tbl>
    <w:p w14:paraId="000001B8" w14:textId="77777777" w:rsidR="0062357D" w:rsidRDefault="0062357D">
      <w:pPr>
        <w:spacing w:after="140"/>
      </w:pPr>
    </w:p>
    <w:p w14:paraId="7D000005" w14:textId="77777777" w:rsidR="0062357D" w:rsidRDefault="007E79DA">
      <w:pPr>
        <w:spacing w:after="140"/>
      </w:pPr>
      <w:r>
        <w:rPr>
          <w:sz w:val="21"/>
          <w:szCs w:val="21"/>
        </w:rPr>
        <w:t xml:space="preserve">Multi-attribute extension (§22.4–§22.5): </w:t>
      </w:r>
      <w:proofErr w:type="spellStart"/>
      <w:r>
        <w:rPr>
          <w:sz w:val="21"/>
          <w:szCs w:val="21"/>
        </w:rPr>
        <w:t>register_provider</w:t>
      </w:r>
      <w:proofErr w:type="spellEnd"/>
      <w:r>
        <w:rPr>
          <w:sz w:val="21"/>
          <w:szCs w:val="21"/>
        </w:rPr>
        <w:t>() accepts the additional categories renewable energy (REN), water restoration and recycling (WRR), heat recovery (HRC) and materials recycling (RCY), and quote() generalizes from a CO2e quantity to an impact vector covering carbon, electricity, water, heat and materials.</w:t>
      </w:r>
    </w:p>
    <w:p w14:paraId="000001B9" w14:textId="77777777" w:rsidR="0062357D" w:rsidRDefault="007E79DA">
      <w:pPr>
        <w:pStyle w:val="Heading3"/>
        <w:spacing w:before="200" w:after="100"/>
      </w:pPr>
      <w:r>
        <w:rPr>
          <w:b/>
          <w:bCs/>
          <w:color w:val="333333"/>
          <w:sz w:val="21"/>
          <w:szCs w:val="21"/>
        </w:rPr>
        <w:t>10.2.1 Provider Confidence Tiers</w:t>
      </w:r>
    </w:p>
    <w:p w14:paraId="000001BA" w14:textId="77777777" w:rsidR="0062357D" w:rsidRDefault="007E79DA">
      <w:pPr>
        <w:spacing w:after="140"/>
      </w:pPr>
      <w:r>
        <w:rPr>
          <w:sz w:val="21"/>
          <w:szCs w:val="21"/>
        </w:rPr>
        <w:t>Remediation categories are not equally verifiable, and the broker applies the same confidence-tier discipline already established for environmental figures (§8.1–§8.3) to providers themselves, so every subscriber sees consistent labeling no matter which specific provider fulfills an order.</w:t>
      </w:r>
    </w:p>
    <w:tbl>
      <w:tblPr>
        <w:tblStyle w:val="ab"/>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200"/>
        <w:gridCol w:w="3600"/>
      </w:tblGrid>
      <w:tr w:rsidR="0062357D" w14:paraId="4BD987E1" w14:textId="77777777">
        <w:trPr>
          <w:tblHeader/>
        </w:trPr>
        <w:tc>
          <w:tcPr>
            <w:tcW w:w="2600" w:type="dxa"/>
            <w:shd w:val="clear" w:color="auto" w:fill="1E7A4C"/>
            <w:tcMar>
              <w:top w:w="80" w:type="dxa"/>
              <w:left w:w="100" w:type="dxa"/>
              <w:bottom w:w="80" w:type="dxa"/>
              <w:right w:w="100" w:type="dxa"/>
            </w:tcMar>
          </w:tcPr>
          <w:p w14:paraId="000001BB" w14:textId="77777777" w:rsidR="0062357D" w:rsidRDefault="007E79DA">
            <w:r>
              <w:rPr>
                <w:b/>
                <w:bCs/>
                <w:color w:val="FFFFFF"/>
                <w:sz w:val="19"/>
                <w:szCs w:val="19"/>
              </w:rPr>
              <w:t>Tier</w:t>
            </w:r>
          </w:p>
        </w:tc>
        <w:tc>
          <w:tcPr>
            <w:tcW w:w="3200" w:type="dxa"/>
            <w:shd w:val="clear" w:color="auto" w:fill="1E7A4C"/>
            <w:tcMar>
              <w:top w:w="80" w:type="dxa"/>
              <w:left w:w="100" w:type="dxa"/>
              <w:bottom w:w="80" w:type="dxa"/>
              <w:right w:w="100" w:type="dxa"/>
            </w:tcMar>
          </w:tcPr>
          <w:p w14:paraId="000001BC" w14:textId="77777777" w:rsidR="0062357D" w:rsidRDefault="007E79DA">
            <w:r>
              <w:rPr>
                <w:b/>
                <w:bCs/>
                <w:color w:val="FFFFFF"/>
                <w:sz w:val="19"/>
                <w:szCs w:val="19"/>
              </w:rPr>
              <w:t>Category</w:t>
            </w:r>
          </w:p>
        </w:tc>
        <w:tc>
          <w:tcPr>
            <w:tcW w:w="3600" w:type="dxa"/>
            <w:shd w:val="clear" w:color="auto" w:fill="1E7A4C"/>
            <w:tcMar>
              <w:top w:w="80" w:type="dxa"/>
              <w:left w:w="100" w:type="dxa"/>
              <w:bottom w:w="80" w:type="dxa"/>
              <w:right w:w="100" w:type="dxa"/>
            </w:tcMar>
          </w:tcPr>
          <w:p w14:paraId="000001BD" w14:textId="77777777" w:rsidR="0062357D" w:rsidRDefault="007E79DA">
            <w:r>
              <w:rPr>
                <w:b/>
                <w:bCs/>
                <w:color w:val="FFFFFF"/>
                <w:sz w:val="19"/>
                <w:szCs w:val="19"/>
              </w:rPr>
              <w:t>Examples</w:t>
            </w:r>
          </w:p>
        </w:tc>
      </w:tr>
      <w:tr w:rsidR="0062357D" w14:paraId="733EB2E8" w14:textId="77777777">
        <w:tc>
          <w:tcPr>
            <w:tcW w:w="2600" w:type="dxa"/>
            <w:tcMar>
              <w:top w:w="80" w:type="dxa"/>
              <w:left w:w="100" w:type="dxa"/>
              <w:bottom w:w="80" w:type="dxa"/>
              <w:right w:w="100" w:type="dxa"/>
            </w:tcMar>
          </w:tcPr>
          <w:p w14:paraId="000001BE" w14:textId="77777777" w:rsidR="0062357D" w:rsidRDefault="007E79DA">
            <w:r>
              <w:rPr>
                <w:sz w:val="19"/>
                <w:szCs w:val="19"/>
              </w:rPr>
              <w:t>Verified / standard-backed</w:t>
            </w:r>
          </w:p>
        </w:tc>
        <w:tc>
          <w:tcPr>
            <w:tcW w:w="3200" w:type="dxa"/>
            <w:tcMar>
              <w:top w:w="80" w:type="dxa"/>
              <w:left w:w="100" w:type="dxa"/>
              <w:bottom w:w="80" w:type="dxa"/>
              <w:right w:w="100" w:type="dxa"/>
            </w:tcMar>
          </w:tcPr>
          <w:p w14:paraId="000001BF" w14:textId="77777777" w:rsidR="0062357D" w:rsidRDefault="007E79DA">
            <w:r>
              <w:rPr>
                <w:sz w:val="19"/>
                <w:szCs w:val="19"/>
              </w:rPr>
              <w:t>Certified under an established methodology (</w:t>
            </w:r>
            <w:proofErr w:type="spellStart"/>
            <w:r>
              <w:rPr>
                <w:sz w:val="19"/>
                <w:szCs w:val="19"/>
              </w:rPr>
              <w:t>Verra</w:t>
            </w:r>
            <w:proofErr w:type="spellEnd"/>
            <w:r>
              <w:rPr>
                <w:sz w:val="19"/>
                <w:szCs w:val="19"/>
              </w:rPr>
              <w:t>, Gold Standard) with third-party verification</w:t>
            </w:r>
          </w:p>
        </w:tc>
        <w:tc>
          <w:tcPr>
            <w:tcW w:w="3600" w:type="dxa"/>
            <w:tcMar>
              <w:top w:w="80" w:type="dxa"/>
              <w:left w:w="100" w:type="dxa"/>
              <w:bottom w:w="80" w:type="dxa"/>
              <w:right w:w="100" w:type="dxa"/>
            </w:tcMar>
          </w:tcPr>
          <w:p w14:paraId="000001C0" w14:textId="77777777" w:rsidR="0062357D" w:rsidRDefault="007E79DA">
            <w:r>
              <w:rPr>
                <w:sz w:val="19"/>
                <w:szCs w:val="19"/>
              </w:rPr>
              <w:t>Certified reforestation credits; typically $15–$30/ton CO2, with lower-cost uncertified tree-planting programs offered separately and labeled as a different product, not an equivalent credit</w:t>
            </w:r>
          </w:p>
        </w:tc>
      </w:tr>
      <w:tr w:rsidR="0062357D" w14:paraId="47625BE7" w14:textId="77777777">
        <w:tc>
          <w:tcPr>
            <w:tcW w:w="2600" w:type="dxa"/>
            <w:tcMar>
              <w:top w:w="80" w:type="dxa"/>
              <w:left w:w="100" w:type="dxa"/>
              <w:bottom w:w="80" w:type="dxa"/>
              <w:right w:w="100" w:type="dxa"/>
            </w:tcMar>
          </w:tcPr>
          <w:p w14:paraId="000001C1" w14:textId="77777777" w:rsidR="0062357D" w:rsidRDefault="007E79DA">
            <w:r>
              <w:rPr>
                <w:sz w:val="19"/>
                <w:szCs w:val="19"/>
              </w:rPr>
              <w:t>Emerging / methodology-immature</w:t>
            </w:r>
          </w:p>
        </w:tc>
        <w:tc>
          <w:tcPr>
            <w:tcW w:w="3200" w:type="dxa"/>
            <w:tcMar>
              <w:top w:w="80" w:type="dxa"/>
              <w:left w:w="100" w:type="dxa"/>
              <w:bottom w:w="80" w:type="dxa"/>
              <w:right w:w="100" w:type="dxa"/>
            </w:tcMar>
          </w:tcPr>
          <w:p w14:paraId="000001C2" w14:textId="77777777" w:rsidR="0062357D" w:rsidRDefault="007E79DA">
            <w:r>
              <w:rPr>
                <w:sz w:val="19"/>
                <w:szCs w:val="19"/>
              </w:rPr>
              <w:t>Scientifically documented sequestration with no formally recognized crediting methodology yet</w:t>
            </w:r>
          </w:p>
        </w:tc>
        <w:tc>
          <w:tcPr>
            <w:tcW w:w="3600" w:type="dxa"/>
            <w:tcMar>
              <w:top w:w="80" w:type="dxa"/>
              <w:left w:w="100" w:type="dxa"/>
              <w:bottom w:w="80" w:type="dxa"/>
              <w:right w:w="100" w:type="dxa"/>
            </w:tcMar>
          </w:tcPr>
          <w:p w14:paraId="000001C3" w14:textId="77777777" w:rsidR="0062357D" w:rsidRDefault="007E79DA">
            <w:r>
              <w:rPr>
                <w:sz w:val="19"/>
                <w:szCs w:val="19"/>
              </w:rPr>
              <w:t xml:space="preserve">Kelp and other blue-carbon restoration — no Gold Standard or </w:t>
            </w:r>
            <w:proofErr w:type="spellStart"/>
            <w:r>
              <w:rPr>
                <w:sz w:val="19"/>
                <w:szCs w:val="19"/>
              </w:rPr>
              <w:t>Verra</w:t>
            </w:r>
            <w:proofErr w:type="spellEnd"/>
            <w:r>
              <w:rPr>
                <w:sz w:val="19"/>
                <w:szCs w:val="19"/>
              </w:rPr>
              <w:t xml:space="preserve"> kelp methodology exists as of this draft; providers in this tier are surfaced with an explicit “emerging, not independently verified” label, never presented at the same confidence level as Tier 1</w:t>
            </w:r>
          </w:p>
        </w:tc>
      </w:tr>
      <w:tr w:rsidR="0062357D" w14:paraId="236C7CDE" w14:textId="77777777">
        <w:tc>
          <w:tcPr>
            <w:tcW w:w="2600" w:type="dxa"/>
            <w:tcMar>
              <w:top w:w="80" w:type="dxa"/>
              <w:left w:w="100" w:type="dxa"/>
              <w:bottom w:w="80" w:type="dxa"/>
              <w:right w:w="100" w:type="dxa"/>
            </w:tcMar>
          </w:tcPr>
          <w:p w14:paraId="000001C4" w14:textId="77777777" w:rsidR="0062357D" w:rsidRDefault="007E79DA">
            <w:r>
              <w:rPr>
                <w:sz w:val="19"/>
                <w:szCs w:val="19"/>
              </w:rPr>
              <w:t>Engineered / durable</w:t>
            </w:r>
          </w:p>
        </w:tc>
        <w:tc>
          <w:tcPr>
            <w:tcW w:w="3200" w:type="dxa"/>
            <w:tcMar>
              <w:top w:w="80" w:type="dxa"/>
              <w:left w:w="100" w:type="dxa"/>
              <w:bottom w:w="80" w:type="dxa"/>
              <w:right w:w="100" w:type="dxa"/>
            </w:tcMar>
          </w:tcPr>
          <w:p w14:paraId="000001C5" w14:textId="77777777" w:rsidR="0062357D" w:rsidRDefault="007E79DA">
            <w:r>
              <w:rPr>
                <w:sz w:val="19"/>
                <w:szCs w:val="19"/>
              </w:rPr>
              <w:t>High-permanence removal, generally at a materially higher cost per ton</w:t>
            </w:r>
          </w:p>
        </w:tc>
        <w:tc>
          <w:tcPr>
            <w:tcW w:w="3600" w:type="dxa"/>
            <w:tcMar>
              <w:top w:w="80" w:type="dxa"/>
              <w:left w:w="100" w:type="dxa"/>
              <w:bottom w:w="80" w:type="dxa"/>
              <w:right w:w="100" w:type="dxa"/>
            </w:tcMar>
          </w:tcPr>
          <w:p w14:paraId="000001C6" w14:textId="77777777" w:rsidR="0062357D" w:rsidRDefault="007E79DA">
            <w:r>
              <w:rPr>
                <w:sz w:val="19"/>
                <w:szCs w:val="19"/>
              </w:rPr>
              <w:t xml:space="preserve">Direct air capture, </w:t>
            </w:r>
            <w:proofErr w:type="spellStart"/>
            <w:r>
              <w:rPr>
                <w:sz w:val="19"/>
                <w:szCs w:val="19"/>
              </w:rPr>
              <w:t>biochar</w:t>
            </w:r>
            <w:proofErr w:type="spellEnd"/>
            <w:r>
              <w:rPr>
                <w:sz w:val="19"/>
                <w:szCs w:val="19"/>
              </w:rPr>
              <w:t xml:space="preserve"> — offered for subscribers prioritizing permanence over cost</w:t>
            </w:r>
          </w:p>
        </w:tc>
      </w:tr>
    </w:tbl>
    <w:p w14:paraId="000001C7" w14:textId="77777777" w:rsidR="0062357D" w:rsidRDefault="0062357D">
      <w:pPr>
        <w:spacing w:after="140"/>
      </w:pPr>
    </w:p>
    <w:p w14:paraId="000001C8" w14:textId="77777777" w:rsidR="0062357D" w:rsidRDefault="007E79DA">
      <w:pPr>
        <w:numPr>
          <w:ilvl w:val="0"/>
          <w:numId w:val="1"/>
        </w:numPr>
        <w:pBdr>
          <w:top w:val="nil"/>
          <w:left w:val="nil"/>
          <w:bottom w:val="nil"/>
          <w:right w:val="nil"/>
          <w:between w:val="nil"/>
        </w:pBdr>
        <w:spacing w:after="60"/>
      </w:pPr>
      <w:r>
        <w:rPr>
          <w:color w:val="000000"/>
          <w:sz w:val="21"/>
          <w:szCs w:val="21"/>
        </w:rPr>
        <w:t>A provider's tier is a property the broker enforces at the registry level (§10.4), not something a provider self-declares — the same way a print spooler, not the driver, decides what capabilities get exposed to applications.</w:t>
      </w:r>
    </w:p>
    <w:p w14:paraId="000001C9" w14:textId="77777777" w:rsidR="0062357D" w:rsidRDefault="007E79DA">
      <w:pPr>
        <w:pStyle w:val="Heading2"/>
        <w:spacing w:before="280" w:after="120"/>
      </w:pPr>
      <w:r>
        <w:rPr>
          <w:b/>
          <w:bCs/>
          <w:color w:val="1E7A4C"/>
          <w:sz w:val="24"/>
          <w:szCs w:val="24"/>
        </w:rPr>
        <w:t>10.3 Subscriber Interface</w:t>
      </w:r>
    </w:p>
    <w:p w14:paraId="000001CA" w14:textId="77777777" w:rsidR="0062357D" w:rsidRDefault="007E79DA">
      <w:pPr>
        <w:spacing w:after="140"/>
      </w:pPr>
      <w:r>
        <w:rPr>
          <w:sz w:val="21"/>
          <w:szCs w:val="21"/>
        </w:rPr>
        <w:t>The Subscriber API is the one documented surface any consuming application talks to — Stardust's own clients (§12) and any third-party product alike. Subscribers never call a provider directly.</w:t>
      </w:r>
    </w:p>
    <w:tbl>
      <w:tblPr>
        <w:tblStyle w:val="ac"/>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6000"/>
      </w:tblGrid>
      <w:tr w:rsidR="0062357D" w14:paraId="13FF2339" w14:textId="77777777">
        <w:trPr>
          <w:tblHeader/>
        </w:trPr>
        <w:tc>
          <w:tcPr>
            <w:tcW w:w="3400" w:type="dxa"/>
            <w:shd w:val="clear" w:color="auto" w:fill="1E7A4C"/>
            <w:tcMar>
              <w:top w:w="80" w:type="dxa"/>
              <w:left w:w="100" w:type="dxa"/>
              <w:bottom w:w="80" w:type="dxa"/>
              <w:right w:w="100" w:type="dxa"/>
            </w:tcMar>
          </w:tcPr>
          <w:p w14:paraId="000001CB" w14:textId="77777777" w:rsidR="0062357D" w:rsidRDefault="007E79DA">
            <w:r>
              <w:rPr>
                <w:b/>
                <w:bCs/>
                <w:color w:val="FFFFFF"/>
                <w:sz w:val="19"/>
                <w:szCs w:val="19"/>
              </w:rPr>
              <w:t>Interface method</w:t>
            </w:r>
          </w:p>
        </w:tc>
        <w:tc>
          <w:tcPr>
            <w:tcW w:w="6000" w:type="dxa"/>
            <w:shd w:val="clear" w:color="auto" w:fill="1E7A4C"/>
            <w:tcMar>
              <w:top w:w="80" w:type="dxa"/>
              <w:left w:w="100" w:type="dxa"/>
              <w:bottom w:w="80" w:type="dxa"/>
              <w:right w:w="100" w:type="dxa"/>
            </w:tcMar>
          </w:tcPr>
          <w:p w14:paraId="000001CC" w14:textId="77777777" w:rsidR="0062357D" w:rsidRDefault="007E79DA">
            <w:r>
              <w:rPr>
                <w:b/>
                <w:bCs/>
                <w:color w:val="FFFFFF"/>
                <w:sz w:val="19"/>
                <w:szCs w:val="19"/>
              </w:rPr>
              <w:t>Purpose</w:t>
            </w:r>
          </w:p>
        </w:tc>
      </w:tr>
      <w:tr w:rsidR="0062357D" w14:paraId="3DF6FBA1" w14:textId="77777777">
        <w:tc>
          <w:tcPr>
            <w:tcW w:w="3400" w:type="dxa"/>
            <w:tcMar>
              <w:top w:w="80" w:type="dxa"/>
              <w:left w:w="100" w:type="dxa"/>
              <w:bottom w:w="80" w:type="dxa"/>
              <w:right w:w="100" w:type="dxa"/>
            </w:tcMar>
          </w:tcPr>
          <w:p w14:paraId="000001CD" w14:textId="77777777" w:rsidR="0062357D" w:rsidRDefault="007E79DA">
            <w:proofErr w:type="spellStart"/>
            <w:r>
              <w:rPr>
                <w:sz w:val="19"/>
                <w:szCs w:val="19"/>
              </w:rPr>
              <w:t>request_quote</w:t>
            </w:r>
            <w:proofErr w:type="spellEnd"/>
            <w:r>
              <w:rPr>
                <w:sz w:val="19"/>
                <w:szCs w:val="19"/>
              </w:rPr>
              <w:t xml:space="preserve">(co2e_g, </w:t>
            </w:r>
            <w:proofErr w:type="spellStart"/>
            <w:r>
              <w:rPr>
                <w:sz w:val="19"/>
                <w:szCs w:val="19"/>
              </w:rPr>
              <w:t>tier_preference</w:t>
            </w:r>
            <w:proofErr w:type="spellEnd"/>
            <w:r>
              <w:rPr>
                <w:sz w:val="19"/>
                <w:szCs w:val="19"/>
              </w:rPr>
              <w:t>)</w:t>
            </w:r>
          </w:p>
        </w:tc>
        <w:tc>
          <w:tcPr>
            <w:tcW w:w="6000" w:type="dxa"/>
            <w:tcMar>
              <w:top w:w="80" w:type="dxa"/>
              <w:left w:w="100" w:type="dxa"/>
              <w:bottom w:w="80" w:type="dxa"/>
              <w:right w:w="100" w:type="dxa"/>
            </w:tcMar>
          </w:tcPr>
          <w:p w14:paraId="000001CE" w14:textId="77777777" w:rsidR="0062357D" w:rsidRDefault="007E79DA">
            <w:r>
              <w:rPr>
                <w:sz w:val="19"/>
                <w:szCs w:val="19"/>
              </w:rPr>
              <w:t>Asks the broker for available remediation options matching a measured impact and an optional tier filter (§10.2.1)</w:t>
            </w:r>
          </w:p>
        </w:tc>
      </w:tr>
      <w:tr w:rsidR="0062357D" w14:paraId="472012A0" w14:textId="77777777">
        <w:tc>
          <w:tcPr>
            <w:tcW w:w="3400" w:type="dxa"/>
            <w:tcMar>
              <w:top w:w="80" w:type="dxa"/>
              <w:left w:w="100" w:type="dxa"/>
              <w:bottom w:w="80" w:type="dxa"/>
              <w:right w:w="100" w:type="dxa"/>
            </w:tcMar>
          </w:tcPr>
          <w:p w14:paraId="000001CF" w14:textId="77777777" w:rsidR="0062357D" w:rsidRDefault="007E79DA">
            <w:proofErr w:type="spellStart"/>
            <w:r>
              <w:rPr>
                <w:sz w:val="19"/>
                <w:szCs w:val="19"/>
              </w:rPr>
              <w:t>submit_remediation_order</w:t>
            </w:r>
            <w:proofErr w:type="spellEnd"/>
            <w:r>
              <w:rPr>
                <w:sz w:val="19"/>
                <w:szCs w:val="19"/>
              </w:rPr>
              <w:t>(</w:t>
            </w:r>
            <w:proofErr w:type="spellStart"/>
            <w:r>
              <w:rPr>
                <w:sz w:val="19"/>
                <w:szCs w:val="19"/>
              </w:rPr>
              <w:t>quote_id</w:t>
            </w:r>
            <w:proofErr w:type="spellEnd"/>
            <w:r>
              <w:rPr>
                <w:sz w:val="19"/>
                <w:szCs w:val="19"/>
              </w:rPr>
              <w:t xml:space="preserve">, </w:t>
            </w:r>
            <w:proofErr w:type="spellStart"/>
            <w:r>
              <w:rPr>
                <w:sz w:val="19"/>
                <w:szCs w:val="19"/>
              </w:rPr>
              <w:t>payment_ref</w:t>
            </w:r>
            <w:proofErr w:type="spellEnd"/>
            <w:r>
              <w:rPr>
                <w:sz w:val="19"/>
                <w:szCs w:val="19"/>
              </w:rPr>
              <w:t>)</w:t>
            </w:r>
          </w:p>
        </w:tc>
        <w:tc>
          <w:tcPr>
            <w:tcW w:w="6000" w:type="dxa"/>
            <w:tcMar>
              <w:top w:w="80" w:type="dxa"/>
              <w:left w:w="100" w:type="dxa"/>
              <w:bottom w:w="80" w:type="dxa"/>
              <w:right w:w="100" w:type="dxa"/>
            </w:tcMar>
          </w:tcPr>
          <w:p w14:paraId="000001D0" w14:textId="77777777" w:rsidR="0062357D" w:rsidRDefault="007E79DA">
            <w:r>
              <w:rPr>
                <w:sz w:val="19"/>
                <w:szCs w:val="19"/>
              </w:rPr>
              <w:t>Places an order against a specific quote; the broker routes it to the matching provider</w:t>
            </w:r>
          </w:p>
        </w:tc>
      </w:tr>
      <w:tr w:rsidR="0062357D" w14:paraId="34775460" w14:textId="77777777">
        <w:tc>
          <w:tcPr>
            <w:tcW w:w="3400" w:type="dxa"/>
            <w:tcMar>
              <w:top w:w="80" w:type="dxa"/>
              <w:left w:w="100" w:type="dxa"/>
              <w:bottom w:w="80" w:type="dxa"/>
              <w:right w:w="100" w:type="dxa"/>
            </w:tcMar>
          </w:tcPr>
          <w:p w14:paraId="000001D1" w14:textId="77777777" w:rsidR="0062357D" w:rsidRDefault="007E79DA">
            <w:proofErr w:type="spellStart"/>
            <w:r>
              <w:rPr>
                <w:sz w:val="19"/>
                <w:szCs w:val="19"/>
              </w:rPr>
              <w:t>get_fulfillment_status</w:t>
            </w:r>
            <w:proofErr w:type="spellEnd"/>
            <w:r>
              <w:rPr>
                <w:sz w:val="19"/>
                <w:szCs w:val="19"/>
              </w:rPr>
              <w:t>(</w:t>
            </w:r>
            <w:proofErr w:type="spellStart"/>
            <w:r>
              <w:rPr>
                <w:sz w:val="19"/>
                <w:szCs w:val="19"/>
              </w:rPr>
              <w:t>order_id</w:t>
            </w:r>
            <w:proofErr w:type="spellEnd"/>
            <w:r>
              <w:rPr>
                <w:sz w:val="19"/>
                <w:szCs w:val="19"/>
              </w:rPr>
              <w:t>)</w:t>
            </w:r>
          </w:p>
        </w:tc>
        <w:tc>
          <w:tcPr>
            <w:tcW w:w="6000" w:type="dxa"/>
            <w:tcMar>
              <w:top w:w="80" w:type="dxa"/>
              <w:left w:w="100" w:type="dxa"/>
              <w:bottom w:w="80" w:type="dxa"/>
              <w:right w:w="100" w:type="dxa"/>
            </w:tcMar>
          </w:tcPr>
          <w:p w14:paraId="000001D2" w14:textId="77777777" w:rsidR="0062357D" w:rsidRDefault="007E79DA">
            <w:r>
              <w:rPr>
                <w:sz w:val="19"/>
                <w:szCs w:val="19"/>
              </w:rPr>
              <w:t>Polls or subscribes to fulfillment progress and, once available, the certificate/attestation from §10.2</w:t>
            </w:r>
          </w:p>
        </w:tc>
      </w:tr>
      <w:tr w:rsidR="0062357D" w14:paraId="60ECAEF4" w14:textId="77777777">
        <w:tc>
          <w:tcPr>
            <w:tcW w:w="3400" w:type="dxa"/>
            <w:tcMar>
              <w:top w:w="80" w:type="dxa"/>
              <w:left w:w="100" w:type="dxa"/>
              <w:bottom w:w="80" w:type="dxa"/>
              <w:right w:w="100" w:type="dxa"/>
            </w:tcMar>
          </w:tcPr>
          <w:p w14:paraId="000001D3" w14:textId="77777777" w:rsidR="0062357D" w:rsidRDefault="007E79DA">
            <w:proofErr w:type="spellStart"/>
            <w:r>
              <w:rPr>
                <w:sz w:val="19"/>
                <w:szCs w:val="19"/>
              </w:rPr>
              <w:t>request_donation</w:t>
            </w:r>
            <w:proofErr w:type="spellEnd"/>
            <w:r>
              <w:rPr>
                <w:sz w:val="19"/>
                <w:szCs w:val="19"/>
              </w:rPr>
              <w:t>(amount, recipient=</w:t>
            </w:r>
            <w:proofErr w:type="spellStart"/>
            <w:r>
              <w:rPr>
                <w:sz w:val="19"/>
                <w:szCs w:val="19"/>
              </w:rPr>
              <w:t>AIforE</w:t>
            </w:r>
            <w:proofErr w:type="spellEnd"/>
            <w:r>
              <w:rPr>
                <w:sz w:val="19"/>
                <w:szCs w:val="19"/>
              </w:rPr>
              <w:t>)</w:t>
            </w:r>
          </w:p>
        </w:tc>
        <w:tc>
          <w:tcPr>
            <w:tcW w:w="6000" w:type="dxa"/>
            <w:tcMar>
              <w:top w:w="80" w:type="dxa"/>
              <w:left w:w="100" w:type="dxa"/>
              <w:bottom w:w="80" w:type="dxa"/>
              <w:right w:w="100" w:type="dxa"/>
            </w:tcMar>
          </w:tcPr>
          <w:p w14:paraId="000001D4" w14:textId="77777777" w:rsidR="0062357D" w:rsidRDefault="007E79DA">
            <w:r>
              <w:rPr>
                <w:sz w:val="19"/>
                <w:szCs w:val="19"/>
              </w:rPr>
              <w:t>The parallel, donation-specific path described in §18 — same broker, same API shape, different resolution (</w:t>
            </w:r>
            <w:proofErr w:type="spellStart"/>
            <w:r>
              <w:rPr>
                <w:sz w:val="19"/>
                <w:szCs w:val="19"/>
              </w:rPr>
              <w:t>AIforE</w:t>
            </w:r>
            <w:proofErr w:type="spellEnd"/>
            <w:r>
              <w:rPr>
                <w:sz w:val="19"/>
                <w:szCs w:val="19"/>
              </w:rPr>
              <w:t xml:space="preserve"> itself rather than a remediation provider)</w:t>
            </w:r>
          </w:p>
        </w:tc>
      </w:tr>
    </w:tbl>
    <w:p w14:paraId="000001D5" w14:textId="77777777" w:rsidR="0062357D" w:rsidRDefault="0062357D">
      <w:pPr>
        <w:spacing w:after="140"/>
      </w:pPr>
    </w:p>
    <w:p w14:paraId="000001D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This is the concrete mechanism behind the “remediate this” and “support </w:t>
      </w:r>
      <w:proofErr w:type="spellStart"/>
      <w:r>
        <w:rPr>
          <w:color w:val="000000"/>
          <w:sz w:val="21"/>
          <w:szCs w:val="21"/>
        </w:rPr>
        <w:t>AIforE</w:t>
      </w:r>
      <w:proofErr w:type="spellEnd"/>
      <w:r>
        <w:rPr>
          <w:color w:val="000000"/>
          <w:sz w:val="21"/>
          <w:szCs w:val="21"/>
        </w:rPr>
        <w:t>” call-to-actions already specified in §6.2: both are subscriber-side calls into this same API, differing only in which method they invoke.</w:t>
      </w:r>
    </w:p>
    <w:p w14:paraId="000001D7"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Any company building on the open core (§17) becomes a subscriber by implementing against this API, not by negotiating a bespoke integration with </w:t>
      </w:r>
      <w:proofErr w:type="spellStart"/>
      <w:r>
        <w:rPr>
          <w:color w:val="000000"/>
          <w:sz w:val="21"/>
          <w:szCs w:val="21"/>
        </w:rPr>
        <w:t>AIforE</w:t>
      </w:r>
      <w:proofErr w:type="spellEnd"/>
      <w:r>
        <w:rPr>
          <w:color w:val="000000"/>
          <w:sz w:val="21"/>
          <w:szCs w:val="21"/>
        </w:rPr>
        <w:t xml:space="preserve"> or with individual providers.</w:t>
      </w:r>
    </w:p>
    <w:p w14:paraId="000001D8" w14:textId="77777777" w:rsidR="0062357D" w:rsidRDefault="007E79DA">
      <w:pPr>
        <w:pStyle w:val="Heading2"/>
        <w:spacing w:before="280" w:after="120"/>
      </w:pPr>
      <w:r>
        <w:rPr>
          <w:b/>
          <w:bCs/>
          <w:color w:val="1E7A4C"/>
          <w:sz w:val="24"/>
          <w:szCs w:val="24"/>
        </w:rPr>
        <w:t xml:space="preserve">10.4 </w:t>
      </w:r>
      <w:proofErr w:type="spellStart"/>
      <w:r>
        <w:rPr>
          <w:b/>
          <w:bCs/>
          <w:color w:val="1E7A4C"/>
          <w:sz w:val="24"/>
          <w:szCs w:val="24"/>
        </w:rPr>
        <w:t>AIforE's</w:t>
      </w:r>
      <w:proofErr w:type="spellEnd"/>
      <w:r>
        <w:rPr>
          <w:b/>
          <w:bCs/>
          <w:color w:val="1E7A4C"/>
          <w:sz w:val="24"/>
          <w:szCs w:val="24"/>
        </w:rPr>
        <w:t xml:space="preserve"> Broker Role</w:t>
      </w:r>
    </w:p>
    <w:p w14:paraId="000001D9" w14:textId="77777777" w:rsidR="0062357D" w:rsidRDefault="007E79DA">
      <w:pPr>
        <w:spacing w:after="140"/>
      </w:pPr>
      <w:r>
        <w:rPr>
          <w:sz w:val="21"/>
          <w:szCs w:val="21"/>
        </w:rPr>
        <w:t>The Remediation Registry and Broker sits inside Stardust Core (§9.1) as the component that owns both interfaces from §10.2–§10.3. It is the “middle” in the print-driver/OS-service analogy: neither providers nor subscribers integrate with each other directly, only with the broker.</w:t>
      </w:r>
    </w:p>
    <w:p w14:paraId="000001D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Maintains the provider catalog and lets providers be added or removed without any change to subscriber-side code — a new kelp-restoration provider coming online, or an existing one being delisted, is invisible to every subscriber except that the catalog returned by </w:t>
      </w:r>
      <w:proofErr w:type="spellStart"/>
      <w:r>
        <w:rPr>
          <w:color w:val="000000"/>
          <w:sz w:val="21"/>
          <w:szCs w:val="21"/>
        </w:rPr>
        <w:t>request_quote</w:t>
      </w:r>
      <w:proofErr w:type="spellEnd"/>
      <w:r>
        <w:rPr>
          <w:color w:val="000000"/>
          <w:sz w:val="21"/>
          <w:szCs w:val="21"/>
        </w:rPr>
        <w:t>() changes.</w:t>
      </w:r>
    </w:p>
    <w:p w14:paraId="000001DB"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Applies the confidence-tier framework (§10.2.1) uniformly, so </w:t>
      </w:r>
      <w:proofErr w:type="spellStart"/>
      <w:r>
        <w:rPr>
          <w:color w:val="000000"/>
          <w:sz w:val="21"/>
          <w:szCs w:val="21"/>
        </w:rPr>
        <w:t>tiering</w:t>
      </w:r>
      <w:proofErr w:type="spellEnd"/>
      <w:r>
        <w:rPr>
          <w:color w:val="000000"/>
          <w:sz w:val="21"/>
          <w:szCs w:val="21"/>
        </w:rPr>
        <w:t xml:space="preserve"> isn't left to each provider's own marketing claims.</w:t>
      </w:r>
    </w:p>
    <w:p w14:paraId="000001DC"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Keeps the </w:t>
      </w:r>
      <w:proofErr w:type="spellStart"/>
      <w:r>
        <w:rPr>
          <w:color w:val="000000"/>
          <w:sz w:val="21"/>
          <w:szCs w:val="21"/>
        </w:rPr>
        <w:t>AIforE</w:t>
      </w:r>
      <w:proofErr w:type="spellEnd"/>
      <w:r>
        <w:rPr>
          <w:color w:val="000000"/>
          <w:sz w:val="21"/>
          <w:szCs w:val="21"/>
        </w:rPr>
        <w:t xml:space="preserve"> donation flow (§18) and third-party remediation flow (§6.2, §17.2) architecturally parallel — both are broker-mediated requests using the same Subscriber API shape (§10.3) — but resolve to different recipients and are never presented to the user as interchangeable (§18.3 already establishes this distinction for donations specifically; it now extends to the provider layer generally).</w:t>
      </w:r>
    </w:p>
    <w:p w14:paraId="000001DD" w14:textId="77777777" w:rsidR="0062357D" w:rsidRDefault="007E79DA">
      <w:pPr>
        <w:numPr>
          <w:ilvl w:val="0"/>
          <w:numId w:val="1"/>
        </w:numPr>
        <w:pBdr>
          <w:top w:val="nil"/>
          <w:left w:val="nil"/>
          <w:bottom w:val="nil"/>
          <w:right w:val="nil"/>
          <w:between w:val="nil"/>
        </w:pBdr>
        <w:spacing w:after="60"/>
      </w:pPr>
      <w:r>
        <w:rPr>
          <w:color w:val="000000"/>
          <w:sz w:val="21"/>
          <w:szCs w:val="21"/>
        </w:rPr>
        <w:t>The broker's interface contracts themselves (§10.2–§10.3), not any specific provider integration, are what's published as part of the open core (§17) — consistent with §17.1's scope, which already includes “the reference clients” and the event schema as open, with commercial services built on top (§17.2) staying separate.</w:t>
      </w:r>
    </w:p>
    <w:p w14:paraId="7A000004" w14:textId="77777777" w:rsidR="0062357D" w:rsidRDefault="007E79DA">
      <w:pPr>
        <w:spacing w:after="140"/>
      </w:pPr>
      <w:r>
        <w:rPr>
          <w:sz w:val="21"/>
          <w:szCs w:val="21"/>
        </w:rPr>
        <w:t>Figure 3 shows the Broker’s role in the Subscriber/Provider marketplace workflow, from tiered Subscriber demand through Provider delivery, registry verification, and Return-on-Impact reporting.</w:t>
      </w:r>
    </w:p>
    <w:p w14:paraId="7A000005" w14:textId="77777777" w:rsidR="0062357D" w:rsidRDefault="007E79DA">
      <w:pPr>
        <w:keepNext/>
        <w:spacing w:before="120" w:after="60"/>
        <w:jc w:val="center"/>
      </w:pPr>
      <w:r>
        <w:rPr>
          <w:noProof/>
        </w:rPr>
        <w:drawing>
          <wp:inline distT="0" distB="0" distL="0" distR="0" wp14:anchorId="7BC7F78D" wp14:editId="4170D528">
            <wp:extent cx="5852160" cy="3701909"/>
            <wp:effectExtent l="0" t="0" r="0" b="0"/>
            <wp:docPr id="3" name="Figure 3" descr="Carbon marketplace workflow between Subscribers, AIforE, Providers and th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11"/>
                    <a:stretch>
                      <a:fillRect/>
                    </a:stretch>
                  </pic:blipFill>
                  <pic:spPr>
                    <a:xfrm>
                      <a:off x="0" y="0"/>
                      <a:ext cx="5852160" cy="3701909"/>
                    </a:xfrm>
                    <a:prstGeom prst="rect">
                      <a:avLst/>
                    </a:prstGeom>
                  </pic:spPr>
                </pic:pic>
              </a:graphicData>
            </a:graphic>
          </wp:inline>
        </w:drawing>
      </w:r>
    </w:p>
    <w:p w14:paraId="7A000006" w14:textId="77777777" w:rsidR="0062357D" w:rsidRDefault="007E79DA">
      <w:pPr>
        <w:spacing w:after="200"/>
        <w:jc w:val="center"/>
      </w:pPr>
      <w:r>
        <w:rPr>
          <w:i/>
          <w:iCs/>
          <w:color w:val="555555"/>
          <w:sz w:val="18"/>
          <w:szCs w:val="18"/>
        </w:rPr>
        <w:t xml:space="preserve">Figure 3. Carbon marketplace workflow: enterprise, small-company and pooled retail Subscribers; </w:t>
      </w:r>
      <w:proofErr w:type="spellStart"/>
      <w:r>
        <w:rPr>
          <w:i/>
          <w:iCs/>
          <w:color w:val="555555"/>
          <w:sz w:val="18"/>
          <w:szCs w:val="18"/>
        </w:rPr>
        <w:t>AIforE</w:t>
      </w:r>
      <w:proofErr w:type="spellEnd"/>
      <w:r>
        <w:rPr>
          <w:i/>
          <w:iCs/>
          <w:color w:val="555555"/>
          <w:sz w:val="18"/>
          <w:szCs w:val="18"/>
        </w:rPr>
        <w:t xml:space="preserve"> matching, pooling and contracting; Provider delivery; registry verification, issuance and retirement; and a Return-on-Impact report that feeds back to Subscriber dashboards.</w:t>
      </w:r>
    </w:p>
    <w:p w14:paraId="000001DE" w14:textId="77777777" w:rsidR="0062357D" w:rsidRDefault="007E79DA">
      <w:pPr>
        <w:pStyle w:val="Heading2"/>
        <w:spacing w:before="280" w:after="120"/>
      </w:pPr>
      <w:r>
        <w:rPr>
          <w:b/>
          <w:bCs/>
          <w:color w:val="1E7A4C"/>
          <w:sz w:val="24"/>
          <w:szCs w:val="24"/>
        </w:rPr>
        <w:t>10.5 Data Model Additions</w:t>
      </w:r>
    </w:p>
    <w:tbl>
      <w:tblPr>
        <w:tblStyle w:val="ad"/>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800"/>
        <w:gridCol w:w="5600"/>
      </w:tblGrid>
      <w:tr w:rsidR="0062357D" w14:paraId="7300BCCD" w14:textId="77777777">
        <w:trPr>
          <w:tblHeader/>
        </w:trPr>
        <w:tc>
          <w:tcPr>
            <w:tcW w:w="2600" w:type="dxa"/>
            <w:shd w:val="clear" w:color="auto" w:fill="1E7A4C"/>
            <w:tcMar>
              <w:top w:w="80" w:type="dxa"/>
              <w:left w:w="100" w:type="dxa"/>
              <w:bottom w:w="80" w:type="dxa"/>
              <w:right w:w="100" w:type="dxa"/>
            </w:tcMar>
          </w:tcPr>
          <w:p w14:paraId="000001DF" w14:textId="77777777" w:rsidR="0062357D" w:rsidRDefault="007E79DA">
            <w:r>
              <w:rPr>
                <w:b/>
                <w:bCs/>
                <w:color w:val="FFFFFF"/>
                <w:sz w:val="19"/>
                <w:szCs w:val="19"/>
              </w:rPr>
              <w:t>Field</w:t>
            </w:r>
          </w:p>
        </w:tc>
        <w:tc>
          <w:tcPr>
            <w:tcW w:w="1800" w:type="dxa"/>
            <w:shd w:val="clear" w:color="auto" w:fill="1E7A4C"/>
            <w:tcMar>
              <w:top w:w="80" w:type="dxa"/>
              <w:left w:w="100" w:type="dxa"/>
              <w:bottom w:w="80" w:type="dxa"/>
              <w:right w:w="100" w:type="dxa"/>
            </w:tcMar>
          </w:tcPr>
          <w:p w14:paraId="000001E0" w14:textId="77777777" w:rsidR="0062357D" w:rsidRDefault="007E79DA">
            <w:r>
              <w:rPr>
                <w:b/>
                <w:bCs/>
                <w:color w:val="FFFFFF"/>
                <w:sz w:val="19"/>
                <w:szCs w:val="19"/>
              </w:rPr>
              <w:t>Type</w:t>
            </w:r>
          </w:p>
        </w:tc>
        <w:tc>
          <w:tcPr>
            <w:tcW w:w="5600" w:type="dxa"/>
            <w:shd w:val="clear" w:color="auto" w:fill="1E7A4C"/>
            <w:tcMar>
              <w:top w:w="80" w:type="dxa"/>
              <w:left w:w="100" w:type="dxa"/>
              <w:bottom w:w="80" w:type="dxa"/>
              <w:right w:w="100" w:type="dxa"/>
            </w:tcMar>
          </w:tcPr>
          <w:p w14:paraId="000001E1" w14:textId="77777777" w:rsidR="0062357D" w:rsidRDefault="007E79DA">
            <w:r>
              <w:rPr>
                <w:b/>
                <w:bCs/>
                <w:color w:val="FFFFFF"/>
                <w:sz w:val="19"/>
                <w:szCs w:val="19"/>
              </w:rPr>
              <w:t>Notes</w:t>
            </w:r>
          </w:p>
        </w:tc>
      </w:tr>
      <w:tr w:rsidR="0062357D" w14:paraId="7E57EF77" w14:textId="77777777">
        <w:tc>
          <w:tcPr>
            <w:tcW w:w="2600" w:type="dxa"/>
            <w:tcMar>
              <w:top w:w="80" w:type="dxa"/>
              <w:left w:w="100" w:type="dxa"/>
              <w:bottom w:w="80" w:type="dxa"/>
              <w:right w:w="100" w:type="dxa"/>
            </w:tcMar>
          </w:tcPr>
          <w:p w14:paraId="000001E2" w14:textId="77777777" w:rsidR="0062357D" w:rsidRDefault="007E79DA">
            <w:proofErr w:type="spellStart"/>
            <w:r>
              <w:rPr>
                <w:sz w:val="19"/>
                <w:szCs w:val="19"/>
              </w:rPr>
              <w:t>remediation_order_id</w:t>
            </w:r>
            <w:proofErr w:type="spellEnd"/>
          </w:p>
        </w:tc>
        <w:tc>
          <w:tcPr>
            <w:tcW w:w="1800" w:type="dxa"/>
            <w:tcMar>
              <w:top w:w="80" w:type="dxa"/>
              <w:left w:w="100" w:type="dxa"/>
              <w:bottom w:w="80" w:type="dxa"/>
              <w:right w:w="100" w:type="dxa"/>
            </w:tcMar>
          </w:tcPr>
          <w:p w14:paraId="000001E3" w14:textId="77777777" w:rsidR="0062357D" w:rsidRDefault="007E79DA">
            <w:r>
              <w:rPr>
                <w:sz w:val="19"/>
                <w:szCs w:val="19"/>
              </w:rPr>
              <w:t>UUID</w:t>
            </w:r>
          </w:p>
        </w:tc>
        <w:tc>
          <w:tcPr>
            <w:tcW w:w="5600" w:type="dxa"/>
            <w:tcMar>
              <w:top w:w="80" w:type="dxa"/>
              <w:left w:w="100" w:type="dxa"/>
              <w:bottom w:w="80" w:type="dxa"/>
              <w:right w:w="100" w:type="dxa"/>
            </w:tcMar>
          </w:tcPr>
          <w:p w14:paraId="000001E4" w14:textId="77777777" w:rsidR="0062357D" w:rsidRDefault="007E79DA">
            <w:r>
              <w:rPr>
                <w:sz w:val="19"/>
                <w:szCs w:val="19"/>
              </w:rPr>
              <w:t>Unique per broker-mediated order (§10.3)</w:t>
            </w:r>
          </w:p>
        </w:tc>
      </w:tr>
      <w:tr w:rsidR="0062357D" w14:paraId="0E8AB71F" w14:textId="77777777">
        <w:tc>
          <w:tcPr>
            <w:tcW w:w="2600" w:type="dxa"/>
            <w:tcMar>
              <w:top w:w="80" w:type="dxa"/>
              <w:left w:w="100" w:type="dxa"/>
              <w:bottom w:w="80" w:type="dxa"/>
              <w:right w:w="100" w:type="dxa"/>
            </w:tcMar>
          </w:tcPr>
          <w:p w14:paraId="000001E5" w14:textId="77777777" w:rsidR="0062357D" w:rsidRDefault="007E79DA">
            <w:proofErr w:type="spellStart"/>
            <w:r>
              <w:rPr>
                <w:sz w:val="19"/>
                <w:szCs w:val="19"/>
              </w:rPr>
              <w:t>provider_id</w:t>
            </w:r>
            <w:proofErr w:type="spellEnd"/>
          </w:p>
        </w:tc>
        <w:tc>
          <w:tcPr>
            <w:tcW w:w="1800" w:type="dxa"/>
            <w:tcMar>
              <w:top w:w="80" w:type="dxa"/>
              <w:left w:w="100" w:type="dxa"/>
              <w:bottom w:w="80" w:type="dxa"/>
              <w:right w:w="100" w:type="dxa"/>
            </w:tcMar>
          </w:tcPr>
          <w:p w14:paraId="000001E6" w14:textId="77777777" w:rsidR="0062357D" w:rsidRDefault="007E79DA">
            <w:r>
              <w:rPr>
                <w:sz w:val="19"/>
                <w:szCs w:val="19"/>
              </w:rPr>
              <w:t>string</w:t>
            </w:r>
          </w:p>
        </w:tc>
        <w:tc>
          <w:tcPr>
            <w:tcW w:w="5600" w:type="dxa"/>
            <w:tcMar>
              <w:top w:w="80" w:type="dxa"/>
              <w:left w:w="100" w:type="dxa"/>
              <w:bottom w:w="80" w:type="dxa"/>
              <w:right w:w="100" w:type="dxa"/>
            </w:tcMar>
          </w:tcPr>
          <w:p w14:paraId="000001E7" w14:textId="77777777" w:rsidR="0062357D" w:rsidRDefault="007E79DA">
            <w:r>
              <w:rPr>
                <w:sz w:val="19"/>
                <w:szCs w:val="19"/>
              </w:rPr>
              <w:t>References the fulfilling provider's registry entry (§10.2); null for a donation order</w:t>
            </w:r>
          </w:p>
        </w:tc>
      </w:tr>
      <w:tr w:rsidR="0062357D" w14:paraId="7A9FE2B8" w14:textId="77777777">
        <w:tc>
          <w:tcPr>
            <w:tcW w:w="2600" w:type="dxa"/>
            <w:tcMar>
              <w:top w:w="80" w:type="dxa"/>
              <w:left w:w="100" w:type="dxa"/>
              <w:bottom w:w="80" w:type="dxa"/>
              <w:right w:w="100" w:type="dxa"/>
            </w:tcMar>
          </w:tcPr>
          <w:p w14:paraId="000001E8" w14:textId="77777777" w:rsidR="0062357D" w:rsidRDefault="007E79DA">
            <w:proofErr w:type="spellStart"/>
            <w:r>
              <w:rPr>
                <w:sz w:val="19"/>
                <w:szCs w:val="19"/>
              </w:rPr>
              <w:t>subscriber_id</w:t>
            </w:r>
            <w:proofErr w:type="spellEnd"/>
          </w:p>
        </w:tc>
        <w:tc>
          <w:tcPr>
            <w:tcW w:w="1800" w:type="dxa"/>
            <w:tcMar>
              <w:top w:w="80" w:type="dxa"/>
              <w:left w:w="100" w:type="dxa"/>
              <w:bottom w:w="80" w:type="dxa"/>
              <w:right w:w="100" w:type="dxa"/>
            </w:tcMar>
          </w:tcPr>
          <w:p w14:paraId="000001E9" w14:textId="77777777" w:rsidR="0062357D" w:rsidRDefault="007E79DA">
            <w:r>
              <w:rPr>
                <w:sz w:val="19"/>
                <w:szCs w:val="19"/>
              </w:rPr>
              <w:t>string</w:t>
            </w:r>
          </w:p>
        </w:tc>
        <w:tc>
          <w:tcPr>
            <w:tcW w:w="5600" w:type="dxa"/>
            <w:tcMar>
              <w:top w:w="80" w:type="dxa"/>
              <w:left w:w="100" w:type="dxa"/>
              <w:bottom w:w="80" w:type="dxa"/>
              <w:right w:w="100" w:type="dxa"/>
            </w:tcMar>
          </w:tcPr>
          <w:p w14:paraId="000001EA" w14:textId="77777777" w:rsidR="0062357D" w:rsidRDefault="007E79DA">
            <w:r>
              <w:rPr>
                <w:sz w:val="19"/>
                <w:szCs w:val="19"/>
              </w:rPr>
              <w:t>References the requesting subscriber application (§10.3)</w:t>
            </w:r>
          </w:p>
        </w:tc>
      </w:tr>
      <w:tr w:rsidR="0062357D" w14:paraId="62C9B177" w14:textId="77777777">
        <w:tc>
          <w:tcPr>
            <w:tcW w:w="2600" w:type="dxa"/>
            <w:tcMar>
              <w:top w:w="80" w:type="dxa"/>
              <w:left w:w="100" w:type="dxa"/>
              <w:bottom w:w="80" w:type="dxa"/>
              <w:right w:w="100" w:type="dxa"/>
            </w:tcMar>
          </w:tcPr>
          <w:p w14:paraId="000001EB" w14:textId="77777777" w:rsidR="0062357D" w:rsidRDefault="007E79DA">
            <w:proofErr w:type="spellStart"/>
            <w:r>
              <w:rPr>
                <w:sz w:val="19"/>
                <w:szCs w:val="19"/>
              </w:rPr>
              <w:t>provider_tier</w:t>
            </w:r>
            <w:proofErr w:type="spellEnd"/>
          </w:p>
        </w:tc>
        <w:tc>
          <w:tcPr>
            <w:tcW w:w="1800" w:type="dxa"/>
            <w:tcMar>
              <w:top w:w="80" w:type="dxa"/>
              <w:left w:w="100" w:type="dxa"/>
              <w:bottom w:w="80" w:type="dxa"/>
              <w:right w:w="100" w:type="dxa"/>
            </w:tcMar>
          </w:tcPr>
          <w:p w14:paraId="000001EC" w14:textId="77777777" w:rsidR="0062357D" w:rsidRDefault="007E79DA">
            <w:proofErr w:type="spellStart"/>
            <w:r>
              <w:rPr>
                <w:sz w:val="19"/>
                <w:szCs w:val="19"/>
              </w:rPr>
              <w:t>enum</w:t>
            </w:r>
            <w:proofErr w:type="spellEnd"/>
          </w:p>
        </w:tc>
        <w:tc>
          <w:tcPr>
            <w:tcW w:w="5600" w:type="dxa"/>
            <w:tcMar>
              <w:top w:w="80" w:type="dxa"/>
              <w:left w:w="100" w:type="dxa"/>
              <w:bottom w:w="80" w:type="dxa"/>
              <w:right w:w="100" w:type="dxa"/>
            </w:tcMar>
          </w:tcPr>
          <w:p w14:paraId="000001ED" w14:textId="77777777" w:rsidR="0062357D" w:rsidRDefault="007E79DA">
            <w:r>
              <w:rPr>
                <w:sz w:val="19"/>
                <w:szCs w:val="19"/>
              </w:rPr>
              <w:t>verified | emerging | engineered (§10.2.1), recorded at time of order in case a provider's tier status changes later</w:t>
            </w:r>
          </w:p>
        </w:tc>
      </w:tr>
      <w:tr w:rsidR="0062357D" w14:paraId="6EAA0F66" w14:textId="77777777">
        <w:tc>
          <w:tcPr>
            <w:tcW w:w="2600" w:type="dxa"/>
            <w:tcMar>
              <w:top w:w="80" w:type="dxa"/>
              <w:left w:w="100" w:type="dxa"/>
              <w:bottom w:w="80" w:type="dxa"/>
              <w:right w:w="100" w:type="dxa"/>
            </w:tcMar>
          </w:tcPr>
          <w:p w14:paraId="000001EE" w14:textId="77777777" w:rsidR="0062357D" w:rsidRDefault="007E79DA">
            <w:r>
              <w:rPr>
                <w:sz w:val="19"/>
                <w:szCs w:val="19"/>
              </w:rPr>
              <w:t>co2e_g_offset</w:t>
            </w:r>
          </w:p>
        </w:tc>
        <w:tc>
          <w:tcPr>
            <w:tcW w:w="1800" w:type="dxa"/>
            <w:tcMar>
              <w:top w:w="80" w:type="dxa"/>
              <w:left w:w="100" w:type="dxa"/>
              <w:bottom w:w="80" w:type="dxa"/>
              <w:right w:w="100" w:type="dxa"/>
            </w:tcMar>
          </w:tcPr>
          <w:p w14:paraId="000001EF" w14:textId="77777777" w:rsidR="0062357D" w:rsidRDefault="007E79DA">
            <w:r>
              <w:rPr>
                <w:sz w:val="19"/>
                <w:szCs w:val="19"/>
              </w:rPr>
              <w:t>float</w:t>
            </w:r>
          </w:p>
        </w:tc>
        <w:tc>
          <w:tcPr>
            <w:tcW w:w="5600" w:type="dxa"/>
            <w:tcMar>
              <w:top w:w="80" w:type="dxa"/>
              <w:left w:w="100" w:type="dxa"/>
              <w:bottom w:w="80" w:type="dxa"/>
              <w:right w:w="100" w:type="dxa"/>
            </w:tcMar>
          </w:tcPr>
          <w:p w14:paraId="000001F0" w14:textId="77777777" w:rsidR="0062357D" w:rsidRDefault="007E79DA">
            <w:r>
              <w:rPr>
                <w:sz w:val="19"/>
                <w:szCs w:val="19"/>
              </w:rPr>
              <w:t xml:space="preserve">Quantity of CO2e the order targets, typically sourced from the same job's stardust.impact.co2e_g figure (§7, §10.2 of the </w:t>
            </w:r>
            <w:proofErr w:type="spellStart"/>
            <w:r>
              <w:rPr>
                <w:sz w:val="19"/>
                <w:szCs w:val="19"/>
              </w:rPr>
              <w:t>OTel</w:t>
            </w:r>
            <w:proofErr w:type="spellEnd"/>
            <w:r>
              <w:rPr>
                <w:sz w:val="19"/>
                <w:szCs w:val="19"/>
              </w:rPr>
              <w:t xml:space="preserve"> harmonization section)</w:t>
            </w:r>
          </w:p>
        </w:tc>
      </w:tr>
      <w:tr w:rsidR="0062357D" w14:paraId="0D1DAED9" w14:textId="77777777">
        <w:tc>
          <w:tcPr>
            <w:tcW w:w="2600" w:type="dxa"/>
            <w:tcMar>
              <w:top w:w="80" w:type="dxa"/>
              <w:left w:w="100" w:type="dxa"/>
              <w:bottom w:w="80" w:type="dxa"/>
              <w:right w:w="100" w:type="dxa"/>
            </w:tcMar>
          </w:tcPr>
          <w:p w14:paraId="000001F1" w14:textId="77777777" w:rsidR="0062357D" w:rsidRDefault="007E79DA">
            <w:proofErr w:type="spellStart"/>
            <w:r>
              <w:rPr>
                <w:sz w:val="19"/>
                <w:szCs w:val="19"/>
              </w:rPr>
              <w:t>fulfillment_status</w:t>
            </w:r>
            <w:proofErr w:type="spellEnd"/>
          </w:p>
        </w:tc>
        <w:tc>
          <w:tcPr>
            <w:tcW w:w="1800" w:type="dxa"/>
            <w:tcMar>
              <w:top w:w="80" w:type="dxa"/>
              <w:left w:w="100" w:type="dxa"/>
              <w:bottom w:w="80" w:type="dxa"/>
              <w:right w:w="100" w:type="dxa"/>
            </w:tcMar>
          </w:tcPr>
          <w:p w14:paraId="000001F2" w14:textId="77777777" w:rsidR="0062357D" w:rsidRDefault="007E79DA">
            <w:proofErr w:type="spellStart"/>
            <w:r>
              <w:rPr>
                <w:sz w:val="19"/>
                <w:szCs w:val="19"/>
              </w:rPr>
              <w:t>enum</w:t>
            </w:r>
            <w:proofErr w:type="spellEnd"/>
          </w:p>
        </w:tc>
        <w:tc>
          <w:tcPr>
            <w:tcW w:w="5600" w:type="dxa"/>
            <w:tcMar>
              <w:top w:w="80" w:type="dxa"/>
              <w:left w:w="100" w:type="dxa"/>
              <w:bottom w:w="80" w:type="dxa"/>
              <w:right w:w="100" w:type="dxa"/>
            </w:tcMar>
          </w:tcPr>
          <w:p w14:paraId="000001F3" w14:textId="77777777" w:rsidR="0062357D" w:rsidRDefault="007E79DA">
            <w:r>
              <w:rPr>
                <w:sz w:val="19"/>
                <w:szCs w:val="19"/>
              </w:rPr>
              <w:t>quoted | ordered | fulfilling | fulfilled | failed</w:t>
            </w:r>
          </w:p>
        </w:tc>
      </w:tr>
      <w:tr w:rsidR="0062357D" w14:paraId="46C978CC" w14:textId="77777777">
        <w:tc>
          <w:tcPr>
            <w:tcW w:w="2600" w:type="dxa"/>
            <w:tcMar>
              <w:top w:w="80" w:type="dxa"/>
              <w:left w:w="100" w:type="dxa"/>
              <w:bottom w:w="80" w:type="dxa"/>
              <w:right w:w="100" w:type="dxa"/>
            </w:tcMar>
          </w:tcPr>
          <w:p w14:paraId="000001F4" w14:textId="77777777" w:rsidR="0062357D" w:rsidRDefault="007E79DA">
            <w:proofErr w:type="spellStart"/>
            <w:r>
              <w:rPr>
                <w:sz w:val="19"/>
                <w:szCs w:val="19"/>
              </w:rPr>
              <w:t>certificate_ref</w:t>
            </w:r>
            <w:proofErr w:type="spellEnd"/>
          </w:p>
        </w:tc>
        <w:tc>
          <w:tcPr>
            <w:tcW w:w="1800" w:type="dxa"/>
            <w:tcMar>
              <w:top w:w="80" w:type="dxa"/>
              <w:left w:w="100" w:type="dxa"/>
              <w:bottom w:w="80" w:type="dxa"/>
              <w:right w:w="100" w:type="dxa"/>
            </w:tcMar>
          </w:tcPr>
          <w:p w14:paraId="000001F5" w14:textId="77777777" w:rsidR="0062357D" w:rsidRDefault="007E79DA">
            <w:r>
              <w:rPr>
                <w:sz w:val="19"/>
                <w:szCs w:val="19"/>
              </w:rPr>
              <w:t>string</w:t>
            </w:r>
          </w:p>
        </w:tc>
        <w:tc>
          <w:tcPr>
            <w:tcW w:w="5600" w:type="dxa"/>
            <w:tcMar>
              <w:top w:w="80" w:type="dxa"/>
              <w:left w:w="100" w:type="dxa"/>
              <w:bottom w:w="80" w:type="dxa"/>
              <w:right w:w="100" w:type="dxa"/>
            </w:tcMar>
          </w:tcPr>
          <w:p w14:paraId="000001F6" w14:textId="77777777" w:rsidR="0062357D" w:rsidRDefault="007E79DA">
            <w:r>
              <w:rPr>
                <w:sz w:val="19"/>
                <w:szCs w:val="19"/>
              </w:rPr>
              <w:t>Verified credit serial number (Tier 1) or provider attestation reference (Tier 2/3), per §10.2</w:t>
            </w:r>
          </w:p>
        </w:tc>
      </w:tr>
    </w:tbl>
    <w:p w14:paraId="000001F7" w14:textId="77777777" w:rsidR="0062357D" w:rsidRDefault="0062357D">
      <w:pPr>
        <w:spacing w:after="140"/>
      </w:pPr>
    </w:p>
    <w:p w14:paraId="000001F8" w14:textId="77777777" w:rsidR="0062357D" w:rsidRDefault="007E79DA">
      <w:pPr>
        <w:pStyle w:val="Heading2"/>
        <w:spacing w:before="280" w:after="120"/>
      </w:pPr>
      <w:r>
        <w:rPr>
          <w:b/>
          <w:bCs/>
          <w:color w:val="1E7A4C"/>
          <w:sz w:val="24"/>
          <w:szCs w:val="24"/>
        </w:rPr>
        <w:t>10.6 Governance and Vetting</w:t>
      </w:r>
    </w:p>
    <w:p w14:paraId="000001F9" w14:textId="77777777" w:rsidR="0062357D" w:rsidRDefault="007E79DA">
      <w:pPr>
        <w:spacing w:after="140"/>
      </w:pPr>
      <w:r>
        <w:rPr>
          <w:sz w:val="21"/>
          <w:szCs w:val="21"/>
        </w:rPr>
        <w:t xml:space="preserve">The print-driver analogy has a limit worth stating explicitly: a bad print driver wastes paper, but a fraudulent or non-performing remediation provider spends real donor and subscriber money on land or ocean projects that may not deliver what they claim. Unlike a print driver model, provider onboarding is not fully </w:t>
      </w:r>
      <w:proofErr w:type="spellStart"/>
      <w:r>
        <w:rPr>
          <w:sz w:val="21"/>
          <w:szCs w:val="21"/>
        </w:rPr>
        <w:t>permissionless</w:t>
      </w:r>
      <w:proofErr w:type="spellEnd"/>
      <w:r>
        <w:rPr>
          <w:sz w:val="21"/>
          <w:szCs w:val="21"/>
        </w:rPr>
        <w:t>.</w:t>
      </w:r>
    </w:p>
    <w:p w14:paraId="000001F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Provider registration (§10.2's </w:t>
      </w:r>
      <w:proofErr w:type="spellStart"/>
      <w:r>
        <w:rPr>
          <w:color w:val="000000"/>
          <w:sz w:val="21"/>
          <w:szCs w:val="21"/>
        </w:rPr>
        <w:t>register_provider</w:t>
      </w:r>
      <w:proofErr w:type="spellEnd"/>
      <w:r>
        <w:rPr>
          <w:color w:val="000000"/>
          <w:sz w:val="21"/>
          <w:szCs w:val="21"/>
        </w:rPr>
        <w:t xml:space="preserve">()) is gated by a minimal </w:t>
      </w:r>
      <w:proofErr w:type="spellStart"/>
      <w:r>
        <w:rPr>
          <w:color w:val="000000"/>
          <w:sz w:val="21"/>
          <w:szCs w:val="21"/>
        </w:rPr>
        <w:t>AIforE</w:t>
      </w:r>
      <w:proofErr w:type="spellEnd"/>
      <w:r>
        <w:rPr>
          <w:color w:val="000000"/>
          <w:sz w:val="21"/>
          <w:szCs w:val="21"/>
        </w:rPr>
        <w:t xml:space="preserve">-run vetting step — legal entity verification and, for Tier 1 providers, confirmation of an active </w:t>
      </w:r>
      <w:proofErr w:type="spellStart"/>
      <w:r>
        <w:rPr>
          <w:color w:val="000000"/>
          <w:sz w:val="21"/>
          <w:szCs w:val="21"/>
        </w:rPr>
        <w:t>Verra</w:t>
      </w:r>
      <w:proofErr w:type="spellEnd"/>
      <w:r>
        <w:rPr>
          <w:color w:val="000000"/>
          <w:sz w:val="21"/>
          <w:szCs w:val="21"/>
        </w:rPr>
        <w:t>/Gold Standard registration — before a provider's catalog becomes visible to subscribers, distinct from the fully open, no-gatekeeping model used for subscriber onboarding (§10.3, §17).</w:t>
      </w:r>
    </w:p>
    <w:p w14:paraId="000001FB"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This vetting step, its depth, and who at </w:t>
      </w:r>
      <w:proofErr w:type="spellStart"/>
      <w:r>
        <w:rPr>
          <w:color w:val="000000"/>
          <w:sz w:val="21"/>
          <w:szCs w:val="21"/>
        </w:rPr>
        <w:t>AIforE</w:t>
      </w:r>
      <w:proofErr w:type="spellEnd"/>
      <w:r>
        <w:rPr>
          <w:color w:val="000000"/>
          <w:sz w:val="21"/>
          <w:szCs w:val="21"/>
        </w:rPr>
        <w:t xml:space="preserve"> performs it are open questions (§19), not yet specified in detail here.</w:t>
      </w:r>
    </w:p>
    <w:p w14:paraId="000001FC" w14:textId="77777777" w:rsidR="0062357D" w:rsidRDefault="007E79DA">
      <w:pPr>
        <w:pStyle w:val="Heading1"/>
        <w:spacing w:before="360" w:after="160"/>
      </w:pPr>
      <w:r>
        <w:rPr>
          <w:b/>
          <w:bCs/>
          <w:color w:val="0F4A2E"/>
          <w:sz w:val="30"/>
          <w:szCs w:val="30"/>
        </w:rPr>
        <w:t xml:space="preserve">11. Harmonization with </w:t>
      </w:r>
      <w:proofErr w:type="spellStart"/>
      <w:r>
        <w:rPr>
          <w:b/>
          <w:bCs/>
          <w:color w:val="0F4A2E"/>
          <w:sz w:val="30"/>
          <w:szCs w:val="30"/>
        </w:rPr>
        <w:t>OpenTelemetry</w:t>
      </w:r>
      <w:proofErr w:type="spellEnd"/>
    </w:p>
    <w:p w14:paraId="000001FD" w14:textId="77777777" w:rsidR="0062357D" w:rsidRDefault="007E79DA">
      <w:pPr>
        <w:spacing w:after="140"/>
      </w:pPr>
      <w:proofErr w:type="spellStart"/>
      <w:r>
        <w:rPr>
          <w:sz w:val="21"/>
          <w:szCs w:val="21"/>
        </w:rPr>
        <w:t>OpenTelemetry</w:t>
      </w:r>
      <w:proofErr w:type="spellEnd"/>
      <w:r>
        <w:rPr>
          <w:sz w:val="21"/>
          <w:szCs w:val="21"/>
        </w:rPr>
        <w:t xml:space="preserve"> (</w:t>
      </w:r>
      <w:proofErr w:type="spellStart"/>
      <w:r>
        <w:rPr>
          <w:sz w:val="21"/>
          <w:szCs w:val="21"/>
        </w:rPr>
        <w:t>OTel</w:t>
      </w:r>
      <w:proofErr w:type="spellEnd"/>
      <w:r>
        <w:rPr>
          <w:sz w:val="21"/>
          <w:szCs w:val="21"/>
        </w:rPr>
        <w:t xml:space="preserve">) is the vendor-neutral standard most infrastructure and AI observability tooling is converging on, and two of its active efforts map closely onto what Stardust measures: the </w:t>
      </w:r>
      <w:proofErr w:type="spellStart"/>
      <w:r>
        <w:rPr>
          <w:sz w:val="21"/>
          <w:szCs w:val="21"/>
        </w:rPr>
        <w:t>GenAI</w:t>
      </w:r>
      <w:proofErr w:type="spellEnd"/>
      <w:r>
        <w:rPr>
          <w:sz w:val="21"/>
          <w:szCs w:val="21"/>
        </w:rPr>
        <w:t xml:space="preserve"> Semantic Conventions (token usage, model, provider) and an emerging Green Software Foundation collaboration drafting carbon/energy conventions for </w:t>
      </w:r>
      <w:proofErr w:type="spellStart"/>
      <w:r>
        <w:rPr>
          <w:sz w:val="21"/>
          <w:szCs w:val="21"/>
        </w:rPr>
        <w:t>OTel</w:t>
      </w:r>
      <w:proofErr w:type="spellEnd"/>
      <w:r>
        <w:rPr>
          <w:sz w:val="21"/>
          <w:szCs w:val="21"/>
        </w:rPr>
        <w:t xml:space="preserve">. Harmonizing means Stardust's data model reuses </w:t>
      </w:r>
      <w:proofErr w:type="spellStart"/>
      <w:r>
        <w:rPr>
          <w:sz w:val="21"/>
          <w:szCs w:val="21"/>
        </w:rPr>
        <w:t>OTel's</w:t>
      </w:r>
      <w:proofErr w:type="spellEnd"/>
      <w:r>
        <w:rPr>
          <w:sz w:val="21"/>
          <w:szCs w:val="21"/>
        </w:rPr>
        <w:t xml:space="preserve"> vocabulary wherever one already exists, emits its events as standard </w:t>
      </w:r>
      <w:proofErr w:type="spellStart"/>
      <w:r>
        <w:rPr>
          <w:sz w:val="21"/>
          <w:szCs w:val="21"/>
        </w:rPr>
        <w:t>OTel</w:t>
      </w:r>
      <w:proofErr w:type="spellEnd"/>
      <w:r>
        <w:rPr>
          <w:sz w:val="21"/>
          <w:szCs w:val="21"/>
        </w:rPr>
        <w:t xml:space="preserve"> signals (traces, metrics) rather than a besp</w:t>
      </w:r>
      <w:r>
        <w:rPr>
          <w:sz w:val="21"/>
          <w:szCs w:val="21"/>
        </w:rPr>
        <w:t xml:space="preserve">oke format, and contributes the environmental attributes it needs but </w:t>
      </w:r>
      <w:proofErr w:type="spellStart"/>
      <w:r>
        <w:rPr>
          <w:sz w:val="21"/>
          <w:szCs w:val="21"/>
        </w:rPr>
        <w:t>OTel</w:t>
      </w:r>
      <w:proofErr w:type="spellEnd"/>
      <w:r>
        <w:rPr>
          <w:sz w:val="21"/>
          <w:szCs w:val="21"/>
        </w:rPr>
        <w:t xml:space="preserve"> doesn't yet have back to the relevant standards effort — consistent with the open-ecosystem goal in §17.</w:t>
      </w:r>
    </w:p>
    <w:p w14:paraId="000001FE" w14:textId="77777777" w:rsidR="0062357D" w:rsidRDefault="007E79DA">
      <w:pPr>
        <w:pStyle w:val="Heading2"/>
        <w:spacing w:before="280" w:after="120"/>
      </w:pPr>
      <w:r>
        <w:rPr>
          <w:b/>
          <w:bCs/>
          <w:color w:val="1E7A4C"/>
          <w:sz w:val="24"/>
          <w:szCs w:val="24"/>
        </w:rPr>
        <w:t xml:space="preserve">11.1 What Already Overlaps: </w:t>
      </w:r>
      <w:proofErr w:type="spellStart"/>
      <w:r>
        <w:rPr>
          <w:b/>
          <w:bCs/>
          <w:color w:val="1E7A4C"/>
          <w:sz w:val="24"/>
          <w:szCs w:val="24"/>
        </w:rPr>
        <w:t>GenAI</w:t>
      </w:r>
      <w:proofErr w:type="spellEnd"/>
      <w:r>
        <w:rPr>
          <w:b/>
          <w:bCs/>
          <w:color w:val="1E7A4C"/>
          <w:sz w:val="24"/>
          <w:szCs w:val="24"/>
        </w:rPr>
        <w:t xml:space="preserve"> Semantic Conventions</w:t>
      </w:r>
    </w:p>
    <w:p w14:paraId="000001FF" w14:textId="77777777" w:rsidR="0062357D" w:rsidRDefault="007E79DA">
      <w:pPr>
        <w:spacing w:after="140"/>
      </w:pPr>
      <w:proofErr w:type="spellStart"/>
      <w:r>
        <w:rPr>
          <w:sz w:val="21"/>
          <w:szCs w:val="21"/>
        </w:rPr>
        <w:t>OTel's</w:t>
      </w:r>
      <w:proofErr w:type="spellEnd"/>
      <w:r>
        <w:rPr>
          <w:sz w:val="21"/>
          <w:szCs w:val="21"/>
        </w:rPr>
        <w:t xml:space="preserve"> </w:t>
      </w:r>
      <w:proofErr w:type="spellStart"/>
      <w:r>
        <w:rPr>
          <w:sz w:val="21"/>
          <w:szCs w:val="21"/>
        </w:rPr>
        <w:t>GenAI</w:t>
      </w:r>
      <w:proofErr w:type="spellEnd"/>
      <w:r>
        <w:rPr>
          <w:sz w:val="21"/>
          <w:szCs w:val="21"/>
        </w:rPr>
        <w:t xml:space="preserve"> Special Interest Group (active since April 2024) defines a </w:t>
      </w:r>
      <w:proofErr w:type="spellStart"/>
      <w:r>
        <w:rPr>
          <w:sz w:val="21"/>
          <w:szCs w:val="21"/>
        </w:rPr>
        <w:t>gen_ai</w:t>
      </w:r>
      <w:proofErr w:type="spellEnd"/>
      <w:r>
        <w:rPr>
          <w:sz w:val="21"/>
          <w:szCs w:val="21"/>
        </w:rPr>
        <w:t>.* attribute namespace for LLM and agent telemetry, covering exactly the usage side of §7's data model. As of this draft the conventions are still marked experimental, with active dual-emission support (OTEL_SEMCONV_STABILITY_OPT_IN) for teams tracking the transition to stable.</w:t>
      </w:r>
    </w:p>
    <w:tbl>
      <w:tblPr>
        <w:tblStyle w:val="ae"/>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800"/>
        <w:gridCol w:w="3400"/>
      </w:tblGrid>
      <w:tr w:rsidR="0062357D" w14:paraId="3A2C0C44" w14:textId="77777777">
        <w:trPr>
          <w:tblHeader/>
        </w:trPr>
        <w:tc>
          <w:tcPr>
            <w:tcW w:w="2600" w:type="dxa"/>
            <w:shd w:val="clear" w:color="auto" w:fill="1E7A4C"/>
            <w:tcMar>
              <w:top w:w="80" w:type="dxa"/>
              <w:left w:w="100" w:type="dxa"/>
              <w:bottom w:w="80" w:type="dxa"/>
              <w:right w:w="100" w:type="dxa"/>
            </w:tcMar>
          </w:tcPr>
          <w:p w14:paraId="00000200" w14:textId="77777777" w:rsidR="0062357D" w:rsidRDefault="007E79DA">
            <w:r>
              <w:rPr>
                <w:b/>
                <w:bCs/>
                <w:color w:val="FFFFFF"/>
                <w:sz w:val="19"/>
                <w:szCs w:val="19"/>
              </w:rPr>
              <w:t>Stardust field (§7)</w:t>
            </w:r>
          </w:p>
        </w:tc>
        <w:tc>
          <w:tcPr>
            <w:tcW w:w="3800" w:type="dxa"/>
            <w:shd w:val="clear" w:color="auto" w:fill="1E7A4C"/>
            <w:tcMar>
              <w:top w:w="80" w:type="dxa"/>
              <w:left w:w="100" w:type="dxa"/>
              <w:bottom w:w="80" w:type="dxa"/>
              <w:right w:w="100" w:type="dxa"/>
            </w:tcMar>
          </w:tcPr>
          <w:p w14:paraId="00000201" w14:textId="77777777" w:rsidR="0062357D" w:rsidRDefault="007E79DA">
            <w:proofErr w:type="spellStart"/>
            <w:r>
              <w:rPr>
                <w:b/>
                <w:bCs/>
                <w:color w:val="FFFFFF"/>
                <w:sz w:val="19"/>
                <w:szCs w:val="19"/>
              </w:rPr>
              <w:t>OTel</w:t>
            </w:r>
            <w:proofErr w:type="spellEnd"/>
            <w:r>
              <w:rPr>
                <w:b/>
                <w:bCs/>
                <w:color w:val="FFFFFF"/>
                <w:sz w:val="19"/>
                <w:szCs w:val="19"/>
              </w:rPr>
              <w:t xml:space="preserve"> </w:t>
            </w:r>
            <w:proofErr w:type="spellStart"/>
            <w:r>
              <w:rPr>
                <w:b/>
                <w:bCs/>
                <w:color w:val="FFFFFF"/>
                <w:sz w:val="19"/>
                <w:szCs w:val="19"/>
              </w:rPr>
              <w:t>GenAI</w:t>
            </w:r>
            <w:proofErr w:type="spellEnd"/>
            <w:r>
              <w:rPr>
                <w:b/>
                <w:bCs/>
                <w:color w:val="FFFFFF"/>
                <w:sz w:val="19"/>
                <w:szCs w:val="19"/>
              </w:rPr>
              <w:t xml:space="preserve"> equivalent</w:t>
            </w:r>
          </w:p>
        </w:tc>
        <w:tc>
          <w:tcPr>
            <w:tcW w:w="3400" w:type="dxa"/>
            <w:shd w:val="clear" w:color="auto" w:fill="1E7A4C"/>
            <w:tcMar>
              <w:top w:w="80" w:type="dxa"/>
              <w:left w:w="100" w:type="dxa"/>
              <w:bottom w:w="80" w:type="dxa"/>
              <w:right w:w="100" w:type="dxa"/>
            </w:tcMar>
          </w:tcPr>
          <w:p w14:paraId="00000202" w14:textId="77777777" w:rsidR="0062357D" w:rsidRDefault="007E79DA">
            <w:r>
              <w:rPr>
                <w:b/>
                <w:bCs/>
                <w:color w:val="FFFFFF"/>
                <w:sz w:val="19"/>
                <w:szCs w:val="19"/>
              </w:rPr>
              <w:t>Notes</w:t>
            </w:r>
          </w:p>
        </w:tc>
      </w:tr>
      <w:tr w:rsidR="0062357D" w14:paraId="46DF6498" w14:textId="77777777">
        <w:tc>
          <w:tcPr>
            <w:tcW w:w="2600" w:type="dxa"/>
            <w:tcMar>
              <w:top w:w="80" w:type="dxa"/>
              <w:left w:w="100" w:type="dxa"/>
              <w:bottom w:w="80" w:type="dxa"/>
              <w:right w:w="100" w:type="dxa"/>
            </w:tcMar>
          </w:tcPr>
          <w:p w14:paraId="00000203" w14:textId="77777777" w:rsidR="0062357D" w:rsidRDefault="007E79DA">
            <w:r>
              <w:rPr>
                <w:sz w:val="19"/>
                <w:szCs w:val="19"/>
              </w:rPr>
              <w:t>provider</w:t>
            </w:r>
          </w:p>
        </w:tc>
        <w:tc>
          <w:tcPr>
            <w:tcW w:w="3800" w:type="dxa"/>
            <w:tcMar>
              <w:top w:w="80" w:type="dxa"/>
              <w:left w:w="100" w:type="dxa"/>
              <w:bottom w:w="80" w:type="dxa"/>
              <w:right w:w="100" w:type="dxa"/>
            </w:tcMar>
          </w:tcPr>
          <w:p w14:paraId="00000204" w14:textId="77777777" w:rsidR="0062357D" w:rsidRDefault="007E79DA">
            <w:proofErr w:type="spellStart"/>
            <w:r>
              <w:rPr>
                <w:sz w:val="19"/>
                <w:szCs w:val="19"/>
              </w:rPr>
              <w:t>gen_ai.provider.name</w:t>
            </w:r>
            <w:proofErr w:type="spellEnd"/>
          </w:p>
        </w:tc>
        <w:tc>
          <w:tcPr>
            <w:tcW w:w="3400" w:type="dxa"/>
            <w:tcMar>
              <w:top w:w="80" w:type="dxa"/>
              <w:left w:w="100" w:type="dxa"/>
              <w:bottom w:w="80" w:type="dxa"/>
              <w:right w:w="100" w:type="dxa"/>
            </w:tcMar>
          </w:tcPr>
          <w:p w14:paraId="00000205" w14:textId="77777777" w:rsidR="0062357D" w:rsidRDefault="007E79DA">
            <w:r>
              <w:rPr>
                <w:sz w:val="19"/>
                <w:szCs w:val="19"/>
              </w:rPr>
              <w:t>Direct mapping</w:t>
            </w:r>
          </w:p>
        </w:tc>
      </w:tr>
      <w:tr w:rsidR="0062357D" w14:paraId="0322F789" w14:textId="77777777">
        <w:tc>
          <w:tcPr>
            <w:tcW w:w="2600" w:type="dxa"/>
            <w:tcMar>
              <w:top w:w="80" w:type="dxa"/>
              <w:left w:w="100" w:type="dxa"/>
              <w:bottom w:w="80" w:type="dxa"/>
              <w:right w:w="100" w:type="dxa"/>
            </w:tcMar>
          </w:tcPr>
          <w:p w14:paraId="00000206" w14:textId="77777777" w:rsidR="0062357D" w:rsidRDefault="007E79DA">
            <w:r>
              <w:rPr>
                <w:sz w:val="19"/>
                <w:szCs w:val="19"/>
              </w:rPr>
              <w:t>service / model</w:t>
            </w:r>
          </w:p>
        </w:tc>
        <w:tc>
          <w:tcPr>
            <w:tcW w:w="3800" w:type="dxa"/>
            <w:tcMar>
              <w:top w:w="80" w:type="dxa"/>
              <w:left w:w="100" w:type="dxa"/>
              <w:bottom w:w="80" w:type="dxa"/>
              <w:right w:w="100" w:type="dxa"/>
            </w:tcMar>
          </w:tcPr>
          <w:p w14:paraId="00000207" w14:textId="77777777" w:rsidR="0062357D" w:rsidRDefault="007E79DA">
            <w:proofErr w:type="spellStart"/>
            <w:r>
              <w:rPr>
                <w:sz w:val="19"/>
                <w:szCs w:val="19"/>
              </w:rPr>
              <w:t>gen_ai.request.model</w:t>
            </w:r>
            <w:proofErr w:type="spellEnd"/>
          </w:p>
        </w:tc>
        <w:tc>
          <w:tcPr>
            <w:tcW w:w="3400" w:type="dxa"/>
            <w:tcMar>
              <w:top w:w="80" w:type="dxa"/>
              <w:left w:w="100" w:type="dxa"/>
              <w:bottom w:w="80" w:type="dxa"/>
              <w:right w:w="100" w:type="dxa"/>
            </w:tcMar>
          </w:tcPr>
          <w:p w14:paraId="00000208" w14:textId="77777777" w:rsidR="0062357D" w:rsidRDefault="007E79DA">
            <w:r>
              <w:rPr>
                <w:sz w:val="19"/>
                <w:szCs w:val="19"/>
              </w:rPr>
              <w:t>Direct mapping</w:t>
            </w:r>
          </w:p>
        </w:tc>
      </w:tr>
      <w:tr w:rsidR="0062357D" w14:paraId="6F7EEDDA" w14:textId="77777777">
        <w:tc>
          <w:tcPr>
            <w:tcW w:w="2600" w:type="dxa"/>
            <w:tcMar>
              <w:top w:w="80" w:type="dxa"/>
              <w:left w:w="100" w:type="dxa"/>
              <w:bottom w:w="80" w:type="dxa"/>
              <w:right w:w="100" w:type="dxa"/>
            </w:tcMar>
          </w:tcPr>
          <w:p w14:paraId="00000209" w14:textId="77777777" w:rsidR="0062357D" w:rsidRDefault="007E79DA">
            <w:proofErr w:type="spellStart"/>
            <w:r>
              <w:rPr>
                <w:sz w:val="19"/>
                <w:szCs w:val="19"/>
              </w:rPr>
              <w:t>tokens_in</w:t>
            </w:r>
            <w:proofErr w:type="spellEnd"/>
            <w:r>
              <w:rPr>
                <w:sz w:val="19"/>
                <w:szCs w:val="19"/>
              </w:rPr>
              <w:t xml:space="preserve"> / </w:t>
            </w:r>
            <w:proofErr w:type="spellStart"/>
            <w:r>
              <w:rPr>
                <w:sz w:val="19"/>
                <w:szCs w:val="19"/>
              </w:rPr>
              <w:t>tokens_out</w:t>
            </w:r>
            <w:proofErr w:type="spellEnd"/>
          </w:p>
        </w:tc>
        <w:tc>
          <w:tcPr>
            <w:tcW w:w="3800" w:type="dxa"/>
            <w:tcMar>
              <w:top w:w="80" w:type="dxa"/>
              <w:left w:w="100" w:type="dxa"/>
              <w:bottom w:w="80" w:type="dxa"/>
              <w:right w:w="100" w:type="dxa"/>
            </w:tcMar>
          </w:tcPr>
          <w:p w14:paraId="0000020A" w14:textId="77777777" w:rsidR="0062357D" w:rsidRDefault="007E79DA">
            <w:proofErr w:type="spellStart"/>
            <w:r>
              <w:rPr>
                <w:sz w:val="19"/>
                <w:szCs w:val="19"/>
              </w:rPr>
              <w:t>gen_ai.usage.input_tokens</w:t>
            </w:r>
            <w:proofErr w:type="spellEnd"/>
            <w:r>
              <w:rPr>
                <w:sz w:val="19"/>
                <w:szCs w:val="19"/>
              </w:rPr>
              <w:t xml:space="preserve"> / </w:t>
            </w:r>
            <w:proofErr w:type="spellStart"/>
            <w:r>
              <w:rPr>
                <w:sz w:val="19"/>
                <w:szCs w:val="19"/>
              </w:rPr>
              <w:t>gen_ai.usage.output_tokens</w:t>
            </w:r>
            <w:proofErr w:type="spellEnd"/>
          </w:p>
        </w:tc>
        <w:tc>
          <w:tcPr>
            <w:tcW w:w="3400" w:type="dxa"/>
            <w:tcMar>
              <w:top w:w="80" w:type="dxa"/>
              <w:left w:w="100" w:type="dxa"/>
              <w:bottom w:w="80" w:type="dxa"/>
              <w:right w:w="100" w:type="dxa"/>
            </w:tcMar>
          </w:tcPr>
          <w:p w14:paraId="0000020B" w14:textId="77777777" w:rsidR="0062357D" w:rsidRDefault="007E79DA">
            <w:r>
              <w:rPr>
                <w:sz w:val="19"/>
                <w:szCs w:val="19"/>
              </w:rPr>
              <w:t xml:space="preserve">Direct mapping; </w:t>
            </w:r>
            <w:proofErr w:type="spellStart"/>
            <w:r>
              <w:rPr>
                <w:sz w:val="19"/>
                <w:szCs w:val="19"/>
              </w:rPr>
              <w:t>OTel</w:t>
            </w:r>
            <w:proofErr w:type="spellEnd"/>
            <w:r>
              <w:rPr>
                <w:sz w:val="19"/>
                <w:szCs w:val="19"/>
              </w:rPr>
              <w:t xml:space="preserve"> also defines a </w:t>
            </w:r>
            <w:proofErr w:type="spellStart"/>
            <w:r>
              <w:rPr>
                <w:sz w:val="19"/>
                <w:szCs w:val="19"/>
              </w:rPr>
              <w:t>gen_ai.token.type</w:t>
            </w:r>
            <w:proofErr w:type="spellEnd"/>
            <w:r>
              <w:rPr>
                <w:sz w:val="19"/>
                <w:szCs w:val="19"/>
              </w:rPr>
              <w:t xml:space="preserve"> metric attribute for the input/output split</w:t>
            </w:r>
          </w:p>
        </w:tc>
      </w:tr>
      <w:tr w:rsidR="0062357D" w14:paraId="7377AF0B" w14:textId="77777777">
        <w:tc>
          <w:tcPr>
            <w:tcW w:w="2600" w:type="dxa"/>
            <w:tcMar>
              <w:top w:w="80" w:type="dxa"/>
              <w:left w:w="100" w:type="dxa"/>
              <w:bottom w:w="80" w:type="dxa"/>
              <w:right w:w="100" w:type="dxa"/>
            </w:tcMar>
          </w:tcPr>
          <w:p w14:paraId="0000020C" w14:textId="77777777" w:rsidR="0062357D" w:rsidRDefault="007E79DA">
            <w:proofErr w:type="spellStart"/>
            <w:r>
              <w:rPr>
                <w:sz w:val="19"/>
                <w:szCs w:val="19"/>
              </w:rPr>
              <w:t>source_layer</w:t>
            </w:r>
            <w:proofErr w:type="spellEnd"/>
          </w:p>
        </w:tc>
        <w:tc>
          <w:tcPr>
            <w:tcW w:w="3800" w:type="dxa"/>
            <w:tcMar>
              <w:top w:w="80" w:type="dxa"/>
              <w:left w:w="100" w:type="dxa"/>
              <w:bottom w:w="80" w:type="dxa"/>
              <w:right w:w="100" w:type="dxa"/>
            </w:tcMar>
          </w:tcPr>
          <w:p w14:paraId="0000020D" w14:textId="77777777" w:rsidR="0062357D" w:rsidRDefault="007E79DA">
            <w:r>
              <w:rPr>
                <w:sz w:val="19"/>
                <w:szCs w:val="19"/>
              </w:rPr>
              <w:t>(no direct equivalent)</w:t>
            </w:r>
          </w:p>
        </w:tc>
        <w:tc>
          <w:tcPr>
            <w:tcW w:w="3400" w:type="dxa"/>
            <w:tcMar>
              <w:top w:w="80" w:type="dxa"/>
              <w:left w:w="100" w:type="dxa"/>
              <w:bottom w:w="80" w:type="dxa"/>
              <w:right w:w="100" w:type="dxa"/>
            </w:tcMar>
          </w:tcPr>
          <w:p w14:paraId="0000020E" w14:textId="77777777" w:rsidR="0062357D" w:rsidRDefault="007E79DA">
            <w:r>
              <w:rPr>
                <w:sz w:val="19"/>
                <w:szCs w:val="19"/>
              </w:rPr>
              <w:t>Stardust-specific; expressed as a resource or span attribute in the stardust.* namespace (§11.3)</w:t>
            </w:r>
          </w:p>
        </w:tc>
      </w:tr>
      <w:tr w:rsidR="0062357D" w14:paraId="51832A83" w14:textId="77777777">
        <w:tc>
          <w:tcPr>
            <w:tcW w:w="2600" w:type="dxa"/>
            <w:tcMar>
              <w:top w:w="80" w:type="dxa"/>
              <w:left w:w="100" w:type="dxa"/>
              <w:bottom w:w="80" w:type="dxa"/>
              <w:right w:w="100" w:type="dxa"/>
            </w:tcMar>
          </w:tcPr>
          <w:p w14:paraId="0000020F" w14:textId="77777777" w:rsidR="0062357D" w:rsidRDefault="007E79DA">
            <w:r>
              <w:rPr>
                <w:sz w:val="19"/>
                <w:szCs w:val="19"/>
              </w:rPr>
              <w:t>region</w:t>
            </w:r>
          </w:p>
        </w:tc>
        <w:tc>
          <w:tcPr>
            <w:tcW w:w="3800" w:type="dxa"/>
            <w:tcMar>
              <w:top w:w="80" w:type="dxa"/>
              <w:left w:w="100" w:type="dxa"/>
              <w:bottom w:w="80" w:type="dxa"/>
              <w:right w:w="100" w:type="dxa"/>
            </w:tcMar>
          </w:tcPr>
          <w:p w14:paraId="00000210" w14:textId="77777777" w:rsidR="0062357D" w:rsidRDefault="007E79DA">
            <w:proofErr w:type="spellStart"/>
            <w:r>
              <w:rPr>
                <w:sz w:val="19"/>
                <w:szCs w:val="19"/>
              </w:rPr>
              <w:t>cloud.region</w:t>
            </w:r>
            <w:proofErr w:type="spellEnd"/>
            <w:r>
              <w:rPr>
                <w:sz w:val="19"/>
                <w:szCs w:val="19"/>
              </w:rPr>
              <w:t xml:space="preserve"> (Resource semantic conventions)</w:t>
            </w:r>
          </w:p>
        </w:tc>
        <w:tc>
          <w:tcPr>
            <w:tcW w:w="3400" w:type="dxa"/>
            <w:tcMar>
              <w:top w:w="80" w:type="dxa"/>
              <w:left w:w="100" w:type="dxa"/>
              <w:bottom w:w="80" w:type="dxa"/>
              <w:right w:w="100" w:type="dxa"/>
            </w:tcMar>
          </w:tcPr>
          <w:p w14:paraId="00000211" w14:textId="77777777" w:rsidR="0062357D" w:rsidRDefault="007E79DA">
            <w:r>
              <w:rPr>
                <w:sz w:val="19"/>
                <w:szCs w:val="19"/>
              </w:rPr>
              <w:t xml:space="preserve">Reuse the existing </w:t>
            </w:r>
            <w:proofErr w:type="spellStart"/>
            <w:r>
              <w:rPr>
                <w:sz w:val="19"/>
                <w:szCs w:val="19"/>
              </w:rPr>
              <w:t>OTel</w:t>
            </w:r>
            <w:proofErr w:type="spellEnd"/>
            <w:r>
              <w:rPr>
                <w:sz w:val="19"/>
                <w:szCs w:val="19"/>
              </w:rPr>
              <w:t xml:space="preserve"> Resource attribute rather than a Stardust-specific one</w:t>
            </w:r>
          </w:p>
        </w:tc>
      </w:tr>
      <w:tr w:rsidR="0062357D" w14:paraId="3002C4A0" w14:textId="77777777">
        <w:tc>
          <w:tcPr>
            <w:tcW w:w="2600" w:type="dxa"/>
            <w:tcMar>
              <w:top w:w="80" w:type="dxa"/>
              <w:left w:w="100" w:type="dxa"/>
              <w:bottom w:w="80" w:type="dxa"/>
              <w:right w:w="100" w:type="dxa"/>
            </w:tcMar>
          </w:tcPr>
          <w:p w14:paraId="00000212" w14:textId="77777777" w:rsidR="0062357D" w:rsidRDefault="007E79DA">
            <w:proofErr w:type="spellStart"/>
            <w:r>
              <w:rPr>
                <w:sz w:val="19"/>
                <w:szCs w:val="19"/>
              </w:rPr>
              <w:t>event_id</w:t>
            </w:r>
            <w:proofErr w:type="spellEnd"/>
          </w:p>
        </w:tc>
        <w:tc>
          <w:tcPr>
            <w:tcW w:w="3800" w:type="dxa"/>
            <w:tcMar>
              <w:top w:w="80" w:type="dxa"/>
              <w:left w:w="100" w:type="dxa"/>
              <w:bottom w:w="80" w:type="dxa"/>
              <w:right w:w="100" w:type="dxa"/>
            </w:tcMar>
          </w:tcPr>
          <w:p w14:paraId="00000213" w14:textId="77777777" w:rsidR="0062357D" w:rsidRDefault="007E79DA">
            <w:proofErr w:type="spellStart"/>
            <w:r>
              <w:rPr>
                <w:sz w:val="19"/>
                <w:szCs w:val="19"/>
              </w:rPr>
              <w:t>trace_id</w:t>
            </w:r>
            <w:proofErr w:type="spellEnd"/>
            <w:r>
              <w:rPr>
                <w:sz w:val="19"/>
                <w:szCs w:val="19"/>
              </w:rPr>
              <w:t xml:space="preserve"> / </w:t>
            </w:r>
            <w:proofErr w:type="spellStart"/>
            <w:r>
              <w:rPr>
                <w:sz w:val="19"/>
                <w:szCs w:val="19"/>
              </w:rPr>
              <w:t>span_id</w:t>
            </w:r>
            <w:proofErr w:type="spellEnd"/>
            <w:r>
              <w:rPr>
                <w:sz w:val="19"/>
                <w:szCs w:val="19"/>
              </w:rPr>
              <w:t xml:space="preserve"> (</w:t>
            </w:r>
            <w:proofErr w:type="spellStart"/>
            <w:r>
              <w:rPr>
                <w:sz w:val="19"/>
                <w:szCs w:val="19"/>
              </w:rPr>
              <w:t>OTel</w:t>
            </w:r>
            <w:proofErr w:type="spellEnd"/>
            <w:r>
              <w:rPr>
                <w:sz w:val="19"/>
                <w:szCs w:val="19"/>
              </w:rPr>
              <w:t xml:space="preserve"> trace context)</w:t>
            </w:r>
          </w:p>
        </w:tc>
        <w:tc>
          <w:tcPr>
            <w:tcW w:w="3400" w:type="dxa"/>
            <w:tcMar>
              <w:top w:w="80" w:type="dxa"/>
              <w:left w:w="100" w:type="dxa"/>
              <w:bottom w:w="80" w:type="dxa"/>
              <w:right w:w="100" w:type="dxa"/>
            </w:tcMar>
          </w:tcPr>
          <w:p w14:paraId="00000214" w14:textId="77777777" w:rsidR="0062357D" w:rsidRDefault="007E79DA">
            <w:proofErr w:type="spellStart"/>
            <w:r>
              <w:rPr>
                <w:sz w:val="19"/>
                <w:szCs w:val="19"/>
              </w:rPr>
              <w:t>OTel's</w:t>
            </w:r>
            <w:proofErr w:type="spellEnd"/>
            <w:r>
              <w:rPr>
                <w:sz w:val="19"/>
                <w:szCs w:val="19"/>
              </w:rPr>
              <w:t xml:space="preserve"> own identifiers become the primary correlation key once emitted as spans; </w:t>
            </w:r>
            <w:proofErr w:type="spellStart"/>
            <w:r>
              <w:rPr>
                <w:sz w:val="19"/>
                <w:szCs w:val="19"/>
              </w:rPr>
              <w:t>event_id</w:t>
            </w:r>
            <w:proofErr w:type="spellEnd"/>
            <w:r>
              <w:rPr>
                <w:sz w:val="19"/>
                <w:szCs w:val="19"/>
              </w:rPr>
              <w:t xml:space="preserve"> can be dropped or kept as an internal join key</w:t>
            </w:r>
          </w:p>
        </w:tc>
      </w:tr>
    </w:tbl>
    <w:p w14:paraId="00000215" w14:textId="77777777" w:rsidR="0062357D" w:rsidRDefault="0062357D">
      <w:pPr>
        <w:spacing w:after="140"/>
      </w:pPr>
    </w:p>
    <w:p w14:paraId="0000021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Practically, this means a Stardust Chat Plugin or Infra SDK event (§9.1) can be emitted as an </w:t>
      </w:r>
      <w:proofErr w:type="spellStart"/>
      <w:r>
        <w:rPr>
          <w:color w:val="000000"/>
          <w:sz w:val="21"/>
          <w:szCs w:val="21"/>
        </w:rPr>
        <w:t>OTel</w:t>
      </w:r>
      <w:proofErr w:type="spellEnd"/>
      <w:r>
        <w:rPr>
          <w:color w:val="000000"/>
          <w:sz w:val="21"/>
          <w:szCs w:val="21"/>
        </w:rPr>
        <w:t xml:space="preserve"> span with </w:t>
      </w:r>
      <w:proofErr w:type="spellStart"/>
      <w:r>
        <w:rPr>
          <w:color w:val="000000"/>
          <w:sz w:val="21"/>
          <w:szCs w:val="21"/>
        </w:rPr>
        <w:t>gen_ai</w:t>
      </w:r>
      <w:proofErr w:type="spellEnd"/>
      <w:r>
        <w:rPr>
          <w:color w:val="000000"/>
          <w:sz w:val="21"/>
          <w:szCs w:val="21"/>
        </w:rPr>
        <w:t xml:space="preserve">.* attributes for the usage side, so any team already running </w:t>
      </w:r>
      <w:proofErr w:type="spellStart"/>
      <w:r>
        <w:rPr>
          <w:color w:val="000000"/>
          <w:sz w:val="21"/>
          <w:szCs w:val="21"/>
        </w:rPr>
        <w:t>OTel</w:t>
      </w:r>
      <w:proofErr w:type="spellEnd"/>
      <w:r>
        <w:rPr>
          <w:color w:val="000000"/>
          <w:sz w:val="21"/>
          <w:szCs w:val="21"/>
        </w:rPr>
        <w:t>-based LLM observability (</w:t>
      </w:r>
      <w:proofErr w:type="spellStart"/>
      <w:r>
        <w:rPr>
          <w:color w:val="000000"/>
          <w:sz w:val="21"/>
          <w:szCs w:val="21"/>
        </w:rPr>
        <w:t>Datadog</w:t>
      </w:r>
      <w:proofErr w:type="spellEnd"/>
      <w:r>
        <w:rPr>
          <w:color w:val="000000"/>
          <w:sz w:val="21"/>
          <w:szCs w:val="21"/>
        </w:rPr>
        <w:t xml:space="preserve">, </w:t>
      </w:r>
      <w:proofErr w:type="spellStart"/>
      <w:r>
        <w:rPr>
          <w:color w:val="000000"/>
          <w:sz w:val="21"/>
          <w:szCs w:val="21"/>
        </w:rPr>
        <w:t>Grafana</w:t>
      </w:r>
      <w:proofErr w:type="spellEnd"/>
      <w:r>
        <w:rPr>
          <w:color w:val="000000"/>
          <w:sz w:val="21"/>
          <w:szCs w:val="21"/>
        </w:rPr>
        <w:t xml:space="preserve">, Honeycomb, and others already support </w:t>
      </w:r>
      <w:proofErr w:type="spellStart"/>
      <w:r>
        <w:rPr>
          <w:color w:val="000000"/>
          <w:sz w:val="21"/>
          <w:szCs w:val="21"/>
        </w:rPr>
        <w:t>gen_ai</w:t>
      </w:r>
      <w:proofErr w:type="spellEnd"/>
      <w:r>
        <w:rPr>
          <w:color w:val="000000"/>
          <w:sz w:val="21"/>
          <w:szCs w:val="21"/>
        </w:rPr>
        <w:t>.* as of 2026) picks up Stardust data with no new tooling.</w:t>
      </w:r>
    </w:p>
    <w:p w14:paraId="00000217" w14:textId="77777777" w:rsidR="0062357D" w:rsidRDefault="007E79DA">
      <w:pPr>
        <w:pStyle w:val="Heading2"/>
        <w:spacing w:before="280" w:after="120"/>
      </w:pPr>
      <w:r>
        <w:rPr>
          <w:b/>
          <w:bCs/>
          <w:color w:val="1E7A4C"/>
          <w:sz w:val="24"/>
          <w:szCs w:val="24"/>
        </w:rPr>
        <w:t xml:space="preserve">11.2 What </w:t>
      </w:r>
      <w:proofErr w:type="spellStart"/>
      <w:r>
        <w:rPr>
          <w:b/>
          <w:bCs/>
          <w:color w:val="1E7A4C"/>
          <w:sz w:val="24"/>
          <w:szCs w:val="24"/>
        </w:rPr>
        <w:t>OTel</w:t>
      </w:r>
      <w:proofErr w:type="spellEnd"/>
      <w:r>
        <w:rPr>
          <w:b/>
          <w:bCs/>
          <w:color w:val="1E7A4C"/>
          <w:sz w:val="24"/>
          <w:szCs w:val="24"/>
        </w:rPr>
        <w:t xml:space="preserve"> Doesn't Have Yet: Environmental Attributes</w:t>
      </w:r>
    </w:p>
    <w:p w14:paraId="00000218" w14:textId="77777777" w:rsidR="0062357D" w:rsidRDefault="007E79DA">
      <w:pPr>
        <w:spacing w:after="140"/>
      </w:pPr>
      <w:r>
        <w:rPr>
          <w:sz w:val="21"/>
          <w:szCs w:val="21"/>
        </w:rPr>
        <w:t xml:space="preserve">No stable </w:t>
      </w:r>
      <w:proofErr w:type="spellStart"/>
      <w:r>
        <w:rPr>
          <w:sz w:val="21"/>
          <w:szCs w:val="21"/>
        </w:rPr>
        <w:t>OTel</w:t>
      </w:r>
      <w:proofErr w:type="spellEnd"/>
      <w:r>
        <w:rPr>
          <w:sz w:val="21"/>
          <w:szCs w:val="21"/>
        </w:rPr>
        <w:t xml:space="preserve"> semantic convention exists yet for per-operation energy, carbon, or water — the closest efforts are hardware-level power/energy metrics (</w:t>
      </w:r>
      <w:proofErr w:type="spellStart"/>
      <w:r>
        <w:rPr>
          <w:sz w:val="21"/>
          <w:szCs w:val="21"/>
        </w:rPr>
        <w:t>hw.power</w:t>
      </w:r>
      <w:proofErr w:type="spellEnd"/>
      <w:r>
        <w:rPr>
          <w:sz w:val="21"/>
          <w:szCs w:val="21"/>
        </w:rPr>
        <w:t xml:space="preserve">, </w:t>
      </w:r>
      <w:proofErr w:type="spellStart"/>
      <w:r>
        <w:rPr>
          <w:sz w:val="21"/>
          <w:szCs w:val="21"/>
        </w:rPr>
        <w:t>hw.energy</w:t>
      </w:r>
      <w:proofErr w:type="spellEnd"/>
      <w:r>
        <w:rPr>
          <w:sz w:val="21"/>
          <w:szCs w:val="21"/>
        </w:rPr>
        <w:t xml:space="preserve">) for physical infrastructure, and a Green Software Foundation-led initiative (“SCI for </w:t>
      </w:r>
      <w:proofErr w:type="spellStart"/>
      <w:r>
        <w:rPr>
          <w:sz w:val="21"/>
          <w:szCs w:val="21"/>
        </w:rPr>
        <w:t>OpenTelemetry</w:t>
      </w:r>
      <w:proofErr w:type="spellEnd"/>
      <w:r>
        <w:rPr>
          <w:sz w:val="21"/>
          <w:szCs w:val="21"/>
        </w:rPr>
        <w:t xml:space="preserve">”) currently drafting Software Carbon Intensity conventions (energy consumption, carbon intensity, embodied carbon, functional unit) for submission to the </w:t>
      </w:r>
      <w:proofErr w:type="spellStart"/>
      <w:r>
        <w:rPr>
          <w:sz w:val="21"/>
          <w:szCs w:val="21"/>
        </w:rPr>
        <w:t>OTel</w:t>
      </w:r>
      <w:proofErr w:type="spellEnd"/>
      <w:r>
        <w:rPr>
          <w:sz w:val="21"/>
          <w:szCs w:val="21"/>
        </w:rPr>
        <w:t xml:space="preserve"> Semantic Conventions SIG. As of this draft that work is still at the blueprint/Assembly st</w:t>
      </w:r>
      <w:r>
        <w:rPr>
          <w:sz w:val="21"/>
          <w:szCs w:val="21"/>
        </w:rPr>
        <w:t>age, not yet ratified.</w:t>
      </w:r>
    </w:p>
    <w:p w14:paraId="00000219" w14:textId="77777777" w:rsidR="0062357D" w:rsidRDefault="007E79DA">
      <w:pPr>
        <w:numPr>
          <w:ilvl w:val="0"/>
          <w:numId w:val="1"/>
        </w:numPr>
        <w:pBdr>
          <w:top w:val="nil"/>
          <w:left w:val="nil"/>
          <w:bottom w:val="nil"/>
          <w:right w:val="nil"/>
          <w:between w:val="nil"/>
        </w:pBdr>
        <w:spacing w:after="60"/>
      </w:pPr>
      <w:r>
        <w:rPr>
          <w:color w:val="000000"/>
          <w:sz w:val="21"/>
          <w:szCs w:val="21"/>
        </w:rPr>
        <w:t>Until those conventions stabilize, Stardust's environmental fields (</w:t>
      </w:r>
      <w:proofErr w:type="spellStart"/>
      <w:r>
        <w:rPr>
          <w:color w:val="000000"/>
          <w:sz w:val="21"/>
          <w:szCs w:val="21"/>
        </w:rPr>
        <w:t>energy_wh</w:t>
      </w:r>
      <w:proofErr w:type="spellEnd"/>
      <w:r>
        <w:rPr>
          <w:color w:val="000000"/>
          <w:sz w:val="21"/>
          <w:szCs w:val="21"/>
        </w:rPr>
        <w:t xml:space="preserve">, co2e_g, </w:t>
      </w:r>
      <w:proofErr w:type="spellStart"/>
      <w:r>
        <w:rPr>
          <w:color w:val="000000"/>
          <w:sz w:val="21"/>
          <w:szCs w:val="21"/>
        </w:rPr>
        <w:t>water_ml</w:t>
      </w:r>
      <w:proofErr w:type="spellEnd"/>
      <w:r>
        <w:rPr>
          <w:color w:val="000000"/>
          <w:sz w:val="21"/>
          <w:szCs w:val="21"/>
        </w:rPr>
        <w:t xml:space="preserve">, </w:t>
      </w:r>
      <w:proofErr w:type="spellStart"/>
      <w:r>
        <w:rPr>
          <w:color w:val="000000"/>
          <w:sz w:val="21"/>
          <w:szCs w:val="21"/>
        </w:rPr>
        <w:t>particulate_mg</w:t>
      </w:r>
      <w:proofErr w:type="spellEnd"/>
      <w:r>
        <w:rPr>
          <w:color w:val="000000"/>
          <w:sz w:val="21"/>
          <w:szCs w:val="21"/>
        </w:rPr>
        <w:t>/</w:t>
      </w:r>
      <w:proofErr w:type="spellStart"/>
      <w:r>
        <w:rPr>
          <w:color w:val="000000"/>
          <w:sz w:val="21"/>
          <w:szCs w:val="21"/>
        </w:rPr>
        <w:t>ewaste_mg</w:t>
      </w:r>
      <w:proofErr w:type="spellEnd"/>
      <w:r>
        <w:rPr>
          <w:color w:val="000000"/>
          <w:sz w:val="21"/>
          <w:szCs w:val="21"/>
        </w:rPr>
        <w:t xml:space="preserve">, </w:t>
      </w:r>
      <w:proofErr w:type="spellStart"/>
      <w:r>
        <w:rPr>
          <w:color w:val="000000"/>
          <w:sz w:val="21"/>
          <w:szCs w:val="21"/>
        </w:rPr>
        <w:t>confidence_tier</w:t>
      </w:r>
      <w:proofErr w:type="spellEnd"/>
      <w:r>
        <w:rPr>
          <w:color w:val="000000"/>
          <w:sz w:val="21"/>
          <w:szCs w:val="21"/>
        </w:rPr>
        <w:t xml:space="preserve">, </w:t>
      </w:r>
      <w:proofErr w:type="spellStart"/>
      <w:r>
        <w:rPr>
          <w:color w:val="000000"/>
          <w:sz w:val="21"/>
          <w:szCs w:val="21"/>
        </w:rPr>
        <w:t>indicator_code</w:t>
      </w:r>
      <w:proofErr w:type="spellEnd"/>
      <w:r>
        <w:rPr>
          <w:color w:val="000000"/>
          <w:sz w:val="21"/>
          <w:szCs w:val="21"/>
        </w:rPr>
        <w:t xml:space="preserve">, </w:t>
      </w:r>
      <w:proofErr w:type="spellStart"/>
      <w:r>
        <w:rPr>
          <w:color w:val="000000"/>
          <w:sz w:val="21"/>
          <w:szCs w:val="21"/>
        </w:rPr>
        <w:t>job_sji</w:t>
      </w:r>
      <w:proofErr w:type="spellEnd"/>
      <w:r>
        <w:rPr>
          <w:color w:val="000000"/>
          <w:sz w:val="21"/>
          <w:szCs w:val="21"/>
        </w:rPr>
        <w:t xml:space="preserve">, </w:t>
      </w:r>
      <w:proofErr w:type="spellStart"/>
      <w:r>
        <w:rPr>
          <w:color w:val="000000"/>
          <w:sz w:val="21"/>
          <w:szCs w:val="21"/>
        </w:rPr>
        <w:t>energy_source_code</w:t>
      </w:r>
      <w:proofErr w:type="spellEnd"/>
      <w:r>
        <w:rPr>
          <w:color w:val="000000"/>
          <w:sz w:val="21"/>
          <w:szCs w:val="21"/>
        </w:rPr>
        <w:t xml:space="preserve">, </w:t>
      </w:r>
      <w:proofErr w:type="spellStart"/>
      <w:r>
        <w:rPr>
          <w:color w:val="000000"/>
          <w:sz w:val="21"/>
          <w:szCs w:val="21"/>
        </w:rPr>
        <w:t>energy_mix_breakdown</w:t>
      </w:r>
      <w:proofErr w:type="spellEnd"/>
      <w:r>
        <w:rPr>
          <w:color w:val="000000"/>
          <w:sz w:val="21"/>
          <w:szCs w:val="21"/>
        </w:rPr>
        <w:t xml:space="preserve">, </w:t>
      </w:r>
      <w:proofErr w:type="spellStart"/>
      <w:r>
        <w:rPr>
          <w:color w:val="000000"/>
          <w:sz w:val="21"/>
          <w:szCs w:val="21"/>
        </w:rPr>
        <w:t>grid_style</w:t>
      </w:r>
      <w:proofErr w:type="spellEnd"/>
      <w:r>
        <w:rPr>
          <w:color w:val="000000"/>
          <w:sz w:val="21"/>
          <w:szCs w:val="21"/>
        </w:rPr>
        <w:t xml:space="preserve">, </w:t>
      </w:r>
      <w:proofErr w:type="spellStart"/>
      <w:r>
        <w:rPr>
          <w:color w:val="000000"/>
          <w:sz w:val="21"/>
          <w:szCs w:val="21"/>
        </w:rPr>
        <w:t>grid_majority_share_pct</w:t>
      </w:r>
      <w:proofErr w:type="spellEnd"/>
      <w:r>
        <w:rPr>
          <w:color w:val="000000"/>
          <w:sz w:val="21"/>
          <w:szCs w:val="21"/>
        </w:rPr>
        <w:t xml:space="preserve"> — all from §7 and §5.3) are emitted under a </w:t>
      </w:r>
      <w:proofErr w:type="spellStart"/>
      <w:r>
        <w:rPr>
          <w:color w:val="000000"/>
          <w:sz w:val="21"/>
          <w:szCs w:val="21"/>
        </w:rPr>
        <w:t>namespaced</w:t>
      </w:r>
      <w:proofErr w:type="spellEnd"/>
      <w:r>
        <w:rPr>
          <w:color w:val="000000"/>
          <w:sz w:val="21"/>
          <w:szCs w:val="21"/>
        </w:rPr>
        <w:t xml:space="preserve"> stardust.* attribute prefix (e.g. stardust.impact.co2e_g, </w:t>
      </w:r>
      <w:proofErr w:type="spellStart"/>
      <w:r>
        <w:rPr>
          <w:color w:val="000000"/>
          <w:sz w:val="21"/>
          <w:szCs w:val="21"/>
        </w:rPr>
        <w:t>stardust.esc.code</w:t>
      </w:r>
      <w:proofErr w:type="spellEnd"/>
      <w:r>
        <w:rPr>
          <w:color w:val="000000"/>
          <w:sz w:val="21"/>
          <w:szCs w:val="21"/>
        </w:rPr>
        <w:t xml:space="preserve">), following </w:t>
      </w:r>
      <w:proofErr w:type="spellStart"/>
      <w:r>
        <w:rPr>
          <w:color w:val="000000"/>
          <w:sz w:val="21"/>
          <w:szCs w:val="21"/>
        </w:rPr>
        <w:t>OTel's</w:t>
      </w:r>
      <w:proofErr w:type="spellEnd"/>
      <w:r>
        <w:rPr>
          <w:color w:val="000000"/>
          <w:sz w:val="21"/>
          <w:szCs w:val="21"/>
        </w:rPr>
        <w:t xml:space="preserve"> own convention that domain-specific attributes not yet in the core registry should be clearly </w:t>
      </w:r>
      <w:proofErr w:type="spellStart"/>
      <w:r>
        <w:rPr>
          <w:color w:val="000000"/>
          <w:sz w:val="21"/>
          <w:szCs w:val="21"/>
        </w:rPr>
        <w:t>namespaced</w:t>
      </w:r>
      <w:proofErr w:type="spellEnd"/>
      <w:r>
        <w:rPr>
          <w:color w:val="000000"/>
          <w:sz w:val="21"/>
          <w:szCs w:val="21"/>
        </w:rPr>
        <w:t xml:space="preserve"> rather than squatting on an </w:t>
      </w:r>
      <w:proofErr w:type="spellStart"/>
      <w:r>
        <w:rPr>
          <w:color w:val="000000"/>
          <w:sz w:val="21"/>
          <w:szCs w:val="21"/>
        </w:rPr>
        <w:t>unprefixed</w:t>
      </w:r>
      <w:proofErr w:type="spellEnd"/>
      <w:r>
        <w:rPr>
          <w:color w:val="000000"/>
          <w:sz w:val="21"/>
          <w:szCs w:val="21"/>
        </w:rPr>
        <w:t xml:space="preserve"> name.</w:t>
      </w:r>
    </w:p>
    <w:p w14:paraId="0000021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Given the overlap in intent, </w:t>
      </w:r>
      <w:proofErr w:type="spellStart"/>
      <w:r>
        <w:rPr>
          <w:color w:val="000000"/>
          <w:sz w:val="21"/>
          <w:szCs w:val="21"/>
        </w:rPr>
        <w:t>AIforE</w:t>
      </w:r>
      <w:proofErr w:type="spellEnd"/>
      <w:r>
        <w:rPr>
          <w:color w:val="000000"/>
          <w:sz w:val="21"/>
          <w:szCs w:val="21"/>
        </w:rPr>
        <w:t xml:space="preserve"> contributing its methodology (§8) and Energy Source Code taxonomy (§5.3.1–§5.3.2) to the SCI-for-</w:t>
      </w:r>
      <w:proofErr w:type="spellStart"/>
      <w:r>
        <w:rPr>
          <w:color w:val="000000"/>
          <w:sz w:val="21"/>
          <w:szCs w:val="21"/>
        </w:rPr>
        <w:t>OpenTelemetry</w:t>
      </w:r>
      <w:proofErr w:type="spellEnd"/>
      <w:r>
        <w:rPr>
          <w:color w:val="000000"/>
          <w:sz w:val="21"/>
          <w:szCs w:val="21"/>
        </w:rPr>
        <w:t xml:space="preserve"> Assembly is a more direct path to the “open, citable benchmark” goal in §1.2 than publishing a parallel, competing taxonomy — the Assembly is explicitly structured to bring outside expert input to consensus before conventions are finalized.</w:t>
      </w:r>
    </w:p>
    <w:p w14:paraId="0000021B" w14:textId="77777777" w:rsidR="0062357D" w:rsidRDefault="007E79DA">
      <w:pPr>
        <w:numPr>
          <w:ilvl w:val="0"/>
          <w:numId w:val="1"/>
        </w:numPr>
        <w:pBdr>
          <w:top w:val="nil"/>
          <w:left w:val="nil"/>
          <w:bottom w:val="nil"/>
          <w:right w:val="nil"/>
          <w:between w:val="nil"/>
        </w:pBdr>
        <w:spacing w:after="60"/>
      </w:pPr>
      <w:r>
        <w:rPr>
          <w:color w:val="000000"/>
          <w:sz w:val="21"/>
          <w:szCs w:val="21"/>
        </w:rPr>
        <w:t>If and when SCI-for-</w:t>
      </w:r>
      <w:proofErr w:type="spellStart"/>
      <w:r>
        <w:rPr>
          <w:color w:val="000000"/>
          <w:sz w:val="21"/>
          <w:szCs w:val="21"/>
        </w:rPr>
        <w:t>OpenTelemetry</w:t>
      </w:r>
      <w:proofErr w:type="spellEnd"/>
      <w:r>
        <w:rPr>
          <w:color w:val="000000"/>
          <w:sz w:val="21"/>
          <w:szCs w:val="21"/>
        </w:rPr>
        <w:t xml:space="preserve"> conventions stabilize, Stardust's stardust.* attributes should migrate to the ratified names the same way the </w:t>
      </w:r>
      <w:proofErr w:type="spellStart"/>
      <w:r>
        <w:rPr>
          <w:color w:val="000000"/>
          <w:sz w:val="21"/>
          <w:szCs w:val="21"/>
        </w:rPr>
        <w:t>GenAI</w:t>
      </w:r>
      <w:proofErr w:type="spellEnd"/>
      <w:r>
        <w:rPr>
          <w:color w:val="000000"/>
          <w:sz w:val="21"/>
          <w:szCs w:val="21"/>
        </w:rPr>
        <w:t xml:space="preserve"> conventions themselves are handling their own experimental-to-stable transition (§11.1), keeping the versioned-configuration approach in §8.4 as the mechanism for that migration.</w:t>
      </w:r>
    </w:p>
    <w:p w14:paraId="0000021C" w14:textId="77777777" w:rsidR="0062357D" w:rsidRDefault="007E79DA">
      <w:pPr>
        <w:pStyle w:val="Heading2"/>
        <w:spacing w:before="280" w:after="120"/>
      </w:pPr>
      <w:r>
        <w:rPr>
          <w:b/>
          <w:bCs/>
          <w:color w:val="1E7A4C"/>
          <w:sz w:val="24"/>
          <w:szCs w:val="24"/>
        </w:rPr>
        <w:t>11.3 Emission Model</w:t>
      </w:r>
    </w:p>
    <w:p w14:paraId="0000021D"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Each measured operation (§7) is emitted as an </w:t>
      </w:r>
      <w:proofErr w:type="spellStart"/>
      <w:r>
        <w:rPr>
          <w:color w:val="000000"/>
          <w:sz w:val="21"/>
          <w:szCs w:val="21"/>
        </w:rPr>
        <w:t>OTel</w:t>
      </w:r>
      <w:proofErr w:type="spellEnd"/>
      <w:r>
        <w:rPr>
          <w:color w:val="000000"/>
          <w:sz w:val="21"/>
          <w:szCs w:val="21"/>
        </w:rPr>
        <w:t xml:space="preserve"> span (or a metric data point for aggregated dashboard views, §6.3), carrying </w:t>
      </w:r>
      <w:proofErr w:type="spellStart"/>
      <w:r>
        <w:rPr>
          <w:color w:val="000000"/>
          <w:sz w:val="21"/>
          <w:szCs w:val="21"/>
        </w:rPr>
        <w:t>gen_ai</w:t>
      </w:r>
      <w:proofErr w:type="spellEnd"/>
      <w:r>
        <w:rPr>
          <w:color w:val="000000"/>
          <w:sz w:val="21"/>
          <w:szCs w:val="21"/>
        </w:rPr>
        <w:t>.* attributes where a direct mapping exists (§11.1) and stardust.* attributes for everything environmental (§11.2).</w:t>
      </w:r>
    </w:p>
    <w:p w14:paraId="0000021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Resource-level context (provider region, cloud platform) is set once via </w:t>
      </w:r>
      <w:proofErr w:type="spellStart"/>
      <w:r>
        <w:rPr>
          <w:color w:val="000000"/>
          <w:sz w:val="21"/>
          <w:szCs w:val="21"/>
        </w:rPr>
        <w:t>OTel</w:t>
      </w:r>
      <w:proofErr w:type="spellEnd"/>
      <w:r>
        <w:rPr>
          <w:color w:val="000000"/>
          <w:sz w:val="21"/>
          <w:szCs w:val="21"/>
        </w:rPr>
        <w:t xml:space="preserve"> Resource attributes (</w:t>
      </w:r>
      <w:proofErr w:type="spellStart"/>
      <w:r>
        <w:rPr>
          <w:color w:val="000000"/>
          <w:sz w:val="21"/>
          <w:szCs w:val="21"/>
        </w:rPr>
        <w:t>cloud.provider</w:t>
      </w:r>
      <w:proofErr w:type="spellEnd"/>
      <w:r>
        <w:rPr>
          <w:color w:val="000000"/>
          <w:sz w:val="21"/>
          <w:szCs w:val="21"/>
        </w:rPr>
        <w:t xml:space="preserve">, </w:t>
      </w:r>
      <w:proofErr w:type="spellStart"/>
      <w:r>
        <w:rPr>
          <w:color w:val="000000"/>
          <w:sz w:val="21"/>
          <w:szCs w:val="21"/>
        </w:rPr>
        <w:t>cloud.region</w:t>
      </w:r>
      <w:proofErr w:type="spellEnd"/>
      <w:r>
        <w:rPr>
          <w:color w:val="000000"/>
          <w:sz w:val="21"/>
          <w:szCs w:val="21"/>
        </w:rPr>
        <w:t xml:space="preserve">) rather than repeated per span, consistent with how </w:t>
      </w:r>
      <w:proofErr w:type="spellStart"/>
      <w:r>
        <w:rPr>
          <w:color w:val="000000"/>
          <w:sz w:val="21"/>
          <w:szCs w:val="21"/>
        </w:rPr>
        <w:t>OTel</w:t>
      </w:r>
      <w:proofErr w:type="spellEnd"/>
      <w:r>
        <w:rPr>
          <w:color w:val="000000"/>
          <w:sz w:val="21"/>
          <w:szCs w:val="21"/>
        </w:rPr>
        <w:t xml:space="preserve"> expects infrastructure context to be attached.</w:t>
      </w:r>
    </w:p>
    <w:p w14:paraId="0000021F"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The Stardust Job Identifier (§5.3) is carried as a span attribute (e.g. </w:t>
      </w:r>
      <w:proofErr w:type="spellStart"/>
      <w:r>
        <w:rPr>
          <w:color w:val="000000"/>
          <w:sz w:val="21"/>
          <w:szCs w:val="21"/>
        </w:rPr>
        <w:t>stardust.job.sji</w:t>
      </w:r>
      <w:proofErr w:type="spellEnd"/>
      <w:r>
        <w:rPr>
          <w:color w:val="000000"/>
          <w:sz w:val="21"/>
          <w:szCs w:val="21"/>
        </w:rPr>
        <w:t xml:space="preserve">) alongside </w:t>
      </w:r>
      <w:proofErr w:type="spellStart"/>
      <w:r>
        <w:rPr>
          <w:color w:val="000000"/>
          <w:sz w:val="21"/>
          <w:szCs w:val="21"/>
        </w:rPr>
        <w:t>OTel's</w:t>
      </w:r>
      <w:proofErr w:type="spellEnd"/>
      <w:r>
        <w:rPr>
          <w:color w:val="000000"/>
          <w:sz w:val="21"/>
          <w:szCs w:val="21"/>
        </w:rPr>
        <w:t xml:space="preserve"> own </w:t>
      </w:r>
      <w:proofErr w:type="spellStart"/>
      <w:r>
        <w:rPr>
          <w:color w:val="000000"/>
          <w:sz w:val="21"/>
          <w:szCs w:val="21"/>
        </w:rPr>
        <w:t>trace_id</w:t>
      </w:r>
      <w:proofErr w:type="spellEnd"/>
      <w:r>
        <w:rPr>
          <w:color w:val="000000"/>
          <w:sz w:val="21"/>
          <w:szCs w:val="21"/>
        </w:rPr>
        <w:t>/</w:t>
      </w:r>
      <w:proofErr w:type="spellStart"/>
      <w:r>
        <w:rPr>
          <w:color w:val="000000"/>
          <w:sz w:val="21"/>
          <w:szCs w:val="21"/>
        </w:rPr>
        <w:t>span_id</w:t>
      </w:r>
      <w:proofErr w:type="spellEnd"/>
      <w:r>
        <w:rPr>
          <w:color w:val="000000"/>
          <w:sz w:val="21"/>
          <w:szCs w:val="21"/>
        </w:rPr>
        <w:t xml:space="preserve">, which remain the primary correlation key for any </w:t>
      </w:r>
      <w:proofErr w:type="spellStart"/>
      <w:r>
        <w:rPr>
          <w:color w:val="000000"/>
          <w:sz w:val="21"/>
          <w:szCs w:val="21"/>
        </w:rPr>
        <w:t>OTel</w:t>
      </w:r>
      <w:proofErr w:type="spellEnd"/>
      <w:r>
        <w:rPr>
          <w:color w:val="000000"/>
          <w:sz w:val="21"/>
          <w:szCs w:val="21"/>
        </w:rPr>
        <w:t xml:space="preserve">-based backend; the SJI stays a human-facing companion identifier, not a replacement for </w:t>
      </w:r>
      <w:proofErr w:type="spellStart"/>
      <w:r>
        <w:rPr>
          <w:color w:val="000000"/>
          <w:sz w:val="21"/>
          <w:szCs w:val="21"/>
        </w:rPr>
        <w:t>OTel's</w:t>
      </w:r>
      <w:proofErr w:type="spellEnd"/>
      <w:r>
        <w:rPr>
          <w:color w:val="000000"/>
          <w:sz w:val="21"/>
          <w:szCs w:val="21"/>
        </w:rPr>
        <w:t xml:space="preserve"> trace context, consistent with how it's already kept distinct from </w:t>
      </w:r>
      <w:proofErr w:type="spellStart"/>
      <w:r>
        <w:rPr>
          <w:color w:val="000000"/>
          <w:sz w:val="21"/>
          <w:szCs w:val="21"/>
        </w:rPr>
        <w:t>event_id</w:t>
      </w:r>
      <w:proofErr w:type="spellEnd"/>
      <w:r>
        <w:rPr>
          <w:color w:val="000000"/>
          <w:sz w:val="21"/>
          <w:szCs w:val="21"/>
        </w:rPr>
        <w:t xml:space="preserve"> in §7.</w:t>
      </w:r>
    </w:p>
    <w:p w14:paraId="00000220"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Stardust Core (§9.1) can act as both an OTLP receiver (accepting standard </w:t>
      </w:r>
      <w:proofErr w:type="spellStart"/>
      <w:r>
        <w:rPr>
          <w:color w:val="000000"/>
          <w:sz w:val="21"/>
          <w:szCs w:val="21"/>
        </w:rPr>
        <w:t>OTel</w:t>
      </w:r>
      <w:proofErr w:type="spellEnd"/>
      <w:r>
        <w:rPr>
          <w:color w:val="000000"/>
          <w:sz w:val="21"/>
          <w:szCs w:val="21"/>
        </w:rPr>
        <w:t xml:space="preserve"> telemetry already carrying </w:t>
      </w:r>
      <w:proofErr w:type="spellStart"/>
      <w:r>
        <w:rPr>
          <w:color w:val="000000"/>
          <w:sz w:val="21"/>
          <w:szCs w:val="21"/>
        </w:rPr>
        <w:t>gen_ai</w:t>
      </w:r>
      <w:proofErr w:type="spellEnd"/>
      <w:r>
        <w:rPr>
          <w:color w:val="000000"/>
          <w:sz w:val="21"/>
          <w:szCs w:val="21"/>
        </w:rPr>
        <w:t xml:space="preserve">.* attributes from a team's existing instrumentation) and an OTLP exporter (emitting its own enriched stardust.* attributes back into a team's existing </w:t>
      </w:r>
      <w:proofErr w:type="spellStart"/>
      <w:r>
        <w:rPr>
          <w:color w:val="000000"/>
          <w:sz w:val="21"/>
          <w:szCs w:val="21"/>
        </w:rPr>
        <w:t>OTel</w:t>
      </w:r>
      <w:proofErr w:type="spellEnd"/>
      <w:r>
        <w:rPr>
          <w:color w:val="000000"/>
          <w:sz w:val="21"/>
          <w:szCs w:val="21"/>
        </w:rPr>
        <w:t xml:space="preserve"> Collector pipeline), so adopting Stardust doesn't require a parallel telemetry stack alongside an </w:t>
      </w:r>
      <w:proofErr w:type="spellStart"/>
      <w:r>
        <w:rPr>
          <w:color w:val="000000"/>
          <w:sz w:val="21"/>
          <w:szCs w:val="21"/>
        </w:rPr>
        <w:t>OTel</w:t>
      </w:r>
      <w:proofErr w:type="spellEnd"/>
      <w:r>
        <w:rPr>
          <w:color w:val="000000"/>
          <w:sz w:val="21"/>
          <w:szCs w:val="21"/>
        </w:rPr>
        <w:t>-based one.</w:t>
      </w:r>
    </w:p>
    <w:p w14:paraId="00000221" w14:textId="77777777" w:rsidR="0062357D" w:rsidRDefault="007E79DA">
      <w:pPr>
        <w:pStyle w:val="Heading2"/>
        <w:spacing w:before="280" w:after="120"/>
      </w:pPr>
      <w:r>
        <w:rPr>
          <w:b/>
          <w:bCs/>
          <w:color w:val="1E7A4C"/>
          <w:sz w:val="24"/>
          <w:szCs w:val="24"/>
        </w:rPr>
        <w:t>11.4 Why This Matters for the Open Source Strategy</w:t>
      </w:r>
    </w:p>
    <w:p w14:paraId="00000222"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Emitting standard OTLP instead of a Stardust-only wire format directly serves §17's goal: a third party building on the open core doesn't need a custom ingestion path, since any existing </w:t>
      </w:r>
      <w:proofErr w:type="spellStart"/>
      <w:r>
        <w:rPr>
          <w:color w:val="000000"/>
          <w:sz w:val="21"/>
          <w:szCs w:val="21"/>
        </w:rPr>
        <w:t>OTel</w:t>
      </w:r>
      <w:proofErr w:type="spellEnd"/>
      <w:r>
        <w:rPr>
          <w:color w:val="000000"/>
          <w:sz w:val="21"/>
          <w:szCs w:val="21"/>
        </w:rPr>
        <w:t xml:space="preserve"> Collector, backend, or dashboard already knows how to route and store the signal.</w:t>
      </w:r>
    </w:p>
    <w:p w14:paraId="00000223" w14:textId="77777777" w:rsidR="0062357D" w:rsidRDefault="007E79DA">
      <w:pPr>
        <w:numPr>
          <w:ilvl w:val="0"/>
          <w:numId w:val="1"/>
        </w:numPr>
        <w:pBdr>
          <w:top w:val="nil"/>
          <w:left w:val="nil"/>
          <w:bottom w:val="nil"/>
          <w:right w:val="nil"/>
          <w:between w:val="nil"/>
        </w:pBdr>
        <w:spacing w:after="60"/>
      </w:pPr>
      <w:r>
        <w:rPr>
          <w:color w:val="000000"/>
          <w:sz w:val="21"/>
          <w:szCs w:val="21"/>
        </w:rPr>
        <w:t>It also reduces integration cost for the platform-specific paths in §12 — several of the cited providers (</w:t>
      </w:r>
      <w:proofErr w:type="spellStart"/>
      <w:r>
        <w:rPr>
          <w:color w:val="000000"/>
          <w:sz w:val="21"/>
          <w:szCs w:val="21"/>
        </w:rPr>
        <w:t>OpenAI</w:t>
      </w:r>
      <w:proofErr w:type="spellEnd"/>
      <w:r>
        <w:rPr>
          <w:color w:val="000000"/>
          <w:sz w:val="21"/>
          <w:szCs w:val="21"/>
        </w:rPr>
        <w:t xml:space="preserve">, Anthropic, </w:t>
      </w:r>
      <w:proofErr w:type="spellStart"/>
      <w:r>
        <w:rPr>
          <w:color w:val="000000"/>
          <w:sz w:val="21"/>
          <w:szCs w:val="21"/>
        </w:rPr>
        <w:t>LangChain</w:t>
      </w:r>
      <w:proofErr w:type="spellEnd"/>
      <w:r>
        <w:rPr>
          <w:color w:val="000000"/>
          <w:sz w:val="21"/>
          <w:szCs w:val="21"/>
        </w:rPr>
        <w:t xml:space="preserve">, </w:t>
      </w:r>
      <w:proofErr w:type="spellStart"/>
      <w:r>
        <w:rPr>
          <w:color w:val="000000"/>
          <w:sz w:val="21"/>
          <w:szCs w:val="21"/>
        </w:rPr>
        <w:t>LlamaIndex</w:t>
      </w:r>
      <w:proofErr w:type="spellEnd"/>
      <w:r>
        <w:rPr>
          <w:color w:val="000000"/>
          <w:sz w:val="21"/>
          <w:szCs w:val="21"/>
        </w:rPr>
        <w:t xml:space="preserve">) already have community </w:t>
      </w:r>
      <w:proofErr w:type="spellStart"/>
      <w:r>
        <w:rPr>
          <w:color w:val="000000"/>
          <w:sz w:val="21"/>
          <w:szCs w:val="21"/>
        </w:rPr>
        <w:t>OTel</w:t>
      </w:r>
      <w:proofErr w:type="spellEnd"/>
      <w:r>
        <w:rPr>
          <w:color w:val="000000"/>
          <w:sz w:val="21"/>
          <w:szCs w:val="21"/>
        </w:rPr>
        <w:t xml:space="preserve"> auto-instrumentation packages emitting </w:t>
      </w:r>
      <w:proofErr w:type="spellStart"/>
      <w:r>
        <w:rPr>
          <w:color w:val="000000"/>
          <w:sz w:val="21"/>
          <w:szCs w:val="21"/>
        </w:rPr>
        <w:t>gen_ai</w:t>
      </w:r>
      <w:proofErr w:type="spellEnd"/>
      <w:r>
        <w:rPr>
          <w:color w:val="000000"/>
          <w:sz w:val="21"/>
          <w:szCs w:val="21"/>
        </w:rPr>
        <w:t>.* attributes, which Stardust's Infra SDK can attach to and enrich rather than instrument from scratch.</w:t>
      </w:r>
    </w:p>
    <w:p w14:paraId="00000224"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Aligning early, while both the </w:t>
      </w:r>
      <w:proofErr w:type="spellStart"/>
      <w:r>
        <w:rPr>
          <w:color w:val="000000"/>
          <w:sz w:val="21"/>
          <w:szCs w:val="21"/>
        </w:rPr>
        <w:t>GenAI</w:t>
      </w:r>
      <w:proofErr w:type="spellEnd"/>
      <w:r>
        <w:rPr>
          <w:color w:val="000000"/>
          <w:sz w:val="21"/>
          <w:szCs w:val="21"/>
        </w:rPr>
        <w:t xml:space="preserve"> conventions and the SCI-for-</w:t>
      </w:r>
      <w:proofErr w:type="spellStart"/>
      <w:r>
        <w:rPr>
          <w:color w:val="000000"/>
          <w:sz w:val="21"/>
          <w:szCs w:val="21"/>
        </w:rPr>
        <w:t>OpenTelemetry</w:t>
      </w:r>
      <w:proofErr w:type="spellEnd"/>
      <w:r>
        <w:rPr>
          <w:color w:val="000000"/>
          <w:sz w:val="21"/>
          <w:szCs w:val="21"/>
        </w:rPr>
        <w:t xml:space="preserve"> effort are still experimental/pre-ratification, gives </w:t>
      </w:r>
      <w:proofErr w:type="spellStart"/>
      <w:r>
        <w:rPr>
          <w:color w:val="000000"/>
          <w:sz w:val="21"/>
          <w:szCs w:val="21"/>
        </w:rPr>
        <w:t>AIforE</w:t>
      </w:r>
      <w:proofErr w:type="spellEnd"/>
      <w:r>
        <w:rPr>
          <w:color w:val="000000"/>
          <w:sz w:val="21"/>
          <w:szCs w:val="21"/>
        </w:rPr>
        <w:t xml:space="preserve"> a chance to shape the environmental side of the standard rather than retrofit onto it later — directly consistent with the ecosystem-stewardship rationale in §17.4.</w:t>
      </w:r>
    </w:p>
    <w:p w14:paraId="00000225" w14:textId="77777777" w:rsidR="0062357D" w:rsidRDefault="007E79DA">
      <w:pPr>
        <w:pStyle w:val="Heading1"/>
        <w:spacing w:before="360" w:after="160"/>
      </w:pPr>
      <w:r>
        <w:rPr>
          <w:b/>
          <w:bCs/>
          <w:color w:val="0F4A2E"/>
          <w:sz w:val="30"/>
          <w:szCs w:val="30"/>
        </w:rPr>
        <w:t>12. Platform-Specific Porting Specifications</w:t>
      </w:r>
    </w:p>
    <w:p w14:paraId="00000226" w14:textId="77777777" w:rsidR="0062357D" w:rsidRDefault="007E79DA">
      <w:pPr>
        <w:spacing w:after="140"/>
      </w:pPr>
      <w:r>
        <w:rPr>
          <w:sz w:val="21"/>
          <w:szCs w:val="21"/>
        </w:rPr>
        <w:t>This section details, target by target, how Stardust actually attaches to each named app, browser, and infrastructure service — the concrete integration surface, what data it yields, the resulting confidence tier (§8), and known constraints. It supersedes the general statements in §3 with implementation-level detail per target.</w:t>
      </w:r>
    </w:p>
    <w:p w14:paraId="00000227" w14:textId="77777777" w:rsidR="0062357D" w:rsidRDefault="007E79DA">
      <w:pPr>
        <w:pStyle w:val="Heading2"/>
        <w:spacing w:before="280" w:after="120"/>
      </w:pPr>
      <w:r>
        <w:rPr>
          <w:b/>
          <w:bCs/>
          <w:color w:val="1E7A4C"/>
          <w:sz w:val="24"/>
          <w:szCs w:val="24"/>
        </w:rPr>
        <w:t>12.1 Summary Matrix</w:t>
      </w:r>
    </w:p>
    <w:tbl>
      <w:tblPr>
        <w:tblStyle w:val="af"/>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4200"/>
        <w:gridCol w:w="2200"/>
      </w:tblGrid>
      <w:tr w:rsidR="0062357D" w14:paraId="753DEA37" w14:textId="77777777">
        <w:trPr>
          <w:tblHeader/>
        </w:trPr>
        <w:tc>
          <w:tcPr>
            <w:tcW w:w="3400" w:type="dxa"/>
            <w:shd w:val="clear" w:color="auto" w:fill="1E7A4C"/>
            <w:tcMar>
              <w:top w:w="80" w:type="dxa"/>
              <w:left w:w="100" w:type="dxa"/>
              <w:bottom w:w="80" w:type="dxa"/>
              <w:right w:w="100" w:type="dxa"/>
            </w:tcMar>
          </w:tcPr>
          <w:p w14:paraId="00000228" w14:textId="77777777" w:rsidR="0062357D" w:rsidRDefault="007E79DA">
            <w:r>
              <w:rPr>
                <w:b/>
                <w:bCs/>
                <w:color w:val="FFFFFF"/>
                <w:sz w:val="19"/>
                <w:szCs w:val="19"/>
              </w:rPr>
              <w:t>Target</w:t>
            </w:r>
          </w:p>
        </w:tc>
        <w:tc>
          <w:tcPr>
            <w:tcW w:w="4200" w:type="dxa"/>
            <w:shd w:val="clear" w:color="auto" w:fill="1E7A4C"/>
            <w:tcMar>
              <w:top w:w="80" w:type="dxa"/>
              <w:left w:w="100" w:type="dxa"/>
              <w:bottom w:w="80" w:type="dxa"/>
              <w:right w:w="100" w:type="dxa"/>
            </w:tcMar>
          </w:tcPr>
          <w:p w14:paraId="00000229" w14:textId="77777777" w:rsidR="0062357D" w:rsidRDefault="007E79DA">
            <w:r>
              <w:rPr>
                <w:b/>
                <w:bCs/>
                <w:color w:val="FFFFFF"/>
                <w:sz w:val="19"/>
                <w:szCs w:val="19"/>
              </w:rPr>
              <w:t>Integration path</w:t>
            </w:r>
          </w:p>
        </w:tc>
        <w:tc>
          <w:tcPr>
            <w:tcW w:w="2200" w:type="dxa"/>
            <w:shd w:val="clear" w:color="auto" w:fill="1E7A4C"/>
            <w:tcMar>
              <w:top w:w="80" w:type="dxa"/>
              <w:left w:w="100" w:type="dxa"/>
              <w:bottom w:w="80" w:type="dxa"/>
              <w:right w:w="100" w:type="dxa"/>
            </w:tcMar>
          </w:tcPr>
          <w:p w14:paraId="0000022A" w14:textId="77777777" w:rsidR="0062357D" w:rsidRDefault="007E79DA">
            <w:r>
              <w:rPr>
                <w:b/>
                <w:bCs/>
                <w:color w:val="FFFFFF"/>
                <w:sz w:val="19"/>
                <w:szCs w:val="19"/>
              </w:rPr>
              <w:t>Confidence tier</w:t>
            </w:r>
          </w:p>
        </w:tc>
      </w:tr>
      <w:tr w:rsidR="0062357D" w14:paraId="634F33BE" w14:textId="77777777">
        <w:tc>
          <w:tcPr>
            <w:tcW w:w="3400" w:type="dxa"/>
            <w:tcMar>
              <w:top w:w="80" w:type="dxa"/>
              <w:left w:w="100" w:type="dxa"/>
              <w:bottom w:w="80" w:type="dxa"/>
              <w:right w:w="100" w:type="dxa"/>
            </w:tcMar>
          </w:tcPr>
          <w:p w14:paraId="0000022B" w14:textId="77777777" w:rsidR="0062357D" w:rsidRDefault="007E79DA">
            <w:r>
              <w:rPr>
                <w:sz w:val="19"/>
                <w:szCs w:val="19"/>
              </w:rPr>
              <w:t>Claude (</w:t>
            </w:r>
            <w:proofErr w:type="spellStart"/>
            <w:r>
              <w:rPr>
                <w:sz w:val="19"/>
                <w:szCs w:val="19"/>
              </w:rPr>
              <w:t>claude.ai</w:t>
            </w:r>
            <w:proofErr w:type="spellEnd"/>
            <w:r>
              <w:rPr>
                <w:sz w:val="19"/>
                <w:szCs w:val="19"/>
              </w:rPr>
              <w:t xml:space="preserve"> / Desktop / Code / </w:t>
            </w:r>
            <w:proofErr w:type="spellStart"/>
            <w:r>
              <w:rPr>
                <w:sz w:val="19"/>
                <w:szCs w:val="19"/>
              </w:rPr>
              <w:t>Cowork</w:t>
            </w:r>
            <w:proofErr w:type="spellEnd"/>
            <w:r>
              <w:rPr>
                <w:sz w:val="19"/>
                <w:szCs w:val="19"/>
              </w:rPr>
              <w:t>)</w:t>
            </w:r>
          </w:p>
        </w:tc>
        <w:tc>
          <w:tcPr>
            <w:tcW w:w="4200" w:type="dxa"/>
            <w:tcMar>
              <w:top w:w="80" w:type="dxa"/>
              <w:left w:w="100" w:type="dxa"/>
              <w:bottom w:w="80" w:type="dxa"/>
              <w:right w:w="100" w:type="dxa"/>
            </w:tcMar>
          </w:tcPr>
          <w:p w14:paraId="0000022C" w14:textId="77777777" w:rsidR="0062357D" w:rsidRDefault="007E79DA">
            <w:r>
              <w:rPr>
                <w:sz w:val="19"/>
                <w:szCs w:val="19"/>
              </w:rPr>
              <w:t>Remote MCP connector (reporting tools) + Browser Extension fallback for web UI usage</w:t>
            </w:r>
          </w:p>
        </w:tc>
        <w:tc>
          <w:tcPr>
            <w:tcW w:w="2200" w:type="dxa"/>
            <w:tcMar>
              <w:top w:w="80" w:type="dxa"/>
              <w:left w:w="100" w:type="dxa"/>
              <w:bottom w:w="80" w:type="dxa"/>
              <w:right w:w="100" w:type="dxa"/>
            </w:tcMar>
          </w:tcPr>
          <w:p w14:paraId="0000022D" w14:textId="77777777" w:rsidR="0062357D" w:rsidRDefault="007E79DA">
            <w:r>
              <w:rPr>
                <w:sz w:val="19"/>
                <w:szCs w:val="19"/>
              </w:rPr>
              <w:t>Modeled / Estimated</w:t>
            </w:r>
          </w:p>
        </w:tc>
      </w:tr>
      <w:tr w:rsidR="0062357D" w14:paraId="7080F249" w14:textId="77777777">
        <w:tc>
          <w:tcPr>
            <w:tcW w:w="3400" w:type="dxa"/>
            <w:tcMar>
              <w:top w:w="80" w:type="dxa"/>
              <w:left w:w="100" w:type="dxa"/>
              <w:bottom w:w="80" w:type="dxa"/>
              <w:right w:w="100" w:type="dxa"/>
            </w:tcMar>
          </w:tcPr>
          <w:p w14:paraId="0000022E" w14:textId="77777777" w:rsidR="0062357D" w:rsidRDefault="007E79DA">
            <w:r>
              <w:rPr>
                <w:sz w:val="19"/>
                <w:szCs w:val="19"/>
              </w:rPr>
              <w:t>Claude API (developer usage)</w:t>
            </w:r>
          </w:p>
        </w:tc>
        <w:tc>
          <w:tcPr>
            <w:tcW w:w="4200" w:type="dxa"/>
            <w:tcMar>
              <w:top w:w="80" w:type="dxa"/>
              <w:left w:w="100" w:type="dxa"/>
              <w:bottom w:w="80" w:type="dxa"/>
              <w:right w:w="100" w:type="dxa"/>
            </w:tcMar>
          </w:tcPr>
          <w:p w14:paraId="0000022F" w14:textId="77777777" w:rsidR="0062357D" w:rsidRDefault="007E79DA">
            <w:r>
              <w:rPr>
                <w:sz w:val="19"/>
                <w:szCs w:val="19"/>
              </w:rPr>
              <w:t>Infra SDK wrapping Messages API usage payload</w:t>
            </w:r>
          </w:p>
        </w:tc>
        <w:tc>
          <w:tcPr>
            <w:tcW w:w="2200" w:type="dxa"/>
            <w:tcMar>
              <w:top w:w="80" w:type="dxa"/>
              <w:left w:w="100" w:type="dxa"/>
              <w:bottom w:w="80" w:type="dxa"/>
              <w:right w:w="100" w:type="dxa"/>
            </w:tcMar>
          </w:tcPr>
          <w:p w14:paraId="00000230" w14:textId="77777777" w:rsidR="0062357D" w:rsidRDefault="007E79DA">
            <w:r>
              <w:rPr>
                <w:sz w:val="19"/>
                <w:szCs w:val="19"/>
              </w:rPr>
              <w:t>Measured</w:t>
            </w:r>
          </w:p>
        </w:tc>
      </w:tr>
      <w:tr w:rsidR="0062357D" w14:paraId="1DDBDACD" w14:textId="77777777">
        <w:tc>
          <w:tcPr>
            <w:tcW w:w="3400" w:type="dxa"/>
            <w:tcMar>
              <w:top w:w="80" w:type="dxa"/>
              <w:left w:w="100" w:type="dxa"/>
              <w:bottom w:w="80" w:type="dxa"/>
              <w:right w:w="100" w:type="dxa"/>
            </w:tcMar>
          </w:tcPr>
          <w:p w14:paraId="00000231" w14:textId="77777777" w:rsidR="0062357D" w:rsidRDefault="007E79DA">
            <w:proofErr w:type="spellStart"/>
            <w:r>
              <w:rPr>
                <w:sz w:val="19"/>
                <w:szCs w:val="19"/>
              </w:rPr>
              <w:t>ChatGPT</w:t>
            </w:r>
            <w:proofErr w:type="spellEnd"/>
            <w:r>
              <w:rPr>
                <w:sz w:val="19"/>
                <w:szCs w:val="19"/>
              </w:rPr>
              <w:t xml:space="preserve"> (chatgpt.com / desktop)</w:t>
            </w:r>
          </w:p>
        </w:tc>
        <w:tc>
          <w:tcPr>
            <w:tcW w:w="4200" w:type="dxa"/>
            <w:tcMar>
              <w:top w:w="80" w:type="dxa"/>
              <w:left w:w="100" w:type="dxa"/>
              <w:bottom w:w="80" w:type="dxa"/>
              <w:right w:w="100" w:type="dxa"/>
            </w:tcMar>
          </w:tcPr>
          <w:p w14:paraId="00000232" w14:textId="77777777" w:rsidR="0062357D" w:rsidRDefault="007E79DA">
            <w:r>
              <w:rPr>
                <w:sz w:val="19"/>
                <w:szCs w:val="19"/>
              </w:rPr>
              <w:t>Browser Extension (no passive plugin surface available)</w:t>
            </w:r>
          </w:p>
        </w:tc>
        <w:tc>
          <w:tcPr>
            <w:tcW w:w="2200" w:type="dxa"/>
            <w:tcMar>
              <w:top w:w="80" w:type="dxa"/>
              <w:left w:w="100" w:type="dxa"/>
              <w:bottom w:w="80" w:type="dxa"/>
              <w:right w:w="100" w:type="dxa"/>
            </w:tcMar>
          </w:tcPr>
          <w:p w14:paraId="00000233" w14:textId="77777777" w:rsidR="0062357D" w:rsidRDefault="007E79DA">
            <w:r>
              <w:rPr>
                <w:sz w:val="19"/>
                <w:szCs w:val="19"/>
              </w:rPr>
              <w:t>Estimated</w:t>
            </w:r>
          </w:p>
        </w:tc>
      </w:tr>
      <w:tr w:rsidR="0062357D" w14:paraId="16659CC1" w14:textId="77777777">
        <w:tc>
          <w:tcPr>
            <w:tcW w:w="3400" w:type="dxa"/>
            <w:tcMar>
              <w:top w:w="80" w:type="dxa"/>
              <w:left w:w="100" w:type="dxa"/>
              <w:bottom w:w="80" w:type="dxa"/>
              <w:right w:w="100" w:type="dxa"/>
            </w:tcMar>
          </w:tcPr>
          <w:p w14:paraId="00000234" w14:textId="77777777" w:rsidR="0062357D" w:rsidRDefault="007E79DA">
            <w:proofErr w:type="spellStart"/>
            <w:r>
              <w:rPr>
                <w:sz w:val="19"/>
                <w:szCs w:val="19"/>
              </w:rPr>
              <w:t>OpenAI</w:t>
            </w:r>
            <w:proofErr w:type="spellEnd"/>
            <w:r>
              <w:rPr>
                <w:sz w:val="19"/>
                <w:szCs w:val="19"/>
              </w:rPr>
              <w:t xml:space="preserve"> API (developer usage)</w:t>
            </w:r>
          </w:p>
        </w:tc>
        <w:tc>
          <w:tcPr>
            <w:tcW w:w="4200" w:type="dxa"/>
            <w:tcMar>
              <w:top w:w="80" w:type="dxa"/>
              <w:left w:w="100" w:type="dxa"/>
              <w:bottom w:w="80" w:type="dxa"/>
              <w:right w:w="100" w:type="dxa"/>
            </w:tcMar>
          </w:tcPr>
          <w:p w14:paraId="00000235" w14:textId="77777777" w:rsidR="0062357D" w:rsidRDefault="007E79DA">
            <w:r>
              <w:rPr>
                <w:sz w:val="19"/>
                <w:szCs w:val="19"/>
              </w:rPr>
              <w:t>Infra SDK wrapping API usage object</w:t>
            </w:r>
          </w:p>
        </w:tc>
        <w:tc>
          <w:tcPr>
            <w:tcW w:w="2200" w:type="dxa"/>
            <w:tcMar>
              <w:top w:w="80" w:type="dxa"/>
              <w:left w:w="100" w:type="dxa"/>
              <w:bottom w:w="80" w:type="dxa"/>
              <w:right w:w="100" w:type="dxa"/>
            </w:tcMar>
          </w:tcPr>
          <w:p w14:paraId="00000236" w14:textId="77777777" w:rsidR="0062357D" w:rsidRDefault="007E79DA">
            <w:r>
              <w:rPr>
                <w:sz w:val="19"/>
                <w:szCs w:val="19"/>
              </w:rPr>
              <w:t>Measured</w:t>
            </w:r>
          </w:p>
        </w:tc>
      </w:tr>
      <w:tr w:rsidR="0062357D" w14:paraId="533B4704" w14:textId="77777777">
        <w:tc>
          <w:tcPr>
            <w:tcW w:w="3400" w:type="dxa"/>
            <w:tcMar>
              <w:top w:w="80" w:type="dxa"/>
              <w:left w:w="100" w:type="dxa"/>
              <w:bottom w:w="80" w:type="dxa"/>
              <w:right w:w="100" w:type="dxa"/>
            </w:tcMar>
          </w:tcPr>
          <w:p w14:paraId="00000237" w14:textId="77777777" w:rsidR="0062357D" w:rsidRDefault="007E79DA">
            <w:r>
              <w:rPr>
                <w:sz w:val="19"/>
                <w:szCs w:val="19"/>
              </w:rPr>
              <w:t>Gemini (consumer web/mobile app)</w:t>
            </w:r>
          </w:p>
        </w:tc>
        <w:tc>
          <w:tcPr>
            <w:tcW w:w="4200" w:type="dxa"/>
            <w:tcMar>
              <w:top w:w="80" w:type="dxa"/>
              <w:left w:w="100" w:type="dxa"/>
              <w:bottom w:w="80" w:type="dxa"/>
              <w:right w:w="100" w:type="dxa"/>
            </w:tcMar>
          </w:tcPr>
          <w:p w14:paraId="00000238" w14:textId="77777777" w:rsidR="0062357D" w:rsidRDefault="007E79DA">
            <w:r>
              <w:rPr>
                <w:sz w:val="19"/>
                <w:szCs w:val="19"/>
              </w:rPr>
              <w:t>Browser Extension (no third-party Gem/Connected-App surface)</w:t>
            </w:r>
          </w:p>
        </w:tc>
        <w:tc>
          <w:tcPr>
            <w:tcW w:w="2200" w:type="dxa"/>
            <w:tcMar>
              <w:top w:w="80" w:type="dxa"/>
              <w:left w:w="100" w:type="dxa"/>
              <w:bottom w:w="80" w:type="dxa"/>
              <w:right w:w="100" w:type="dxa"/>
            </w:tcMar>
          </w:tcPr>
          <w:p w14:paraId="00000239" w14:textId="77777777" w:rsidR="0062357D" w:rsidRDefault="007E79DA">
            <w:r>
              <w:rPr>
                <w:sz w:val="19"/>
                <w:szCs w:val="19"/>
              </w:rPr>
              <w:t>Estimated</w:t>
            </w:r>
          </w:p>
        </w:tc>
      </w:tr>
      <w:tr w:rsidR="0062357D" w14:paraId="2420596B" w14:textId="77777777">
        <w:tc>
          <w:tcPr>
            <w:tcW w:w="3400" w:type="dxa"/>
            <w:tcMar>
              <w:top w:w="80" w:type="dxa"/>
              <w:left w:w="100" w:type="dxa"/>
              <w:bottom w:w="80" w:type="dxa"/>
              <w:right w:w="100" w:type="dxa"/>
            </w:tcMar>
          </w:tcPr>
          <w:p w14:paraId="0000023A" w14:textId="77777777" w:rsidR="0062357D" w:rsidRDefault="007E79DA">
            <w:r>
              <w:rPr>
                <w:sz w:val="19"/>
                <w:szCs w:val="19"/>
              </w:rPr>
              <w:t>Gemini API / Vertex AI (developer usage)</w:t>
            </w:r>
          </w:p>
        </w:tc>
        <w:tc>
          <w:tcPr>
            <w:tcW w:w="4200" w:type="dxa"/>
            <w:tcMar>
              <w:top w:w="80" w:type="dxa"/>
              <w:left w:w="100" w:type="dxa"/>
              <w:bottom w:w="80" w:type="dxa"/>
              <w:right w:w="100" w:type="dxa"/>
            </w:tcMar>
          </w:tcPr>
          <w:p w14:paraId="0000023B" w14:textId="77777777" w:rsidR="0062357D" w:rsidRDefault="007E79DA">
            <w:r>
              <w:rPr>
                <w:sz w:val="19"/>
                <w:szCs w:val="19"/>
              </w:rPr>
              <w:t xml:space="preserve">Infra SDK reading </w:t>
            </w:r>
            <w:proofErr w:type="spellStart"/>
            <w:r>
              <w:rPr>
                <w:sz w:val="19"/>
                <w:szCs w:val="19"/>
              </w:rPr>
              <w:t>usageMetadata</w:t>
            </w:r>
            <w:proofErr w:type="spellEnd"/>
          </w:p>
        </w:tc>
        <w:tc>
          <w:tcPr>
            <w:tcW w:w="2200" w:type="dxa"/>
            <w:tcMar>
              <w:top w:w="80" w:type="dxa"/>
              <w:left w:w="100" w:type="dxa"/>
              <w:bottom w:w="80" w:type="dxa"/>
              <w:right w:w="100" w:type="dxa"/>
            </w:tcMar>
          </w:tcPr>
          <w:p w14:paraId="0000023C" w14:textId="77777777" w:rsidR="0062357D" w:rsidRDefault="007E79DA">
            <w:r>
              <w:rPr>
                <w:sz w:val="19"/>
                <w:szCs w:val="19"/>
              </w:rPr>
              <w:t>Measured</w:t>
            </w:r>
          </w:p>
        </w:tc>
      </w:tr>
      <w:tr w:rsidR="0062357D" w14:paraId="0813261B" w14:textId="77777777">
        <w:tc>
          <w:tcPr>
            <w:tcW w:w="3400" w:type="dxa"/>
            <w:tcMar>
              <w:top w:w="80" w:type="dxa"/>
              <w:left w:w="100" w:type="dxa"/>
              <w:bottom w:w="80" w:type="dxa"/>
              <w:right w:w="100" w:type="dxa"/>
            </w:tcMar>
          </w:tcPr>
          <w:p w14:paraId="0000023D" w14:textId="77777777" w:rsidR="0062357D" w:rsidRDefault="007E79DA">
            <w:r>
              <w:rPr>
                <w:sz w:val="19"/>
                <w:szCs w:val="19"/>
              </w:rPr>
              <w:t>Gemini CLI (developer tooling)</w:t>
            </w:r>
          </w:p>
        </w:tc>
        <w:tc>
          <w:tcPr>
            <w:tcW w:w="4200" w:type="dxa"/>
            <w:tcMar>
              <w:top w:w="80" w:type="dxa"/>
              <w:left w:w="100" w:type="dxa"/>
              <w:bottom w:w="80" w:type="dxa"/>
              <w:right w:w="100" w:type="dxa"/>
            </w:tcMar>
          </w:tcPr>
          <w:p w14:paraId="0000023E" w14:textId="77777777" w:rsidR="0062357D" w:rsidRDefault="007E79DA">
            <w:r>
              <w:rPr>
                <w:sz w:val="19"/>
                <w:szCs w:val="19"/>
              </w:rPr>
              <w:t>Native Gemini CLI Extension</w:t>
            </w:r>
          </w:p>
        </w:tc>
        <w:tc>
          <w:tcPr>
            <w:tcW w:w="2200" w:type="dxa"/>
            <w:tcMar>
              <w:top w:w="80" w:type="dxa"/>
              <w:left w:w="100" w:type="dxa"/>
              <w:bottom w:w="80" w:type="dxa"/>
              <w:right w:w="100" w:type="dxa"/>
            </w:tcMar>
          </w:tcPr>
          <w:p w14:paraId="0000023F" w14:textId="77777777" w:rsidR="0062357D" w:rsidRDefault="007E79DA">
            <w:r>
              <w:rPr>
                <w:sz w:val="19"/>
                <w:szCs w:val="19"/>
              </w:rPr>
              <w:t>Measured</w:t>
            </w:r>
          </w:p>
        </w:tc>
      </w:tr>
      <w:tr w:rsidR="0062357D" w14:paraId="61A9912E" w14:textId="77777777">
        <w:tc>
          <w:tcPr>
            <w:tcW w:w="3400" w:type="dxa"/>
            <w:tcMar>
              <w:top w:w="80" w:type="dxa"/>
              <w:left w:w="100" w:type="dxa"/>
              <w:bottom w:w="80" w:type="dxa"/>
              <w:right w:w="100" w:type="dxa"/>
            </w:tcMar>
          </w:tcPr>
          <w:p w14:paraId="00000240" w14:textId="77777777" w:rsidR="0062357D" w:rsidRDefault="007E79DA">
            <w:r>
              <w:rPr>
                <w:sz w:val="19"/>
                <w:szCs w:val="19"/>
              </w:rPr>
              <w:t>Chrome / Edge</w:t>
            </w:r>
          </w:p>
        </w:tc>
        <w:tc>
          <w:tcPr>
            <w:tcW w:w="4200" w:type="dxa"/>
            <w:tcMar>
              <w:top w:w="80" w:type="dxa"/>
              <w:left w:w="100" w:type="dxa"/>
              <w:bottom w:w="80" w:type="dxa"/>
              <w:right w:w="100" w:type="dxa"/>
            </w:tcMar>
          </w:tcPr>
          <w:p w14:paraId="00000241" w14:textId="77777777" w:rsidR="0062357D" w:rsidRDefault="007E79DA">
            <w:r>
              <w:rPr>
                <w:sz w:val="19"/>
                <w:szCs w:val="19"/>
              </w:rPr>
              <w:t>Manifest V3 extension, shared build</w:t>
            </w:r>
          </w:p>
        </w:tc>
        <w:tc>
          <w:tcPr>
            <w:tcW w:w="2200" w:type="dxa"/>
            <w:tcMar>
              <w:top w:w="80" w:type="dxa"/>
              <w:left w:w="100" w:type="dxa"/>
              <w:bottom w:w="80" w:type="dxa"/>
              <w:right w:w="100" w:type="dxa"/>
            </w:tcMar>
          </w:tcPr>
          <w:p w14:paraId="00000242" w14:textId="77777777" w:rsidR="0062357D" w:rsidRDefault="007E79DA">
            <w:r>
              <w:rPr>
                <w:sz w:val="19"/>
                <w:szCs w:val="19"/>
              </w:rPr>
              <w:t>Modeled / Estimated</w:t>
            </w:r>
          </w:p>
        </w:tc>
      </w:tr>
      <w:tr w:rsidR="0062357D" w14:paraId="41337477" w14:textId="77777777">
        <w:tc>
          <w:tcPr>
            <w:tcW w:w="3400" w:type="dxa"/>
            <w:tcMar>
              <w:top w:w="80" w:type="dxa"/>
              <w:left w:w="100" w:type="dxa"/>
              <w:bottom w:w="80" w:type="dxa"/>
              <w:right w:w="100" w:type="dxa"/>
            </w:tcMar>
          </w:tcPr>
          <w:p w14:paraId="00000243" w14:textId="77777777" w:rsidR="0062357D" w:rsidRDefault="007E79DA">
            <w:r>
              <w:rPr>
                <w:sz w:val="19"/>
                <w:szCs w:val="19"/>
              </w:rPr>
              <w:t>Firefox</w:t>
            </w:r>
          </w:p>
        </w:tc>
        <w:tc>
          <w:tcPr>
            <w:tcW w:w="4200" w:type="dxa"/>
            <w:tcMar>
              <w:top w:w="80" w:type="dxa"/>
              <w:left w:w="100" w:type="dxa"/>
              <w:bottom w:w="80" w:type="dxa"/>
              <w:right w:w="100" w:type="dxa"/>
            </w:tcMar>
          </w:tcPr>
          <w:p w14:paraId="00000244" w14:textId="77777777" w:rsidR="0062357D" w:rsidRDefault="007E79DA">
            <w:r>
              <w:rPr>
                <w:sz w:val="19"/>
                <w:szCs w:val="19"/>
              </w:rPr>
              <w:t>Manifest V3 extension, separate background-script target</w:t>
            </w:r>
          </w:p>
        </w:tc>
        <w:tc>
          <w:tcPr>
            <w:tcW w:w="2200" w:type="dxa"/>
            <w:tcMar>
              <w:top w:w="80" w:type="dxa"/>
              <w:left w:w="100" w:type="dxa"/>
              <w:bottom w:w="80" w:type="dxa"/>
              <w:right w:w="100" w:type="dxa"/>
            </w:tcMar>
          </w:tcPr>
          <w:p w14:paraId="00000245" w14:textId="77777777" w:rsidR="0062357D" w:rsidRDefault="007E79DA">
            <w:r>
              <w:rPr>
                <w:sz w:val="19"/>
                <w:szCs w:val="19"/>
              </w:rPr>
              <w:t>Modeled / Estimated</w:t>
            </w:r>
          </w:p>
        </w:tc>
      </w:tr>
      <w:tr w:rsidR="0062357D" w14:paraId="6E07E281" w14:textId="77777777">
        <w:tc>
          <w:tcPr>
            <w:tcW w:w="3400" w:type="dxa"/>
            <w:tcMar>
              <w:top w:w="80" w:type="dxa"/>
              <w:left w:w="100" w:type="dxa"/>
              <w:bottom w:w="80" w:type="dxa"/>
              <w:right w:w="100" w:type="dxa"/>
            </w:tcMar>
          </w:tcPr>
          <w:p w14:paraId="00000246" w14:textId="77777777" w:rsidR="0062357D" w:rsidRDefault="007E79DA">
            <w:r>
              <w:rPr>
                <w:sz w:val="19"/>
                <w:szCs w:val="19"/>
              </w:rPr>
              <w:t>Safari (</w:t>
            </w:r>
            <w:proofErr w:type="spellStart"/>
            <w:r>
              <w:rPr>
                <w:sz w:val="19"/>
                <w:szCs w:val="19"/>
              </w:rPr>
              <w:t>macOS</w:t>
            </w:r>
            <w:proofErr w:type="spellEnd"/>
            <w:r>
              <w:rPr>
                <w:sz w:val="19"/>
                <w:szCs w:val="19"/>
              </w:rPr>
              <w:t xml:space="preserve"> / iOS)</w:t>
            </w:r>
          </w:p>
        </w:tc>
        <w:tc>
          <w:tcPr>
            <w:tcW w:w="4200" w:type="dxa"/>
            <w:tcMar>
              <w:top w:w="80" w:type="dxa"/>
              <w:left w:w="100" w:type="dxa"/>
              <w:bottom w:w="80" w:type="dxa"/>
              <w:right w:w="100" w:type="dxa"/>
            </w:tcMar>
          </w:tcPr>
          <w:p w14:paraId="00000247" w14:textId="77777777" w:rsidR="0062357D" w:rsidRDefault="007E79DA">
            <w:r>
              <w:rPr>
                <w:sz w:val="19"/>
                <w:szCs w:val="19"/>
              </w:rPr>
              <w:t>Safari Web Extension (converted, App Store distributed)</w:t>
            </w:r>
          </w:p>
        </w:tc>
        <w:tc>
          <w:tcPr>
            <w:tcW w:w="2200" w:type="dxa"/>
            <w:tcMar>
              <w:top w:w="80" w:type="dxa"/>
              <w:left w:w="100" w:type="dxa"/>
              <w:bottom w:w="80" w:type="dxa"/>
              <w:right w:w="100" w:type="dxa"/>
            </w:tcMar>
          </w:tcPr>
          <w:p w14:paraId="00000248" w14:textId="77777777" w:rsidR="0062357D" w:rsidRDefault="007E79DA">
            <w:r>
              <w:rPr>
                <w:sz w:val="19"/>
                <w:szCs w:val="19"/>
              </w:rPr>
              <w:t>Modeled / Estimated</w:t>
            </w:r>
          </w:p>
        </w:tc>
      </w:tr>
      <w:tr w:rsidR="0062357D" w14:paraId="3F895092" w14:textId="77777777">
        <w:tc>
          <w:tcPr>
            <w:tcW w:w="3400" w:type="dxa"/>
            <w:tcMar>
              <w:top w:w="80" w:type="dxa"/>
              <w:left w:w="100" w:type="dxa"/>
              <w:bottom w:w="80" w:type="dxa"/>
              <w:right w:w="100" w:type="dxa"/>
            </w:tcMar>
          </w:tcPr>
          <w:p w14:paraId="00000249" w14:textId="77777777" w:rsidR="0062357D" w:rsidRDefault="007E79DA">
            <w:r>
              <w:rPr>
                <w:sz w:val="19"/>
                <w:szCs w:val="19"/>
              </w:rPr>
              <w:t>Databases (managed)</w:t>
            </w:r>
          </w:p>
        </w:tc>
        <w:tc>
          <w:tcPr>
            <w:tcW w:w="4200" w:type="dxa"/>
            <w:tcMar>
              <w:top w:w="80" w:type="dxa"/>
              <w:left w:w="100" w:type="dxa"/>
              <w:bottom w:w="80" w:type="dxa"/>
              <w:right w:w="100" w:type="dxa"/>
            </w:tcMar>
          </w:tcPr>
          <w:p w14:paraId="0000024A" w14:textId="77777777" w:rsidR="0062357D" w:rsidRDefault="007E79DA">
            <w:r>
              <w:rPr>
                <w:sz w:val="19"/>
                <w:szCs w:val="19"/>
              </w:rPr>
              <w:t>Driver wrapper + provider billing API</w:t>
            </w:r>
          </w:p>
        </w:tc>
        <w:tc>
          <w:tcPr>
            <w:tcW w:w="2200" w:type="dxa"/>
            <w:tcMar>
              <w:top w:w="80" w:type="dxa"/>
              <w:left w:w="100" w:type="dxa"/>
              <w:bottom w:w="80" w:type="dxa"/>
              <w:right w:w="100" w:type="dxa"/>
            </w:tcMar>
          </w:tcPr>
          <w:p w14:paraId="0000024B" w14:textId="77777777" w:rsidR="0062357D" w:rsidRDefault="007E79DA">
            <w:r>
              <w:rPr>
                <w:sz w:val="19"/>
                <w:szCs w:val="19"/>
              </w:rPr>
              <w:t>Modeled, cost Measured</w:t>
            </w:r>
          </w:p>
        </w:tc>
      </w:tr>
      <w:tr w:rsidR="0062357D" w14:paraId="11E4C57D" w14:textId="77777777">
        <w:tc>
          <w:tcPr>
            <w:tcW w:w="3400" w:type="dxa"/>
            <w:tcMar>
              <w:top w:w="80" w:type="dxa"/>
              <w:left w:w="100" w:type="dxa"/>
              <w:bottom w:w="80" w:type="dxa"/>
              <w:right w:w="100" w:type="dxa"/>
            </w:tcMar>
          </w:tcPr>
          <w:p w14:paraId="0000024C" w14:textId="77777777" w:rsidR="0062357D" w:rsidRDefault="007E79DA">
            <w:r>
              <w:rPr>
                <w:sz w:val="19"/>
                <w:szCs w:val="19"/>
              </w:rPr>
              <w:t>Databases (self-hosted)</w:t>
            </w:r>
          </w:p>
        </w:tc>
        <w:tc>
          <w:tcPr>
            <w:tcW w:w="4200" w:type="dxa"/>
            <w:tcMar>
              <w:top w:w="80" w:type="dxa"/>
              <w:left w:w="100" w:type="dxa"/>
              <w:bottom w:w="80" w:type="dxa"/>
              <w:right w:w="100" w:type="dxa"/>
            </w:tcMar>
          </w:tcPr>
          <w:p w14:paraId="0000024D" w14:textId="77777777" w:rsidR="0062357D" w:rsidRDefault="007E79DA">
            <w:r>
              <w:rPr>
                <w:sz w:val="19"/>
                <w:szCs w:val="19"/>
              </w:rPr>
              <w:t>Driver wrapper only</w:t>
            </w:r>
          </w:p>
        </w:tc>
        <w:tc>
          <w:tcPr>
            <w:tcW w:w="2200" w:type="dxa"/>
            <w:tcMar>
              <w:top w:w="80" w:type="dxa"/>
              <w:left w:w="100" w:type="dxa"/>
              <w:bottom w:w="80" w:type="dxa"/>
              <w:right w:w="100" w:type="dxa"/>
            </w:tcMar>
          </w:tcPr>
          <w:p w14:paraId="0000024E" w14:textId="77777777" w:rsidR="0062357D" w:rsidRDefault="007E79DA">
            <w:r>
              <w:rPr>
                <w:sz w:val="19"/>
                <w:szCs w:val="19"/>
              </w:rPr>
              <w:t>Modeled</w:t>
            </w:r>
          </w:p>
        </w:tc>
      </w:tr>
      <w:tr w:rsidR="0062357D" w14:paraId="1078F4BA" w14:textId="77777777">
        <w:tc>
          <w:tcPr>
            <w:tcW w:w="3400" w:type="dxa"/>
            <w:tcMar>
              <w:top w:w="80" w:type="dxa"/>
              <w:left w:w="100" w:type="dxa"/>
              <w:bottom w:w="80" w:type="dxa"/>
              <w:right w:w="100" w:type="dxa"/>
            </w:tcMar>
          </w:tcPr>
          <w:p w14:paraId="0000024F" w14:textId="77777777" w:rsidR="0062357D" w:rsidRDefault="007E79DA">
            <w:r>
              <w:rPr>
                <w:sz w:val="19"/>
                <w:szCs w:val="19"/>
              </w:rPr>
              <w:t>AWS</w:t>
            </w:r>
          </w:p>
        </w:tc>
        <w:tc>
          <w:tcPr>
            <w:tcW w:w="4200" w:type="dxa"/>
            <w:tcMar>
              <w:top w:w="80" w:type="dxa"/>
              <w:left w:w="100" w:type="dxa"/>
              <w:bottom w:w="80" w:type="dxa"/>
              <w:right w:w="100" w:type="dxa"/>
            </w:tcMar>
          </w:tcPr>
          <w:p w14:paraId="00000250" w14:textId="77777777" w:rsidR="0062357D" w:rsidRDefault="007E79DA">
            <w:r>
              <w:rPr>
                <w:sz w:val="19"/>
                <w:szCs w:val="19"/>
              </w:rPr>
              <w:t>Cost Explorer API + AWS Sustainability service / Carbon Emissions Data Export</w:t>
            </w:r>
          </w:p>
        </w:tc>
        <w:tc>
          <w:tcPr>
            <w:tcW w:w="2200" w:type="dxa"/>
            <w:tcMar>
              <w:top w:w="80" w:type="dxa"/>
              <w:left w:w="100" w:type="dxa"/>
              <w:bottom w:w="80" w:type="dxa"/>
              <w:right w:w="100" w:type="dxa"/>
            </w:tcMar>
          </w:tcPr>
          <w:p w14:paraId="00000251" w14:textId="77777777" w:rsidR="0062357D" w:rsidRDefault="007E79DA">
            <w:r>
              <w:rPr>
                <w:sz w:val="19"/>
                <w:szCs w:val="19"/>
              </w:rPr>
              <w:t>Cost Measured, carbon Measured (monthly)</w:t>
            </w:r>
          </w:p>
        </w:tc>
      </w:tr>
      <w:tr w:rsidR="0062357D" w14:paraId="0B512C69" w14:textId="77777777">
        <w:tc>
          <w:tcPr>
            <w:tcW w:w="3400" w:type="dxa"/>
            <w:tcMar>
              <w:top w:w="80" w:type="dxa"/>
              <w:left w:w="100" w:type="dxa"/>
              <w:bottom w:w="80" w:type="dxa"/>
              <w:right w:w="100" w:type="dxa"/>
            </w:tcMar>
          </w:tcPr>
          <w:p w14:paraId="00000252" w14:textId="77777777" w:rsidR="0062357D" w:rsidRDefault="007E79DA">
            <w:r>
              <w:rPr>
                <w:sz w:val="19"/>
                <w:szCs w:val="19"/>
              </w:rPr>
              <w:t>Azure</w:t>
            </w:r>
          </w:p>
        </w:tc>
        <w:tc>
          <w:tcPr>
            <w:tcW w:w="4200" w:type="dxa"/>
            <w:tcMar>
              <w:top w:w="80" w:type="dxa"/>
              <w:left w:w="100" w:type="dxa"/>
              <w:bottom w:w="80" w:type="dxa"/>
              <w:right w:w="100" w:type="dxa"/>
            </w:tcMar>
          </w:tcPr>
          <w:p w14:paraId="00000253" w14:textId="77777777" w:rsidR="0062357D" w:rsidRDefault="007E79DA">
            <w:r>
              <w:rPr>
                <w:sz w:val="19"/>
                <w:szCs w:val="19"/>
              </w:rPr>
              <w:t>Cost Management API + Emissions Impact Dashboard</w:t>
            </w:r>
          </w:p>
        </w:tc>
        <w:tc>
          <w:tcPr>
            <w:tcW w:w="2200" w:type="dxa"/>
            <w:tcMar>
              <w:top w:w="80" w:type="dxa"/>
              <w:left w:w="100" w:type="dxa"/>
              <w:bottom w:w="80" w:type="dxa"/>
              <w:right w:w="100" w:type="dxa"/>
            </w:tcMar>
          </w:tcPr>
          <w:p w14:paraId="00000254" w14:textId="77777777" w:rsidR="0062357D" w:rsidRDefault="007E79DA">
            <w:r>
              <w:rPr>
                <w:sz w:val="19"/>
                <w:szCs w:val="19"/>
              </w:rPr>
              <w:t>Cost Measured, carbon Measured (monthly)</w:t>
            </w:r>
          </w:p>
        </w:tc>
      </w:tr>
      <w:tr w:rsidR="0062357D" w14:paraId="44216B65" w14:textId="77777777">
        <w:tc>
          <w:tcPr>
            <w:tcW w:w="3400" w:type="dxa"/>
            <w:tcMar>
              <w:top w:w="80" w:type="dxa"/>
              <w:left w:w="100" w:type="dxa"/>
              <w:bottom w:w="80" w:type="dxa"/>
              <w:right w:w="100" w:type="dxa"/>
            </w:tcMar>
          </w:tcPr>
          <w:p w14:paraId="00000255" w14:textId="77777777" w:rsidR="0062357D" w:rsidRDefault="007E79DA">
            <w:r>
              <w:rPr>
                <w:sz w:val="19"/>
                <w:szCs w:val="19"/>
              </w:rPr>
              <w:t>Google Cloud</w:t>
            </w:r>
          </w:p>
        </w:tc>
        <w:tc>
          <w:tcPr>
            <w:tcW w:w="4200" w:type="dxa"/>
            <w:tcMar>
              <w:top w:w="80" w:type="dxa"/>
              <w:left w:w="100" w:type="dxa"/>
              <w:bottom w:w="80" w:type="dxa"/>
              <w:right w:w="100" w:type="dxa"/>
            </w:tcMar>
          </w:tcPr>
          <w:p w14:paraId="00000256" w14:textId="77777777" w:rsidR="0062357D" w:rsidRDefault="007E79DA">
            <w:r>
              <w:rPr>
                <w:sz w:val="19"/>
                <w:szCs w:val="19"/>
              </w:rPr>
              <w:t>Cloud Billing API + Carbon Footprint export (</w:t>
            </w:r>
            <w:proofErr w:type="spellStart"/>
            <w:r>
              <w:rPr>
                <w:sz w:val="19"/>
                <w:szCs w:val="19"/>
              </w:rPr>
              <w:t>BigQuery</w:t>
            </w:r>
            <w:proofErr w:type="spellEnd"/>
            <w:r>
              <w:rPr>
                <w:sz w:val="19"/>
                <w:szCs w:val="19"/>
              </w:rPr>
              <w:t>)</w:t>
            </w:r>
          </w:p>
        </w:tc>
        <w:tc>
          <w:tcPr>
            <w:tcW w:w="2200" w:type="dxa"/>
            <w:tcMar>
              <w:top w:w="80" w:type="dxa"/>
              <w:left w:w="100" w:type="dxa"/>
              <w:bottom w:w="80" w:type="dxa"/>
              <w:right w:w="100" w:type="dxa"/>
            </w:tcMar>
          </w:tcPr>
          <w:p w14:paraId="00000257" w14:textId="77777777" w:rsidR="0062357D" w:rsidRDefault="007E79DA">
            <w:r>
              <w:rPr>
                <w:sz w:val="19"/>
                <w:szCs w:val="19"/>
              </w:rPr>
              <w:t>Cost Measured, carbon Measured (monthly)</w:t>
            </w:r>
          </w:p>
        </w:tc>
      </w:tr>
    </w:tbl>
    <w:p w14:paraId="00000258" w14:textId="77777777" w:rsidR="0062357D" w:rsidRDefault="0062357D">
      <w:pPr>
        <w:spacing w:after="140"/>
      </w:pPr>
    </w:p>
    <w:p w14:paraId="00000259" w14:textId="77777777" w:rsidR="0062357D" w:rsidRDefault="007E79DA">
      <w:pPr>
        <w:pStyle w:val="Heading2"/>
        <w:spacing w:before="280" w:after="120"/>
      </w:pPr>
      <w:r>
        <w:rPr>
          <w:b/>
          <w:bCs/>
          <w:color w:val="1E7A4C"/>
          <w:sz w:val="24"/>
          <w:szCs w:val="24"/>
        </w:rPr>
        <w:t>12.2 Claude (Anthropic)</w:t>
      </w:r>
    </w:p>
    <w:p w14:paraId="0000025A" w14:textId="77777777" w:rsidR="0062357D" w:rsidRDefault="007E79DA">
      <w:pPr>
        <w:numPr>
          <w:ilvl w:val="0"/>
          <w:numId w:val="1"/>
        </w:numPr>
        <w:pBdr>
          <w:top w:val="nil"/>
          <w:left w:val="nil"/>
          <w:bottom w:val="nil"/>
          <w:right w:val="nil"/>
          <w:between w:val="nil"/>
        </w:pBdr>
        <w:spacing w:after="60"/>
      </w:pPr>
      <w:sdt>
        <w:sdtPr>
          <w:tag w:val="goog_rdk_14"/>
          <w:id w:val="-474707922"/>
        </w:sdtPr>
        <w:sdtEndPr/>
        <w:sdtContent>
          <w:r>
            <w:rPr>
              <w:rFonts w:ascii="Cardo" w:eastAsia="Cardo" w:hAnsi="Cardo" w:cs="Cardo"/>
              <w:color w:val="000000"/>
              <w:sz w:val="21"/>
              <w:szCs w:val="21"/>
            </w:rPr>
            <w:t xml:space="preserve">Primary path: a Stardust-hosted Remote MCP server exposing read-only reporting tools (e.g., a usage-summary tool), added by the user via Settings → Connectors on </w:t>
          </w:r>
          <w:proofErr w:type="spellStart"/>
          <w:r>
            <w:rPr>
              <w:rFonts w:ascii="Cardo" w:eastAsia="Cardo" w:hAnsi="Cardo" w:cs="Cardo"/>
              <w:color w:val="000000"/>
              <w:sz w:val="21"/>
              <w:szCs w:val="21"/>
            </w:rPr>
            <w:t>claude.ai</w:t>
          </w:r>
          <w:proofErr w:type="spellEnd"/>
          <w:r>
            <w:rPr>
              <w:rFonts w:ascii="Cardo" w:eastAsia="Cardo" w:hAnsi="Cardo" w:cs="Cardo"/>
              <w:color w:val="000000"/>
              <w:sz w:val="21"/>
              <w:szCs w:val="21"/>
            </w:rPr>
            <w:t xml:space="preserve"> or Claude Desktop, or provisioned org-wide by IT admins through enterprise-managed auth. Requires a paid Claude plan, consistent with </w:t>
          </w:r>
          <w:proofErr w:type="spellStart"/>
          <w:r>
            <w:rPr>
              <w:rFonts w:ascii="Cardo" w:eastAsia="Cardo" w:hAnsi="Cardo" w:cs="Cardo"/>
              <w:color w:val="000000"/>
              <w:sz w:val="21"/>
              <w:szCs w:val="21"/>
            </w:rPr>
            <w:t>Anthropic's</w:t>
          </w:r>
          <w:proofErr w:type="spellEnd"/>
          <w:r>
            <w:rPr>
              <w:rFonts w:ascii="Cardo" w:eastAsia="Cardo" w:hAnsi="Cardo" w:cs="Cardo"/>
              <w:color w:val="000000"/>
              <w:sz w:val="21"/>
              <w:szCs w:val="21"/>
            </w:rPr>
            <w:t xml:space="preserve"> current connector plan requirements.</w:t>
          </w:r>
        </w:sdtContent>
      </w:sdt>
    </w:p>
    <w:p w14:paraId="0000025B" w14:textId="77777777" w:rsidR="0062357D" w:rsidRDefault="007E79DA">
      <w:pPr>
        <w:numPr>
          <w:ilvl w:val="0"/>
          <w:numId w:val="1"/>
        </w:numPr>
        <w:pBdr>
          <w:top w:val="nil"/>
          <w:left w:val="nil"/>
          <w:bottom w:val="nil"/>
          <w:right w:val="nil"/>
          <w:between w:val="nil"/>
        </w:pBdr>
        <w:spacing w:after="60"/>
      </w:pPr>
      <w:r>
        <w:rPr>
          <w:color w:val="000000"/>
          <w:sz w:val="21"/>
          <w:szCs w:val="21"/>
        </w:rPr>
        <w:t>Because MCP connectors are invoked as tools rather than passively observing every conversation turn, they are not a live per-message metering feed. The direct, Measured-tier source for Claude usage is the Claude API's per-response usage payload (input/output token counts), captured at the Infra Agent/SDK layer for anyone calling Claude via API key — this is the accurate path for developer/programmatic usage.</w:t>
      </w:r>
    </w:p>
    <w:p w14:paraId="0000025C"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For </w:t>
      </w:r>
      <w:proofErr w:type="spellStart"/>
      <w:r>
        <w:rPr>
          <w:color w:val="000000"/>
          <w:sz w:val="21"/>
          <w:szCs w:val="21"/>
        </w:rPr>
        <w:t>claude.ai's</w:t>
      </w:r>
      <w:proofErr w:type="spellEnd"/>
      <w:r>
        <w:rPr>
          <w:color w:val="000000"/>
          <w:sz w:val="21"/>
          <w:szCs w:val="21"/>
        </w:rPr>
        <w:t xml:space="preserve"> own web/desktop chat UI (non-API usage), no first-party feed currently exposes per-turn token counts to a third party; Stardust falls back to the Browser Extension layer reading Claude's own rendered usage indicators where visible, tagged Estimated unless a richer signal becomes available.</w:t>
      </w:r>
    </w:p>
    <w:p w14:paraId="0000025D"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 connector configured once for </w:t>
      </w:r>
      <w:proofErr w:type="spellStart"/>
      <w:r>
        <w:rPr>
          <w:color w:val="000000"/>
          <w:sz w:val="21"/>
          <w:szCs w:val="21"/>
        </w:rPr>
        <w:t>claude.ai</w:t>
      </w:r>
      <w:proofErr w:type="spellEnd"/>
      <w:r>
        <w:rPr>
          <w:color w:val="000000"/>
          <w:sz w:val="21"/>
          <w:szCs w:val="21"/>
        </w:rPr>
        <w:t xml:space="preserve"> automatically extends to Claude Desktop, Claude Code, and </w:t>
      </w:r>
      <w:proofErr w:type="spellStart"/>
      <w:r>
        <w:rPr>
          <w:color w:val="000000"/>
          <w:sz w:val="21"/>
          <w:szCs w:val="21"/>
        </w:rPr>
        <w:t>Cowork</w:t>
      </w:r>
      <w:proofErr w:type="spellEnd"/>
      <w:r>
        <w:rPr>
          <w:color w:val="000000"/>
          <w:sz w:val="21"/>
          <w:szCs w:val="21"/>
        </w:rPr>
        <w:t>, so a single Stardust connector setup covers all four surfaces.</w:t>
      </w:r>
    </w:p>
    <w:p w14:paraId="0000025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Design constraint: keep the MCP server's tool surface narrow and read-only (reporting only) to match least-privilege OAuth expectations and to pass </w:t>
      </w:r>
      <w:proofErr w:type="spellStart"/>
      <w:r>
        <w:rPr>
          <w:color w:val="000000"/>
          <w:sz w:val="21"/>
          <w:szCs w:val="21"/>
        </w:rPr>
        <w:t>Anthropic's</w:t>
      </w:r>
      <w:proofErr w:type="spellEnd"/>
      <w:r>
        <w:rPr>
          <w:color w:val="000000"/>
          <w:sz w:val="21"/>
          <w:szCs w:val="21"/>
        </w:rPr>
        <w:t xml:space="preserve"> connector-directory review if submitted for public listing.</w:t>
      </w:r>
    </w:p>
    <w:p w14:paraId="0000025F" w14:textId="77777777" w:rsidR="0062357D" w:rsidRDefault="007E79DA">
      <w:pPr>
        <w:pStyle w:val="Heading2"/>
        <w:spacing w:before="280" w:after="120"/>
      </w:pPr>
      <w:r>
        <w:rPr>
          <w:b/>
          <w:bCs/>
          <w:color w:val="1E7A4C"/>
          <w:sz w:val="24"/>
          <w:szCs w:val="24"/>
        </w:rPr>
        <w:t xml:space="preserve">12.3 </w:t>
      </w:r>
      <w:proofErr w:type="spellStart"/>
      <w:r>
        <w:rPr>
          <w:b/>
          <w:bCs/>
          <w:color w:val="1E7A4C"/>
          <w:sz w:val="24"/>
          <w:szCs w:val="24"/>
        </w:rPr>
        <w:t>ChatGPT</w:t>
      </w:r>
      <w:proofErr w:type="spellEnd"/>
      <w:r>
        <w:rPr>
          <w:b/>
          <w:bCs/>
          <w:color w:val="1E7A4C"/>
          <w:sz w:val="24"/>
          <w:szCs w:val="24"/>
        </w:rPr>
        <w:t xml:space="preserve"> (</w:t>
      </w:r>
      <w:proofErr w:type="spellStart"/>
      <w:r>
        <w:rPr>
          <w:b/>
          <w:bCs/>
          <w:color w:val="1E7A4C"/>
          <w:sz w:val="24"/>
          <w:szCs w:val="24"/>
        </w:rPr>
        <w:t>OpenAI</w:t>
      </w:r>
      <w:proofErr w:type="spellEnd"/>
      <w:r>
        <w:rPr>
          <w:b/>
          <w:bCs/>
          <w:color w:val="1E7A4C"/>
          <w:sz w:val="24"/>
          <w:szCs w:val="24"/>
        </w:rPr>
        <w:t>)</w:t>
      </w:r>
    </w:p>
    <w:p w14:paraId="00000260" w14:textId="77777777" w:rsidR="0062357D" w:rsidRDefault="007E79DA">
      <w:pPr>
        <w:numPr>
          <w:ilvl w:val="0"/>
          <w:numId w:val="1"/>
        </w:numPr>
        <w:pBdr>
          <w:top w:val="nil"/>
          <w:left w:val="nil"/>
          <w:bottom w:val="nil"/>
          <w:right w:val="nil"/>
          <w:between w:val="nil"/>
        </w:pBdr>
        <w:spacing w:after="60"/>
      </w:pPr>
      <w:proofErr w:type="spellStart"/>
      <w:r>
        <w:rPr>
          <w:color w:val="000000"/>
          <w:sz w:val="21"/>
          <w:szCs w:val="21"/>
        </w:rPr>
        <w:t>OpenAI's</w:t>
      </w:r>
      <w:proofErr w:type="spellEnd"/>
      <w:r>
        <w:rPr>
          <w:color w:val="000000"/>
          <w:sz w:val="21"/>
          <w:szCs w:val="21"/>
        </w:rPr>
        <w:t xml:space="preserve"> original </w:t>
      </w:r>
      <w:proofErr w:type="spellStart"/>
      <w:r>
        <w:rPr>
          <w:color w:val="000000"/>
          <w:sz w:val="21"/>
          <w:szCs w:val="21"/>
        </w:rPr>
        <w:t>ChatGPT</w:t>
      </w:r>
      <w:proofErr w:type="spellEnd"/>
      <w:r>
        <w:rPr>
          <w:color w:val="000000"/>
          <w:sz w:val="21"/>
          <w:szCs w:val="21"/>
        </w:rPr>
        <w:t xml:space="preserve"> plugin model was deprecated; the current Custom GPT "Actions" mechanism is invocation-based — a GPT calls out to an external API only when the user's prompt triggers it — not a passive usage-metering hook, so it cannot serve as Stardust's primary capture path.</w:t>
      </w:r>
    </w:p>
    <w:p w14:paraId="00000261"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Primary path for chatgpt.com web/desktop usage: Browser Extension layer only. Content script reads </w:t>
      </w:r>
      <w:proofErr w:type="spellStart"/>
      <w:r>
        <w:rPr>
          <w:color w:val="000000"/>
          <w:sz w:val="21"/>
          <w:szCs w:val="21"/>
        </w:rPr>
        <w:t>OpenAI's</w:t>
      </w:r>
      <w:proofErr w:type="spellEnd"/>
      <w:r>
        <w:rPr>
          <w:color w:val="000000"/>
          <w:sz w:val="21"/>
          <w:szCs w:val="21"/>
        </w:rPr>
        <w:t xml:space="preserve"> own rendered usage/model indicators where exposed; where none are exposed, falls back to Estimated-tier token approximation from message length.</w:t>
      </w:r>
    </w:p>
    <w:p w14:paraId="00000262"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Primary path for API-key usage: Infra Agent/SDK wrapping the </w:t>
      </w:r>
      <w:proofErr w:type="spellStart"/>
      <w:r>
        <w:rPr>
          <w:color w:val="000000"/>
          <w:sz w:val="21"/>
          <w:szCs w:val="21"/>
        </w:rPr>
        <w:t>OpenAI</w:t>
      </w:r>
      <w:proofErr w:type="spellEnd"/>
      <w:r>
        <w:rPr>
          <w:color w:val="000000"/>
          <w:sz w:val="21"/>
          <w:szCs w:val="21"/>
        </w:rPr>
        <w:t xml:space="preserve"> API client, reading the usage object (prompt/completion/total tokens) returned with each response — Measured-tier data, same pattern as the Claude API path.</w:t>
      </w:r>
    </w:p>
    <w:p w14:paraId="00000263"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Optional secondary integration: a “Stardust Usage Report” Custom GPT Action lets a user pull their own Stardust dashboard into a </w:t>
      </w:r>
      <w:proofErr w:type="spellStart"/>
      <w:r>
        <w:rPr>
          <w:color w:val="000000"/>
          <w:sz w:val="21"/>
          <w:szCs w:val="21"/>
        </w:rPr>
        <w:t>ChatGPT</w:t>
      </w:r>
      <w:proofErr w:type="spellEnd"/>
      <w:r>
        <w:rPr>
          <w:color w:val="000000"/>
          <w:sz w:val="21"/>
          <w:szCs w:val="21"/>
        </w:rPr>
        <w:t xml:space="preserve"> conversation on request. This is a way to surface Stardust's data inside </w:t>
      </w:r>
      <w:proofErr w:type="spellStart"/>
      <w:r>
        <w:rPr>
          <w:color w:val="000000"/>
          <w:sz w:val="21"/>
          <w:szCs w:val="21"/>
        </w:rPr>
        <w:t>ChatGPT</w:t>
      </w:r>
      <w:proofErr w:type="spellEnd"/>
      <w:r>
        <w:rPr>
          <w:color w:val="000000"/>
          <w:sz w:val="21"/>
          <w:szCs w:val="21"/>
        </w:rPr>
        <w:t>, not a metering source, and should not be confused with §12.1's capture paths.</w:t>
      </w:r>
    </w:p>
    <w:p w14:paraId="00000264" w14:textId="77777777" w:rsidR="0062357D" w:rsidRDefault="007E79DA">
      <w:pPr>
        <w:pStyle w:val="Heading2"/>
        <w:spacing w:before="280" w:after="120"/>
      </w:pPr>
      <w:r>
        <w:rPr>
          <w:b/>
          <w:bCs/>
          <w:color w:val="1E7A4C"/>
          <w:sz w:val="24"/>
          <w:szCs w:val="24"/>
        </w:rPr>
        <w:t>12.4 Gemini (Google)</w:t>
      </w:r>
    </w:p>
    <w:p w14:paraId="00000265" w14:textId="77777777" w:rsidR="0062357D" w:rsidRDefault="007E79DA">
      <w:pPr>
        <w:numPr>
          <w:ilvl w:val="0"/>
          <w:numId w:val="1"/>
        </w:numPr>
        <w:pBdr>
          <w:top w:val="nil"/>
          <w:left w:val="nil"/>
          <w:bottom w:val="nil"/>
          <w:right w:val="nil"/>
          <w:between w:val="nil"/>
        </w:pBdr>
        <w:spacing w:after="60"/>
      </w:pPr>
      <w:r>
        <w:rPr>
          <w:color w:val="000000"/>
          <w:sz w:val="21"/>
          <w:szCs w:val="21"/>
        </w:rPr>
        <w:t>Gemini's consumer-facing Gems and Connected Apps model does not currently support arbitrary third-party API connections — Google curates and controls the available extensions (Workspace, YouTube, Maps, WhatsApp, and a growing but Google-vetted list). This forecloses a native chat-plugin integration for the consumer web/mobile app at launch.</w:t>
      </w:r>
    </w:p>
    <w:p w14:paraId="0000026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Primary path for the consumer Gemini app: Browser Extension layer, same DOM-observation fallback pattern as </w:t>
      </w:r>
      <w:proofErr w:type="spellStart"/>
      <w:r>
        <w:rPr>
          <w:color w:val="000000"/>
          <w:sz w:val="21"/>
          <w:szCs w:val="21"/>
        </w:rPr>
        <w:t>ChatGPT</w:t>
      </w:r>
      <w:proofErr w:type="spellEnd"/>
      <w:r>
        <w:rPr>
          <w:color w:val="000000"/>
          <w:sz w:val="21"/>
          <w:szCs w:val="21"/>
        </w:rPr>
        <w:t>, Estimated-tier by default.</w:t>
      </w:r>
    </w:p>
    <w:p w14:paraId="00000267"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Primary path for developer/API usage: the Gemini API and Vertex AI both return a </w:t>
      </w:r>
      <w:proofErr w:type="spellStart"/>
      <w:r>
        <w:rPr>
          <w:color w:val="000000"/>
          <w:sz w:val="21"/>
          <w:szCs w:val="21"/>
        </w:rPr>
        <w:t>usageMetadata</w:t>
      </w:r>
      <w:proofErr w:type="spellEnd"/>
      <w:r>
        <w:rPr>
          <w:color w:val="000000"/>
          <w:sz w:val="21"/>
          <w:szCs w:val="21"/>
        </w:rPr>
        <w:t xml:space="preserve"> object (prompt/candidate/total token counts) with each response — captured at the Infra Agent/SDK layer as Measured-tier data.</w:t>
      </w:r>
    </w:p>
    <w:p w14:paraId="00000268" w14:textId="77777777" w:rsidR="0062357D" w:rsidRDefault="007E79DA">
      <w:pPr>
        <w:numPr>
          <w:ilvl w:val="0"/>
          <w:numId w:val="1"/>
        </w:numPr>
        <w:pBdr>
          <w:top w:val="nil"/>
          <w:left w:val="nil"/>
          <w:bottom w:val="nil"/>
          <w:right w:val="nil"/>
          <w:between w:val="nil"/>
        </w:pBdr>
        <w:spacing w:after="60"/>
      </w:pPr>
      <w:r>
        <w:rPr>
          <w:color w:val="000000"/>
          <w:sz w:val="21"/>
          <w:szCs w:val="21"/>
        </w:rPr>
        <w:t>Secondary, higher-value path for developer tooling: Gemini CLI Extensions, an open publishing model launched in 2026 with no Google review gate. A native Stardust Gemini CLI Extension can surface usage/cost/impact inline in the terminal for developers running Gemini CLI — a materially better integration than anything available for the consumer chat app today, and worth prioritizing in Phase 2.</w:t>
      </w:r>
    </w:p>
    <w:p w14:paraId="00000269" w14:textId="77777777" w:rsidR="0062357D" w:rsidRDefault="007E79DA">
      <w:pPr>
        <w:numPr>
          <w:ilvl w:val="0"/>
          <w:numId w:val="1"/>
        </w:numPr>
        <w:pBdr>
          <w:top w:val="nil"/>
          <w:left w:val="nil"/>
          <w:bottom w:val="nil"/>
          <w:right w:val="nil"/>
          <w:between w:val="nil"/>
        </w:pBdr>
        <w:spacing w:after="60"/>
      </w:pPr>
      <w:r>
        <w:rPr>
          <w:color w:val="000000"/>
          <w:sz w:val="21"/>
          <w:szCs w:val="21"/>
        </w:rPr>
        <w:t>Revisit the consumer-app native-integration question periodically — Google's extension model has been expanding through 2026 and a third-party API surface may open.</w:t>
      </w:r>
    </w:p>
    <w:p w14:paraId="0000026A" w14:textId="77777777" w:rsidR="0062357D" w:rsidRDefault="007E79DA">
      <w:pPr>
        <w:pStyle w:val="Heading2"/>
        <w:spacing w:before="280" w:after="120"/>
      </w:pPr>
      <w:r>
        <w:rPr>
          <w:b/>
          <w:bCs/>
          <w:color w:val="1E7A4C"/>
          <w:sz w:val="24"/>
          <w:szCs w:val="24"/>
        </w:rPr>
        <w:t>12.5 Chrome and Edge</w:t>
      </w:r>
    </w:p>
    <w:p w14:paraId="0000026B" w14:textId="77777777" w:rsidR="0062357D" w:rsidRDefault="007E79DA">
      <w:pPr>
        <w:numPr>
          <w:ilvl w:val="0"/>
          <w:numId w:val="1"/>
        </w:numPr>
        <w:pBdr>
          <w:top w:val="nil"/>
          <w:left w:val="nil"/>
          <w:bottom w:val="nil"/>
          <w:right w:val="nil"/>
          <w:between w:val="nil"/>
        </w:pBdr>
        <w:spacing w:after="60"/>
      </w:pPr>
      <w:r>
        <w:rPr>
          <w:color w:val="000000"/>
          <w:sz w:val="21"/>
          <w:szCs w:val="21"/>
        </w:rPr>
        <w:t>Built once against Manifest V3; Chrome and Edge share the Chromium extension runtime, so a single codebase covers both. Edge requires a separate listing in Microsoft's Partner Center in addition to the Chrome Web Store submission.</w:t>
      </w:r>
    </w:p>
    <w:p w14:paraId="0000026C" w14:textId="77777777" w:rsidR="0062357D" w:rsidRDefault="007E79DA">
      <w:pPr>
        <w:numPr>
          <w:ilvl w:val="0"/>
          <w:numId w:val="1"/>
        </w:numPr>
        <w:pBdr>
          <w:top w:val="nil"/>
          <w:left w:val="nil"/>
          <w:bottom w:val="nil"/>
          <w:right w:val="nil"/>
          <w:between w:val="nil"/>
        </w:pBdr>
        <w:spacing w:after="60"/>
      </w:pPr>
      <w:r>
        <w:rPr>
          <w:color w:val="000000"/>
          <w:sz w:val="21"/>
          <w:szCs w:val="21"/>
        </w:rPr>
        <w:t>Background aggregation runs in an MV3 service worker (event-driven, non-persistent — wakes on relevant events rather than running continuously), with content scripts injected only on the domain allow-list from §14.</w:t>
      </w:r>
    </w:p>
    <w:p w14:paraId="0000026D" w14:textId="77777777" w:rsidR="0062357D" w:rsidRDefault="007E79DA">
      <w:pPr>
        <w:pStyle w:val="Heading2"/>
        <w:spacing w:before="280" w:after="120"/>
      </w:pPr>
      <w:r>
        <w:rPr>
          <w:b/>
          <w:bCs/>
          <w:color w:val="1E7A4C"/>
          <w:sz w:val="24"/>
          <w:szCs w:val="24"/>
        </w:rPr>
        <w:t>12.6 Firefox</w:t>
      </w:r>
    </w:p>
    <w:p w14:paraId="0000026E" w14:textId="77777777" w:rsidR="0062357D" w:rsidRDefault="007E79DA">
      <w:pPr>
        <w:numPr>
          <w:ilvl w:val="0"/>
          <w:numId w:val="1"/>
        </w:numPr>
        <w:pBdr>
          <w:top w:val="nil"/>
          <w:left w:val="nil"/>
          <w:bottom w:val="nil"/>
          <w:right w:val="nil"/>
          <w:between w:val="nil"/>
        </w:pBdr>
        <w:spacing w:after="60"/>
      </w:pPr>
      <w:r>
        <w:rPr>
          <w:color w:val="000000"/>
          <w:sz w:val="21"/>
          <w:szCs w:val="21"/>
        </w:rPr>
        <w:t>Firefox supports Manifest V3 but diverges from Chromium in background-script lifecycle handling; Stardust needs its own Firefox-targeted background-script build rather than a straight reuse of the Chrome/Edge bundle.</w:t>
      </w:r>
    </w:p>
    <w:p w14:paraId="0000026F" w14:textId="77777777" w:rsidR="0062357D" w:rsidRDefault="007E79DA">
      <w:pPr>
        <w:numPr>
          <w:ilvl w:val="0"/>
          <w:numId w:val="1"/>
        </w:numPr>
        <w:pBdr>
          <w:top w:val="nil"/>
          <w:left w:val="nil"/>
          <w:bottom w:val="nil"/>
          <w:right w:val="nil"/>
          <w:between w:val="nil"/>
        </w:pBdr>
        <w:spacing w:after="60"/>
      </w:pPr>
      <w:r>
        <w:rPr>
          <w:color w:val="000000"/>
          <w:sz w:val="21"/>
          <w:szCs w:val="21"/>
        </w:rPr>
        <w:t>Distributed and reviewed separately via addons.mozilla.org (AMO), with its own review timeline distinct from the Chrome Web Store / Partner Center.</w:t>
      </w:r>
    </w:p>
    <w:p w14:paraId="00000270" w14:textId="77777777" w:rsidR="0062357D" w:rsidRDefault="007E79DA">
      <w:pPr>
        <w:pStyle w:val="Heading2"/>
        <w:spacing w:before="280" w:after="120"/>
      </w:pPr>
      <w:r>
        <w:rPr>
          <w:b/>
          <w:bCs/>
          <w:color w:val="1E7A4C"/>
          <w:sz w:val="24"/>
          <w:szCs w:val="24"/>
        </w:rPr>
        <w:t>12.7 Safari</w:t>
      </w:r>
    </w:p>
    <w:p w14:paraId="00000271" w14:textId="77777777" w:rsidR="0062357D" w:rsidRDefault="007E79DA">
      <w:pPr>
        <w:numPr>
          <w:ilvl w:val="0"/>
          <w:numId w:val="1"/>
        </w:numPr>
        <w:pBdr>
          <w:top w:val="nil"/>
          <w:left w:val="nil"/>
          <w:bottom w:val="nil"/>
          <w:right w:val="nil"/>
          <w:between w:val="nil"/>
        </w:pBdr>
        <w:spacing w:after="60"/>
      </w:pPr>
      <w:r>
        <w:rPr>
          <w:color w:val="000000"/>
          <w:sz w:val="21"/>
          <w:szCs w:val="21"/>
        </w:rPr>
        <w:t>Built by converting the Chrome/Firefox extension with Apple's safari-web-extension-converter (</w:t>
      </w:r>
      <w:proofErr w:type="spellStart"/>
      <w:r>
        <w:rPr>
          <w:color w:val="000000"/>
          <w:sz w:val="21"/>
          <w:szCs w:val="21"/>
        </w:rPr>
        <w:t>Xcode</w:t>
      </w:r>
      <w:proofErr w:type="spellEnd"/>
      <w:r>
        <w:rPr>
          <w:color w:val="000000"/>
          <w:sz w:val="21"/>
          <w:szCs w:val="21"/>
        </w:rPr>
        <w:t xml:space="preserve"> command-line tool) into a native </w:t>
      </w:r>
      <w:proofErr w:type="spellStart"/>
      <w:r>
        <w:rPr>
          <w:color w:val="000000"/>
          <w:sz w:val="21"/>
          <w:szCs w:val="21"/>
        </w:rPr>
        <w:t>macOS</w:t>
      </w:r>
      <w:proofErr w:type="spellEnd"/>
      <w:r>
        <w:rPr>
          <w:color w:val="000000"/>
          <w:sz w:val="21"/>
          <w:szCs w:val="21"/>
        </w:rPr>
        <w:t>/iOS app wrapper.</w:t>
      </w:r>
    </w:p>
    <w:p w14:paraId="00000272"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Distribution requires an Apple Developer account and either App Store review or notarized direct distribution on </w:t>
      </w:r>
      <w:proofErr w:type="spellStart"/>
      <w:r>
        <w:rPr>
          <w:color w:val="000000"/>
          <w:sz w:val="21"/>
          <w:szCs w:val="21"/>
        </w:rPr>
        <w:t>macOS</w:t>
      </w:r>
      <w:proofErr w:type="spellEnd"/>
      <w:r>
        <w:rPr>
          <w:color w:val="000000"/>
          <w:sz w:val="21"/>
          <w:szCs w:val="21"/>
        </w:rPr>
        <w:t>.</w:t>
      </w:r>
    </w:p>
    <w:p w14:paraId="00000273" w14:textId="77777777" w:rsidR="0062357D" w:rsidRDefault="007E79DA">
      <w:pPr>
        <w:numPr>
          <w:ilvl w:val="0"/>
          <w:numId w:val="1"/>
        </w:numPr>
        <w:pBdr>
          <w:top w:val="nil"/>
          <w:left w:val="nil"/>
          <w:bottom w:val="nil"/>
          <w:right w:val="nil"/>
          <w:between w:val="nil"/>
        </w:pBdr>
        <w:spacing w:after="60"/>
      </w:pPr>
      <w:r>
        <w:rPr>
          <w:color w:val="000000"/>
          <w:sz w:val="21"/>
          <w:szCs w:val="21"/>
        </w:rPr>
        <w:t>Safari's stricter background-execution model (no persistent always-on background worker) means the inline badge (§6.1) cannot refresh continuously the way it can in Chrome/Edge/Firefox; mitigate by syncing on tab focus and visibility-change events rather than continuous polling, and set expectations that Safari badge latency will be a beat behind the other browsers.</w:t>
      </w:r>
    </w:p>
    <w:p w14:paraId="00000274" w14:textId="77777777" w:rsidR="0062357D" w:rsidRDefault="007E79DA">
      <w:pPr>
        <w:pStyle w:val="Heading2"/>
        <w:spacing w:before="280" w:after="120"/>
      </w:pPr>
      <w:r>
        <w:rPr>
          <w:b/>
          <w:bCs/>
          <w:color w:val="1E7A4C"/>
          <w:sz w:val="24"/>
          <w:szCs w:val="24"/>
        </w:rPr>
        <w:t>12.8 Databases</w:t>
      </w:r>
    </w:p>
    <w:p w14:paraId="00000275"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Managed services (RDS, Cloud SQL, Atlas, </w:t>
      </w:r>
      <w:proofErr w:type="spellStart"/>
      <w:r>
        <w:rPr>
          <w:color w:val="000000"/>
          <w:sz w:val="21"/>
          <w:szCs w:val="21"/>
        </w:rPr>
        <w:t>DynamoDB</w:t>
      </w:r>
      <w:proofErr w:type="spellEnd"/>
      <w:r>
        <w:rPr>
          <w:color w:val="000000"/>
          <w:sz w:val="21"/>
          <w:szCs w:val="21"/>
        </w:rPr>
        <w:t>, Cosmos DB, Snowflake): a thin driver-wrapper layer around the common client libraries (e.g., node-</w:t>
      </w:r>
      <w:proofErr w:type="spellStart"/>
      <w:r>
        <w:rPr>
          <w:color w:val="000000"/>
          <w:sz w:val="21"/>
          <w:szCs w:val="21"/>
        </w:rPr>
        <w:t>postgres</w:t>
      </w:r>
      <w:proofErr w:type="spellEnd"/>
      <w:r>
        <w:rPr>
          <w:color w:val="000000"/>
          <w:sz w:val="21"/>
          <w:szCs w:val="21"/>
        </w:rPr>
        <w:t xml:space="preserve">, mysql2, the MongoDB driver, the </w:t>
      </w:r>
      <w:proofErr w:type="spellStart"/>
      <w:r>
        <w:rPr>
          <w:color w:val="000000"/>
          <w:sz w:val="21"/>
          <w:szCs w:val="21"/>
        </w:rPr>
        <w:t>DynamoDB</w:t>
      </w:r>
      <w:proofErr w:type="spellEnd"/>
      <w:r>
        <w:rPr>
          <w:color w:val="000000"/>
          <w:sz w:val="21"/>
          <w:szCs w:val="21"/>
        </w:rPr>
        <w:t xml:space="preserve"> SDK client) captures query count, duration, and rows scanned without altering query behavior; this is supplemented with the provider's own billing/metering API for instance-level cost and compute, since driver-level timing alone can't see the underlying instance's power draw.</w:t>
      </w:r>
    </w:p>
    <w:p w14:paraId="00000276" w14:textId="77777777" w:rsidR="0062357D" w:rsidRDefault="007E79DA">
      <w:pPr>
        <w:numPr>
          <w:ilvl w:val="0"/>
          <w:numId w:val="1"/>
        </w:numPr>
        <w:pBdr>
          <w:top w:val="nil"/>
          <w:left w:val="nil"/>
          <w:bottom w:val="nil"/>
          <w:right w:val="nil"/>
          <w:between w:val="nil"/>
        </w:pBdr>
        <w:spacing w:after="60"/>
      </w:pPr>
      <w:r>
        <w:rPr>
          <w:color w:val="000000"/>
          <w:sz w:val="21"/>
          <w:szCs w:val="21"/>
        </w:rPr>
        <w:t>Self-hosted databases: the driver-wrapper data is the only source, so the environmental estimate falls back to Modeled tier using generic per-query compute-time-to-energy factors rather than instance-class-specific ones.</w:t>
      </w:r>
    </w:p>
    <w:p w14:paraId="00000277" w14:textId="77777777" w:rsidR="0062357D" w:rsidRDefault="007E79DA">
      <w:pPr>
        <w:numPr>
          <w:ilvl w:val="0"/>
          <w:numId w:val="1"/>
        </w:numPr>
        <w:pBdr>
          <w:top w:val="nil"/>
          <w:left w:val="nil"/>
          <w:bottom w:val="nil"/>
          <w:right w:val="nil"/>
          <w:between w:val="nil"/>
        </w:pBdr>
        <w:spacing w:after="60"/>
      </w:pPr>
      <w:r>
        <w:rPr>
          <w:color w:val="000000"/>
          <w:sz w:val="21"/>
          <w:szCs w:val="21"/>
        </w:rPr>
        <w:t>Deployment for either case follows §9.1's Infra Agent/SDK layer — a library import for teams that can touch application code, or the reverse-proxy/sidecar option for teams that can't.</w:t>
      </w:r>
    </w:p>
    <w:p w14:paraId="00000278" w14:textId="77777777" w:rsidR="0062357D" w:rsidRDefault="007E79DA">
      <w:pPr>
        <w:pStyle w:val="Heading2"/>
        <w:spacing w:before="280" w:after="120"/>
      </w:pPr>
      <w:r>
        <w:rPr>
          <w:b/>
          <w:bCs/>
          <w:color w:val="1E7A4C"/>
          <w:sz w:val="24"/>
          <w:szCs w:val="24"/>
        </w:rPr>
        <w:t>12.9 Cloud and AI Infrastructure (AWS, Azure, GCP)</w:t>
      </w:r>
    </w:p>
    <w:p w14:paraId="00000279" w14:textId="77777777" w:rsidR="0062357D" w:rsidRDefault="007E79DA">
      <w:pPr>
        <w:numPr>
          <w:ilvl w:val="0"/>
          <w:numId w:val="1"/>
        </w:numPr>
        <w:pBdr>
          <w:top w:val="nil"/>
          <w:left w:val="nil"/>
          <w:bottom w:val="nil"/>
          <w:right w:val="nil"/>
          <w:between w:val="nil"/>
        </w:pBdr>
        <w:spacing w:after="60"/>
      </w:pPr>
      <w:r>
        <w:rPr>
          <w:color w:val="000000"/>
          <w:sz w:val="21"/>
          <w:szCs w:val="21"/>
        </w:rPr>
        <w:t>AWS: cost via Cost Explorer / Cost and Usage Reports; carbon via the AWS Sustainability service (successor to the Customer Carbon Footprint Tool, which is being retired), accessed either through its programmatic API for account/region-level emissions totals or through the recurring Carbon Emissions Data Export to S3 for finer-grained reporting-table access. Both give Measured-tier figures, but at monthly, not per-request, granularity.</w:t>
      </w:r>
    </w:p>
    <w:p w14:paraId="0000027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Azure: cost via the Cost Management API; carbon via the Emissions Impact Dashboard, which is the only one of the three </w:t>
      </w:r>
      <w:proofErr w:type="spellStart"/>
      <w:r>
        <w:rPr>
          <w:color w:val="000000"/>
          <w:sz w:val="21"/>
          <w:szCs w:val="21"/>
        </w:rPr>
        <w:t>hyperscalers</w:t>
      </w:r>
      <w:proofErr w:type="spellEnd"/>
      <w:r>
        <w:rPr>
          <w:color w:val="000000"/>
          <w:sz w:val="21"/>
          <w:szCs w:val="21"/>
        </w:rPr>
        <w:t xml:space="preserve"> to expose both market-based and location-based Scope 2 figures — the more directly useful pairing for CSRD-style dual-methodology reporting requirements.</w:t>
      </w:r>
    </w:p>
    <w:p w14:paraId="0000027B"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Google Cloud: cost via the Cloud Billing API; carbon via the Carbon Footprint export to </w:t>
      </w:r>
      <w:proofErr w:type="spellStart"/>
      <w:r>
        <w:rPr>
          <w:color w:val="000000"/>
          <w:sz w:val="21"/>
          <w:szCs w:val="21"/>
        </w:rPr>
        <w:t>BigQuery</w:t>
      </w:r>
      <w:proofErr w:type="spellEnd"/>
      <w:r>
        <w:rPr>
          <w:color w:val="000000"/>
          <w:sz w:val="21"/>
          <w:szCs w:val="21"/>
        </w:rPr>
        <w:t>, giving per-project emissions data.</w:t>
      </w:r>
    </w:p>
    <w:p w14:paraId="0000027C"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Because all three </w:t>
      </w:r>
      <w:proofErr w:type="spellStart"/>
      <w:r>
        <w:rPr>
          <w:color w:val="000000"/>
          <w:sz w:val="21"/>
          <w:szCs w:val="21"/>
        </w:rPr>
        <w:t>hyperscalers</w:t>
      </w:r>
      <w:proofErr w:type="spellEnd"/>
      <w:r>
        <w:rPr>
          <w:color w:val="000000"/>
          <w:sz w:val="21"/>
          <w:szCs w:val="21"/>
        </w:rPr>
        <w:t xml:space="preserve"> report at account/region/project granularity on a delayed (typically monthly) cadence, none can supply a true real-time per-request environmental figure. The infra-layer badge therefore shows a Modeled-tier real-time estimate, later reconciled against the provider's Measured-tier monthly export, with material variance surfaced in the dashboard rather than silently overwritten.</w:t>
      </w:r>
    </w:p>
    <w:p w14:paraId="0000027D"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For workloads outside the three </w:t>
      </w:r>
      <w:proofErr w:type="spellStart"/>
      <w:r>
        <w:rPr>
          <w:color w:val="000000"/>
          <w:sz w:val="21"/>
          <w:szCs w:val="21"/>
        </w:rPr>
        <w:t>hyperscalers</w:t>
      </w:r>
      <w:proofErr w:type="spellEnd"/>
      <w:r>
        <w:rPr>
          <w:color w:val="000000"/>
          <w:sz w:val="21"/>
          <w:szCs w:val="21"/>
        </w:rPr>
        <w:t xml:space="preserve"> (self-hosted GPU clusters, colocation), no billing-integrated carbon source exists; the open-source Cloud Carbon Footprint project's energy-per-instance-type estimation approach (deriving energy from CPU utilization) is a reasonable Modeled-tier pattern to adapt rather than build from first principles.</w:t>
      </w:r>
    </w:p>
    <w:p w14:paraId="0000027E" w14:textId="77777777" w:rsidR="0062357D" w:rsidRDefault="007E79DA">
      <w:pPr>
        <w:pStyle w:val="Heading1"/>
        <w:spacing w:before="360" w:after="160"/>
      </w:pPr>
      <w:r>
        <w:rPr>
          <w:b/>
          <w:bCs/>
          <w:color w:val="0F4A2E"/>
          <w:sz w:val="30"/>
          <w:szCs w:val="30"/>
        </w:rPr>
        <w:t>13. Data Sources and Third-Party Dependencies</w:t>
      </w:r>
    </w:p>
    <w:tbl>
      <w:tblPr>
        <w:tblStyle w:val="af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600"/>
        <w:gridCol w:w="2800"/>
      </w:tblGrid>
      <w:tr w:rsidR="0062357D" w14:paraId="5121E4D2" w14:textId="77777777">
        <w:trPr>
          <w:tblHeader/>
        </w:trPr>
        <w:tc>
          <w:tcPr>
            <w:tcW w:w="2600" w:type="dxa"/>
            <w:shd w:val="clear" w:color="auto" w:fill="1E7A4C"/>
            <w:tcMar>
              <w:top w:w="80" w:type="dxa"/>
              <w:left w:w="100" w:type="dxa"/>
              <w:bottom w:w="80" w:type="dxa"/>
              <w:right w:w="100" w:type="dxa"/>
            </w:tcMar>
          </w:tcPr>
          <w:p w14:paraId="0000027F" w14:textId="77777777" w:rsidR="0062357D" w:rsidRDefault="007E79DA">
            <w:r>
              <w:rPr>
                <w:b/>
                <w:bCs/>
                <w:color w:val="FFFFFF"/>
                <w:sz w:val="19"/>
                <w:szCs w:val="19"/>
              </w:rPr>
              <w:t>Source type</w:t>
            </w:r>
          </w:p>
        </w:tc>
        <w:tc>
          <w:tcPr>
            <w:tcW w:w="4600" w:type="dxa"/>
            <w:shd w:val="clear" w:color="auto" w:fill="1E7A4C"/>
            <w:tcMar>
              <w:top w:w="80" w:type="dxa"/>
              <w:left w:w="100" w:type="dxa"/>
              <w:bottom w:w="80" w:type="dxa"/>
              <w:right w:w="100" w:type="dxa"/>
            </w:tcMar>
          </w:tcPr>
          <w:p w14:paraId="00000280" w14:textId="77777777" w:rsidR="0062357D" w:rsidRDefault="007E79DA">
            <w:r>
              <w:rPr>
                <w:b/>
                <w:bCs/>
                <w:color w:val="FFFFFF"/>
                <w:sz w:val="19"/>
                <w:szCs w:val="19"/>
              </w:rPr>
              <w:t>Examples</w:t>
            </w:r>
          </w:p>
        </w:tc>
        <w:tc>
          <w:tcPr>
            <w:tcW w:w="2800" w:type="dxa"/>
            <w:shd w:val="clear" w:color="auto" w:fill="1E7A4C"/>
            <w:tcMar>
              <w:top w:w="80" w:type="dxa"/>
              <w:left w:w="100" w:type="dxa"/>
              <w:bottom w:w="80" w:type="dxa"/>
              <w:right w:w="100" w:type="dxa"/>
            </w:tcMar>
          </w:tcPr>
          <w:p w14:paraId="00000281" w14:textId="77777777" w:rsidR="0062357D" w:rsidRDefault="007E79DA">
            <w:r>
              <w:rPr>
                <w:b/>
                <w:bCs/>
                <w:color w:val="FFFFFF"/>
                <w:sz w:val="19"/>
                <w:szCs w:val="19"/>
              </w:rPr>
              <w:t>Used for</w:t>
            </w:r>
          </w:p>
        </w:tc>
      </w:tr>
      <w:tr w:rsidR="0062357D" w14:paraId="1C54320B" w14:textId="77777777">
        <w:tc>
          <w:tcPr>
            <w:tcW w:w="2600" w:type="dxa"/>
            <w:tcMar>
              <w:top w:w="80" w:type="dxa"/>
              <w:left w:w="100" w:type="dxa"/>
              <w:bottom w:w="80" w:type="dxa"/>
              <w:right w:w="100" w:type="dxa"/>
            </w:tcMar>
          </w:tcPr>
          <w:p w14:paraId="00000282" w14:textId="77777777" w:rsidR="0062357D" w:rsidRDefault="007E79DA">
            <w:r>
              <w:rPr>
                <w:sz w:val="19"/>
                <w:szCs w:val="19"/>
              </w:rPr>
              <w:t>AI provider usage/billing APIs</w:t>
            </w:r>
          </w:p>
        </w:tc>
        <w:tc>
          <w:tcPr>
            <w:tcW w:w="4600" w:type="dxa"/>
            <w:tcMar>
              <w:top w:w="80" w:type="dxa"/>
              <w:left w:w="100" w:type="dxa"/>
              <w:bottom w:w="80" w:type="dxa"/>
              <w:right w:w="100" w:type="dxa"/>
            </w:tcMar>
          </w:tcPr>
          <w:p w14:paraId="00000283" w14:textId="77777777" w:rsidR="0062357D" w:rsidRDefault="007E79DA">
            <w:r>
              <w:rPr>
                <w:sz w:val="19"/>
                <w:szCs w:val="19"/>
              </w:rPr>
              <w:t xml:space="preserve">Anthropic, </w:t>
            </w:r>
            <w:proofErr w:type="spellStart"/>
            <w:r>
              <w:rPr>
                <w:sz w:val="19"/>
                <w:szCs w:val="19"/>
              </w:rPr>
              <w:t>OpenAI</w:t>
            </w:r>
            <w:proofErr w:type="spellEnd"/>
            <w:r>
              <w:rPr>
                <w:sz w:val="19"/>
                <w:szCs w:val="19"/>
              </w:rPr>
              <w:t>, Google usage &amp; billing endpoints</w:t>
            </w:r>
          </w:p>
        </w:tc>
        <w:tc>
          <w:tcPr>
            <w:tcW w:w="2800" w:type="dxa"/>
            <w:tcMar>
              <w:top w:w="80" w:type="dxa"/>
              <w:left w:w="100" w:type="dxa"/>
              <w:bottom w:w="80" w:type="dxa"/>
              <w:right w:w="100" w:type="dxa"/>
            </w:tcMar>
          </w:tcPr>
          <w:p w14:paraId="00000284" w14:textId="77777777" w:rsidR="0062357D" w:rsidRDefault="007E79DA">
            <w:r>
              <w:rPr>
                <w:sz w:val="19"/>
                <w:szCs w:val="19"/>
              </w:rPr>
              <w:t>Token counts, direct cost where exposed</w:t>
            </w:r>
          </w:p>
        </w:tc>
      </w:tr>
      <w:tr w:rsidR="0062357D" w14:paraId="65109D18" w14:textId="77777777">
        <w:tc>
          <w:tcPr>
            <w:tcW w:w="2600" w:type="dxa"/>
            <w:tcMar>
              <w:top w:w="80" w:type="dxa"/>
              <w:left w:w="100" w:type="dxa"/>
              <w:bottom w:w="80" w:type="dxa"/>
              <w:right w:w="100" w:type="dxa"/>
            </w:tcMar>
          </w:tcPr>
          <w:p w14:paraId="00000285" w14:textId="77777777" w:rsidR="0062357D" w:rsidRDefault="007E79DA">
            <w:r>
              <w:rPr>
                <w:sz w:val="19"/>
                <w:szCs w:val="19"/>
              </w:rPr>
              <w:t>Cloud billing APIs</w:t>
            </w:r>
          </w:p>
        </w:tc>
        <w:tc>
          <w:tcPr>
            <w:tcW w:w="4600" w:type="dxa"/>
            <w:tcMar>
              <w:top w:w="80" w:type="dxa"/>
              <w:left w:w="100" w:type="dxa"/>
              <w:bottom w:w="80" w:type="dxa"/>
              <w:right w:w="100" w:type="dxa"/>
            </w:tcMar>
          </w:tcPr>
          <w:p w14:paraId="00000286" w14:textId="77777777" w:rsidR="0062357D" w:rsidRDefault="007E79DA">
            <w:r>
              <w:rPr>
                <w:sz w:val="19"/>
                <w:szCs w:val="19"/>
              </w:rPr>
              <w:t>AWS Cost Explorer, Azure Cost Management, GCP Billing</w:t>
            </w:r>
          </w:p>
        </w:tc>
        <w:tc>
          <w:tcPr>
            <w:tcW w:w="2800" w:type="dxa"/>
            <w:tcMar>
              <w:top w:w="80" w:type="dxa"/>
              <w:left w:w="100" w:type="dxa"/>
              <w:bottom w:w="80" w:type="dxa"/>
              <w:right w:w="100" w:type="dxa"/>
            </w:tcMar>
          </w:tcPr>
          <w:p w14:paraId="00000287" w14:textId="77777777" w:rsidR="0062357D" w:rsidRDefault="007E79DA">
            <w:r>
              <w:rPr>
                <w:sz w:val="19"/>
                <w:szCs w:val="19"/>
              </w:rPr>
              <w:t>Infra-layer cost</w:t>
            </w:r>
          </w:p>
        </w:tc>
      </w:tr>
      <w:tr w:rsidR="0062357D" w14:paraId="49679E66" w14:textId="77777777">
        <w:tc>
          <w:tcPr>
            <w:tcW w:w="2600" w:type="dxa"/>
            <w:tcMar>
              <w:top w:w="80" w:type="dxa"/>
              <w:left w:w="100" w:type="dxa"/>
              <w:bottom w:w="80" w:type="dxa"/>
              <w:right w:w="100" w:type="dxa"/>
            </w:tcMar>
          </w:tcPr>
          <w:p w14:paraId="00000288" w14:textId="77777777" w:rsidR="0062357D" w:rsidRDefault="007E79DA">
            <w:r>
              <w:rPr>
                <w:sz w:val="19"/>
                <w:szCs w:val="19"/>
              </w:rPr>
              <w:t>Cloud sustainability APIs</w:t>
            </w:r>
          </w:p>
        </w:tc>
        <w:tc>
          <w:tcPr>
            <w:tcW w:w="4600" w:type="dxa"/>
            <w:tcMar>
              <w:top w:w="80" w:type="dxa"/>
              <w:left w:w="100" w:type="dxa"/>
              <w:bottom w:w="80" w:type="dxa"/>
              <w:right w:w="100" w:type="dxa"/>
            </w:tcMar>
          </w:tcPr>
          <w:p w14:paraId="00000289" w14:textId="77777777" w:rsidR="0062357D" w:rsidRDefault="007E79DA">
            <w:r>
              <w:rPr>
                <w:sz w:val="19"/>
                <w:szCs w:val="19"/>
              </w:rPr>
              <w:t>Provider-published carbon/energy footprint tools (where available)</w:t>
            </w:r>
          </w:p>
        </w:tc>
        <w:tc>
          <w:tcPr>
            <w:tcW w:w="2800" w:type="dxa"/>
            <w:tcMar>
              <w:top w:w="80" w:type="dxa"/>
              <w:left w:w="100" w:type="dxa"/>
              <w:bottom w:w="80" w:type="dxa"/>
              <w:right w:w="100" w:type="dxa"/>
            </w:tcMar>
          </w:tcPr>
          <w:p w14:paraId="0000028A" w14:textId="77777777" w:rsidR="0062357D" w:rsidRDefault="007E79DA">
            <w:r>
              <w:rPr>
                <w:sz w:val="19"/>
                <w:szCs w:val="19"/>
              </w:rPr>
              <w:t>Measured-tier environmental data</w:t>
            </w:r>
          </w:p>
        </w:tc>
      </w:tr>
      <w:tr w:rsidR="0062357D" w14:paraId="2734927D" w14:textId="77777777">
        <w:tc>
          <w:tcPr>
            <w:tcW w:w="2600" w:type="dxa"/>
            <w:tcMar>
              <w:top w:w="80" w:type="dxa"/>
              <w:left w:w="100" w:type="dxa"/>
              <w:bottom w:w="80" w:type="dxa"/>
              <w:right w:w="100" w:type="dxa"/>
            </w:tcMar>
          </w:tcPr>
          <w:p w14:paraId="0000028B" w14:textId="77777777" w:rsidR="0062357D" w:rsidRDefault="007E79DA">
            <w:r>
              <w:rPr>
                <w:sz w:val="19"/>
                <w:szCs w:val="19"/>
              </w:rPr>
              <w:t>Grid carbon-intensity data</w:t>
            </w:r>
          </w:p>
        </w:tc>
        <w:tc>
          <w:tcPr>
            <w:tcW w:w="4600" w:type="dxa"/>
            <w:tcMar>
              <w:top w:w="80" w:type="dxa"/>
              <w:left w:w="100" w:type="dxa"/>
              <w:bottom w:w="80" w:type="dxa"/>
              <w:right w:w="100" w:type="dxa"/>
            </w:tcMar>
          </w:tcPr>
          <w:p w14:paraId="0000028C" w14:textId="77777777" w:rsidR="0062357D" w:rsidRDefault="007E79DA">
            <w:r>
              <w:rPr>
                <w:sz w:val="19"/>
                <w:szCs w:val="19"/>
              </w:rPr>
              <w:t>Public regional grid-intensity datasets/APIs</w:t>
            </w:r>
          </w:p>
        </w:tc>
        <w:tc>
          <w:tcPr>
            <w:tcW w:w="2800" w:type="dxa"/>
            <w:tcMar>
              <w:top w:w="80" w:type="dxa"/>
              <w:left w:w="100" w:type="dxa"/>
              <w:bottom w:w="80" w:type="dxa"/>
              <w:right w:w="100" w:type="dxa"/>
            </w:tcMar>
          </w:tcPr>
          <w:p w14:paraId="0000028D" w14:textId="77777777" w:rsidR="0062357D" w:rsidRDefault="007E79DA">
            <w:r>
              <w:rPr>
                <w:sz w:val="19"/>
                <w:szCs w:val="19"/>
              </w:rPr>
              <w:t xml:space="preserve">Modeled-tier </w:t>
            </w:r>
            <w:proofErr w:type="spellStart"/>
            <w:r>
              <w:rPr>
                <w:sz w:val="19"/>
                <w:szCs w:val="19"/>
              </w:rPr>
              <w:t>CO₂e</w:t>
            </w:r>
            <w:proofErr w:type="spellEnd"/>
            <w:r>
              <w:rPr>
                <w:sz w:val="19"/>
                <w:szCs w:val="19"/>
              </w:rPr>
              <w:t xml:space="preserve"> conversion</w:t>
            </w:r>
          </w:p>
        </w:tc>
      </w:tr>
      <w:tr w:rsidR="0062357D" w14:paraId="26E47A50" w14:textId="77777777">
        <w:tc>
          <w:tcPr>
            <w:tcW w:w="2600" w:type="dxa"/>
            <w:tcMar>
              <w:top w:w="80" w:type="dxa"/>
              <w:left w:w="100" w:type="dxa"/>
              <w:bottom w:w="80" w:type="dxa"/>
              <w:right w:w="100" w:type="dxa"/>
            </w:tcMar>
          </w:tcPr>
          <w:p w14:paraId="0000028E" w14:textId="77777777" w:rsidR="0062357D" w:rsidRDefault="007E79DA">
            <w:r>
              <w:rPr>
                <w:sz w:val="19"/>
                <w:szCs w:val="19"/>
              </w:rPr>
              <w:t>Published research</w:t>
            </w:r>
          </w:p>
        </w:tc>
        <w:tc>
          <w:tcPr>
            <w:tcW w:w="4600" w:type="dxa"/>
            <w:tcMar>
              <w:top w:w="80" w:type="dxa"/>
              <w:left w:w="100" w:type="dxa"/>
              <w:bottom w:w="80" w:type="dxa"/>
              <w:right w:w="100" w:type="dxa"/>
            </w:tcMar>
          </w:tcPr>
          <w:p w14:paraId="0000028F" w14:textId="77777777" w:rsidR="0062357D" w:rsidRDefault="007E79DA">
            <w:r>
              <w:rPr>
                <w:sz w:val="19"/>
                <w:szCs w:val="19"/>
              </w:rPr>
              <w:t>Peer-reviewed energy-per-token and data-center WUE/PUE studies</w:t>
            </w:r>
          </w:p>
        </w:tc>
        <w:tc>
          <w:tcPr>
            <w:tcW w:w="2800" w:type="dxa"/>
            <w:tcMar>
              <w:top w:w="80" w:type="dxa"/>
              <w:left w:w="100" w:type="dxa"/>
              <w:bottom w:w="80" w:type="dxa"/>
              <w:right w:w="100" w:type="dxa"/>
            </w:tcMar>
          </w:tcPr>
          <w:p w14:paraId="00000290" w14:textId="77777777" w:rsidR="0062357D" w:rsidRDefault="007E79DA">
            <w:r>
              <w:rPr>
                <w:sz w:val="19"/>
                <w:szCs w:val="19"/>
              </w:rPr>
              <w:t>Modeled/Estimated-tier factors</w:t>
            </w:r>
          </w:p>
        </w:tc>
      </w:tr>
      <w:tr w:rsidR="0062357D" w14:paraId="26350BAE" w14:textId="77777777">
        <w:tc>
          <w:tcPr>
            <w:tcW w:w="2600" w:type="dxa"/>
            <w:tcMar>
              <w:top w:w="80" w:type="dxa"/>
              <w:left w:w="100" w:type="dxa"/>
              <w:bottom w:w="80" w:type="dxa"/>
              <w:right w:w="100" w:type="dxa"/>
            </w:tcMar>
          </w:tcPr>
          <w:p w14:paraId="00000291" w14:textId="77777777" w:rsidR="0062357D" w:rsidRDefault="007E79DA">
            <w:r>
              <w:rPr>
                <w:sz w:val="19"/>
                <w:szCs w:val="19"/>
              </w:rPr>
              <w:t>Optional remediation partner</w:t>
            </w:r>
          </w:p>
        </w:tc>
        <w:tc>
          <w:tcPr>
            <w:tcW w:w="4600" w:type="dxa"/>
            <w:tcMar>
              <w:top w:w="80" w:type="dxa"/>
              <w:left w:w="100" w:type="dxa"/>
              <w:bottom w:w="80" w:type="dxa"/>
              <w:right w:w="100" w:type="dxa"/>
            </w:tcMar>
          </w:tcPr>
          <w:p w14:paraId="00000292" w14:textId="77777777" w:rsidR="0062357D" w:rsidRDefault="007E79DA">
            <w:r>
              <w:rPr>
                <w:sz w:val="19"/>
                <w:szCs w:val="19"/>
              </w:rPr>
              <w:t>Third-party remediation partner</w:t>
            </w:r>
          </w:p>
        </w:tc>
        <w:tc>
          <w:tcPr>
            <w:tcW w:w="2800" w:type="dxa"/>
            <w:tcMar>
              <w:top w:w="80" w:type="dxa"/>
              <w:left w:w="100" w:type="dxa"/>
              <w:bottom w:w="80" w:type="dxa"/>
              <w:right w:w="100" w:type="dxa"/>
            </w:tcMar>
          </w:tcPr>
          <w:p w14:paraId="00000293" w14:textId="77777777" w:rsidR="0062357D" w:rsidRDefault="007E79DA">
            <w:r>
              <w:rPr>
                <w:sz w:val="19"/>
                <w:szCs w:val="19"/>
              </w:rPr>
              <w:t>Downstream offset/restoration action, not a dependency of core metering</w:t>
            </w:r>
          </w:p>
        </w:tc>
      </w:tr>
    </w:tbl>
    <w:p w14:paraId="00000294" w14:textId="77777777" w:rsidR="0062357D" w:rsidRDefault="0062357D">
      <w:pPr>
        <w:spacing w:after="140"/>
      </w:pPr>
    </w:p>
    <w:p w14:paraId="00000295" w14:textId="77777777" w:rsidR="0062357D" w:rsidRDefault="007E79DA">
      <w:pPr>
        <w:pStyle w:val="Heading1"/>
        <w:spacing w:before="360" w:after="160"/>
      </w:pPr>
      <w:r>
        <w:rPr>
          <w:b/>
          <w:bCs/>
          <w:color w:val="0F4A2E"/>
          <w:sz w:val="30"/>
          <w:szCs w:val="30"/>
        </w:rPr>
        <w:t>14. Privacy, Security, and Compliance</w:t>
      </w:r>
    </w:p>
    <w:p w14:paraId="00000296" w14:textId="77777777" w:rsidR="0062357D" w:rsidRDefault="007E79DA">
      <w:pPr>
        <w:pStyle w:val="Heading2"/>
        <w:spacing w:before="280" w:after="120"/>
      </w:pPr>
      <w:r>
        <w:rPr>
          <w:b/>
          <w:bCs/>
          <w:color w:val="1E7A4C"/>
          <w:sz w:val="24"/>
          <w:szCs w:val="24"/>
        </w:rPr>
        <w:t>14.1 Data Privacy</w:t>
      </w:r>
    </w:p>
    <w:p w14:paraId="00000297" w14:textId="77777777" w:rsidR="0062357D" w:rsidRDefault="007E79DA">
      <w:pPr>
        <w:numPr>
          <w:ilvl w:val="0"/>
          <w:numId w:val="1"/>
        </w:numPr>
        <w:pBdr>
          <w:top w:val="nil"/>
          <w:left w:val="nil"/>
          <w:bottom w:val="nil"/>
          <w:right w:val="nil"/>
          <w:between w:val="nil"/>
        </w:pBdr>
        <w:spacing w:after="60"/>
      </w:pPr>
      <w:r>
        <w:rPr>
          <w:color w:val="000000"/>
          <w:sz w:val="21"/>
          <w:szCs w:val="21"/>
        </w:rPr>
        <w:t>Content minimization: Stardust captures usage metadata (token counts, model IDs, timestamps, costs) by design, not prompt/response content; any content-adjacent signal needed for estimation (e.g., message length) is processed locally in the client where possible and not retained centrally.</w:t>
      </w:r>
    </w:p>
    <w:p w14:paraId="00000298" w14:textId="77777777" w:rsidR="0062357D" w:rsidRDefault="007E79DA">
      <w:pPr>
        <w:numPr>
          <w:ilvl w:val="0"/>
          <w:numId w:val="1"/>
        </w:numPr>
        <w:pBdr>
          <w:top w:val="nil"/>
          <w:left w:val="nil"/>
          <w:bottom w:val="nil"/>
          <w:right w:val="nil"/>
          <w:between w:val="nil"/>
        </w:pBdr>
        <w:spacing w:after="60"/>
      </w:pPr>
      <w:r>
        <w:rPr>
          <w:color w:val="000000"/>
          <w:sz w:val="21"/>
          <w:szCs w:val="21"/>
        </w:rPr>
        <w:t>Pseudonymous identifiers by default for the consumer layer; enterprise/infra layer supports org-scoped identity without linking to individual end-user content.</w:t>
      </w:r>
    </w:p>
    <w:p w14:paraId="00000299" w14:textId="77777777" w:rsidR="0062357D" w:rsidRDefault="007E79DA">
      <w:pPr>
        <w:numPr>
          <w:ilvl w:val="0"/>
          <w:numId w:val="1"/>
        </w:numPr>
        <w:pBdr>
          <w:top w:val="nil"/>
          <w:left w:val="nil"/>
          <w:bottom w:val="nil"/>
          <w:right w:val="nil"/>
          <w:between w:val="nil"/>
        </w:pBdr>
        <w:spacing w:after="60"/>
      </w:pPr>
      <w:r>
        <w:rPr>
          <w:color w:val="000000"/>
          <w:sz w:val="21"/>
          <w:szCs w:val="21"/>
        </w:rPr>
        <w:t>Self-hosted/VPC deployment option for the infra layer so regulated organizations can keep raw telemetry in their own environment.</w:t>
      </w:r>
    </w:p>
    <w:p w14:paraId="0000029A" w14:textId="77777777" w:rsidR="0062357D" w:rsidRDefault="007E79DA">
      <w:pPr>
        <w:numPr>
          <w:ilvl w:val="0"/>
          <w:numId w:val="1"/>
        </w:numPr>
        <w:pBdr>
          <w:top w:val="nil"/>
          <w:left w:val="nil"/>
          <w:bottom w:val="nil"/>
          <w:right w:val="nil"/>
          <w:between w:val="nil"/>
        </w:pBdr>
        <w:spacing w:after="60"/>
      </w:pPr>
      <w:r>
        <w:rPr>
          <w:color w:val="000000"/>
          <w:sz w:val="21"/>
          <w:szCs w:val="21"/>
        </w:rPr>
        <w:t>Domain allow-list and explicit user opt-in for which sites/apps the browser extension actively measures, given the extension's broad content-script reach.</w:t>
      </w:r>
    </w:p>
    <w:p w14:paraId="0000029B"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Data retention limits, export, and deletion controls consistent with standard SaaS privacy practice and applicable regional requirements (e.g., GDPR-aligned controls given </w:t>
      </w:r>
      <w:proofErr w:type="spellStart"/>
      <w:r>
        <w:rPr>
          <w:color w:val="000000"/>
          <w:sz w:val="21"/>
          <w:szCs w:val="21"/>
        </w:rPr>
        <w:t>AIforE's</w:t>
      </w:r>
      <w:proofErr w:type="spellEnd"/>
      <w:r>
        <w:rPr>
          <w:color w:val="000000"/>
          <w:sz w:val="21"/>
          <w:szCs w:val="21"/>
        </w:rPr>
        <w:t xml:space="preserve"> stated European market scope).</w:t>
      </w:r>
    </w:p>
    <w:p w14:paraId="0000029C" w14:textId="77777777" w:rsidR="0062357D" w:rsidRDefault="007E79DA">
      <w:pPr>
        <w:pStyle w:val="Heading2"/>
        <w:spacing w:before="280" w:after="120"/>
      </w:pPr>
      <w:r>
        <w:rPr>
          <w:b/>
          <w:bCs/>
          <w:color w:val="1E7A4C"/>
          <w:sz w:val="24"/>
          <w:szCs w:val="24"/>
        </w:rPr>
        <w:t>14.2 Open Source Supply-Chain Security</w:t>
      </w:r>
    </w:p>
    <w:p w14:paraId="0000029D" w14:textId="77777777" w:rsidR="0062357D" w:rsidRDefault="007E79DA">
      <w:pPr>
        <w:spacing w:after="140"/>
      </w:pPr>
      <w:r>
        <w:rPr>
          <w:sz w:val="21"/>
          <w:szCs w:val="21"/>
        </w:rPr>
        <w:t>Stardust both consumes third-party open source components (§9.4) and is itself intended to be forked and self-hosted by others (§17), so its build and release pipeline carries an explicit posture for supply-chain risk, not just data privacy.</w:t>
      </w:r>
    </w:p>
    <w:p w14:paraId="0000029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SBOM generation: every Stardust release (client and Core) generates a signed Software Bill of Materials in </w:t>
      </w:r>
      <w:proofErr w:type="spellStart"/>
      <w:r>
        <w:rPr>
          <w:color w:val="000000"/>
          <w:sz w:val="21"/>
          <w:szCs w:val="21"/>
        </w:rPr>
        <w:t>CycloneDX</w:t>
      </w:r>
      <w:proofErr w:type="spellEnd"/>
      <w:r>
        <w:rPr>
          <w:color w:val="000000"/>
          <w:sz w:val="21"/>
          <w:szCs w:val="21"/>
        </w:rPr>
        <w:t xml:space="preserve"> or SPDX format — using an open source generator such as </w:t>
      </w:r>
      <w:proofErr w:type="spellStart"/>
      <w:r>
        <w:rPr>
          <w:color w:val="000000"/>
          <w:sz w:val="21"/>
          <w:szCs w:val="21"/>
        </w:rPr>
        <w:t>Syft</w:t>
      </w:r>
      <w:proofErr w:type="spellEnd"/>
      <w:r>
        <w:rPr>
          <w:color w:val="000000"/>
          <w:sz w:val="21"/>
          <w:szCs w:val="21"/>
        </w:rPr>
        <w:t xml:space="preserve"> — attached directly to the release artifact rather than left as a loose file on a release page, so a fork or self-</w:t>
      </w:r>
      <w:proofErr w:type="spellStart"/>
      <w:r>
        <w:rPr>
          <w:color w:val="000000"/>
          <w:sz w:val="21"/>
          <w:szCs w:val="21"/>
        </w:rPr>
        <w:t>hoster</w:t>
      </w:r>
      <w:proofErr w:type="spellEnd"/>
      <w:r>
        <w:rPr>
          <w:color w:val="000000"/>
          <w:sz w:val="21"/>
          <w:szCs w:val="21"/>
        </w:rPr>
        <w:t xml:space="preserve"> (§9.3) can verify exactly what they're running.</w:t>
      </w:r>
    </w:p>
    <w:p w14:paraId="0000029F"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Dependency vulnerability scanning (SCA): every dependency, including the </w:t>
      </w:r>
      <w:proofErr w:type="spellStart"/>
      <w:r>
        <w:rPr>
          <w:color w:val="000000"/>
          <w:sz w:val="21"/>
          <w:szCs w:val="21"/>
        </w:rPr>
        <w:t>vendored</w:t>
      </w:r>
      <w:proofErr w:type="spellEnd"/>
      <w:r>
        <w:rPr>
          <w:color w:val="000000"/>
          <w:sz w:val="21"/>
          <w:szCs w:val="21"/>
        </w:rPr>
        <w:t xml:space="preserve"> </w:t>
      </w:r>
      <w:proofErr w:type="spellStart"/>
      <w:r>
        <w:rPr>
          <w:color w:val="000000"/>
          <w:sz w:val="21"/>
          <w:szCs w:val="21"/>
        </w:rPr>
        <w:t>LiteLLM</w:t>
      </w:r>
      <w:proofErr w:type="spellEnd"/>
      <w:r>
        <w:rPr>
          <w:color w:val="000000"/>
          <w:sz w:val="21"/>
          <w:szCs w:val="21"/>
        </w:rPr>
        <w:t xml:space="preserve"> pricing data and </w:t>
      </w:r>
      <w:proofErr w:type="spellStart"/>
      <w:r>
        <w:rPr>
          <w:color w:val="000000"/>
          <w:sz w:val="21"/>
          <w:szCs w:val="21"/>
        </w:rPr>
        <w:t>tokencost</w:t>
      </w:r>
      <w:proofErr w:type="spellEnd"/>
      <w:r>
        <w:rPr>
          <w:color w:val="000000"/>
          <w:sz w:val="21"/>
          <w:szCs w:val="21"/>
        </w:rPr>
        <w:t xml:space="preserve"> fork (§9.4), is continuously cross-referenced against known-vulnerability databases (the NVD, Google's </w:t>
      </w:r>
      <w:proofErr w:type="spellStart"/>
      <w:r>
        <w:rPr>
          <w:color w:val="000000"/>
          <w:sz w:val="21"/>
          <w:szCs w:val="21"/>
        </w:rPr>
        <w:t>OSV.dev</w:t>
      </w:r>
      <w:proofErr w:type="spellEnd"/>
      <w:r>
        <w:rPr>
          <w:color w:val="000000"/>
          <w:sz w:val="21"/>
          <w:szCs w:val="21"/>
        </w:rPr>
        <w:t>) using an open source scanner such as OSV-Scanner as the baseline layer, with reachability-aware triage — prioritizing CVEs in code paths Stardust actually executes — to avoid alert fatigue from vulnerabilities in transitive dependencies that are never invoked.</w:t>
      </w:r>
    </w:p>
    <w:p w14:paraId="000002A0" w14:textId="77777777" w:rsidR="0062357D" w:rsidRDefault="007E79DA">
      <w:pPr>
        <w:numPr>
          <w:ilvl w:val="0"/>
          <w:numId w:val="1"/>
        </w:numPr>
        <w:pBdr>
          <w:top w:val="nil"/>
          <w:left w:val="nil"/>
          <w:bottom w:val="nil"/>
          <w:right w:val="nil"/>
          <w:between w:val="nil"/>
        </w:pBdr>
        <w:spacing w:after="60"/>
      </w:pPr>
      <w:r>
        <w:rPr>
          <w:color w:val="000000"/>
          <w:sz w:val="21"/>
          <w:szCs w:val="21"/>
        </w:rPr>
        <w:t>Malicious-package detection: dependency updates are also screened for malicious packages (</w:t>
      </w:r>
      <w:proofErr w:type="spellStart"/>
      <w:r>
        <w:rPr>
          <w:color w:val="000000"/>
          <w:sz w:val="21"/>
          <w:szCs w:val="21"/>
        </w:rPr>
        <w:t>typosquatting</w:t>
      </w:r>
      <w:proofErr w:type="spellEnd"/>
      <w:r>
        <w:rPr>
          <w:color w:val="000000"/>
          <w:sz w:val="21"/>
          <w:szCs w:val="21"/>
        </w:rPr>
        <w:t xml:space="preserve">, compromised maintainer accounts), not just known CVEs — an increasingly urgent threat class, given 2025 alone saw over 1,700 malicious packages tied to a single campaign spanning </w:t>
      </w:r>
      <w:proofErr w:type="spellStart"/>
      <w:r>
        <w:rPr>
          <w:color w:val="000000"/>
          <w:sz w:val="21"/>
          <w:szCs w:val="21"/>
        </w:rPr>
        <w:t>npm</w:t>
      </w:r>
      <w:proofErr w:type="spellEnd"/>
      <w:r>
        <w:rPr>
          <w:color w:val="000000"/>
          <w:sz w:val="21"/>
          <w:szCs w:val="21"/>
        </w:rPr>
        <w:t xml:space="preserve">, </w:t>
      </w:r>
      <w:proofErr w:type="spellStart"/>
      <w:r>
        <w:rPr>
          <w:color w:val="000000"/>
          <w:sz w:val="21"/>
          <w:szCs w:val="21"/>
        </w:rPr>
        <w:t>PyPI</w:t>
      </w:r>
      <w:proofErr w:type="spellEnd"/>
      <w:r>
        <w:rPr>
          <w:color w:val="000000"/>
          <w:sz w:val="21"/>
          <w:szCs w:val="21"/>
        </w:rPr>
        <w:t>, Go, and Rust; directly relevant to Stardust since its own client stack spans JS/TS (browser extension, §9.1) and Python (Infra SDK, §9.1), both named targets of that campaign.</w:t>
      </w:r>
    </w:p>
    <w:p w14:paraId="000002A1"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Build provenance and artifact signing: Stardust's CI/CD pipeline targets SLSA provenance, starting at Level 1 (automated, verifiable provenance) and increasing as the self-hosted/enterprise deployment model (§9.3) justifies the added rigor, with release artifacts signed via </w:t>
      </w:r>
      <w:proofErr w:type="spellStart"/>
      <w:r>
        <w:rPr>
          <w:color w:val="000000"/>
          <w:sz w:val="21"/>
          <w:szCs w:val="21"/>
        </w:rPr>
        <w:t>Sigstore</w:t>
      </w:r>
      <w:proofErr w:type="spellEnd"/>
      <w:r>
        <w:rPr>
          <w:color w:val="000000"/>
          <w:sz w:val="21"/>
          <w:szCs w:val="21"/>
        </w:rPr>
        <w:t>/Cosign so a self-hosting organization can verify the binary it runs matches the trusted build rather than a tampered fork.</w:t>
      </w:r>
    </w:p>
    <w:p w14:paraId="000002A2"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CI/CD hardening: GitHub Actions (or equivalent) pinned to commit SHAs rather than mutable tags, and secrets scoped to the minimum job that needs them, to reduce the blast radius of a compromised CI dependency — the </w:t>
      </w:r>
      <w:proofErr w:type="spellStart"/>
      <w:r>
        <w:rPr>
          <w:color w:val="000000"/>
          <w:sz w:val="21"/>
          <w:szCs w:val="21"/>
        </w:rPr>
        <w:t>SolarWinds</w:t>
      </w:r>
      <w:proofErr w:type="spellEnd"/>
      <w:r>
        <w:rPr>
          <w:color w:val="000000"/>
          <w:sz w:val="21"/>
          <w:szCs w:val="21"/>
        </w:rPr>
        <w:t>-class attack pattern this specifically guards against isn't caught by dependency scanning alone.</w:t>
      </w:r>
    </w:p>
    <w:p w14:paraId="000002A3" w14:textId="77777777" w:rsidR="0062357D" w:rsidRDefault="007E79DA">
      <w:pPr>
        <w:numPr>
          <w:ilvl w:val="0"/>
          <w:numId w:val="1"/>
        </w:numPr>
        <w:pBdr>
          <w:top w:val="nil"/>
          <w:left w:val="nil"/>
          <w:bottom w:val="nil"/>
          <w:right w:val="nil"/>
          <w:between w:val="nil"/>
        </w:pBdr>
        <w:spacing w:after="60"/>
      </w:pPr>
      <w:r>
        <w:rPr>
          <w:color w:val="000000"/>
          <w:sz w:val="21"/>
          <w:szCs w:val="21"/>
        </w:rPr>
        <w:t>Pre-commit and pre-merge scanning: secrets scanning and static analysis run before code merges, not only at release time.</w:t>
      </w:r>
    </w:p>
    <w:p w14:paraId="000002A4" w14:textId="77777777" w:rsidR="0062357D" w:rsidRDefault="007E79DA">
      <w:pPr>
        <w:numPr>
          <w:ilvl w:val="0"/>
          <w:numId w:val="1"/>
        </w:numPr>
        <w:pBdr>
          <w:top w:val="nil"/>
          <w:left w:val="nil"/>
          <w:bottom w:val="nil"/>
          <w:right w:val="nil"/>
          <w:between w:val="nil"/>
        </w:pBdr>
        <w:spacing w:after="60"/>
      </w:pPr>
      <w:proofErr w:type="spellStart"/>
      <w:r>
        <w:rPr>
          <w:color w:val="000000"/>
          <w:sz w:val="21"/>
          <w:szCs w:val="21"/>
        </w:rPr>
        <w:t>Vendored</w:t>
      </w:r>
      <w:proofErr w:type="spellEnd"/>
      <w:r>
        <w:rPr>
          <w:color w:val="000000"/>
          <w:sz w:val="21"/>
          <w:szCs w:val="21"/>
        </w:rPr>
        <w:t xml:space="preserve"> data integrity: because the reused </w:t>
      </w:r>
      <w:proofErr w:type="spellStart"/>
      <w:r>
        <w:rPr>
          <w:color w:val="000000"/>
          <w:sz w:val="21"/>
          <w:szCs w:val="21"/>
        </w:rPr>
        <w:t>LiteLLM</w:t>
      </w:r>
      <w:proofErr w:type="spellEnd"/>
      <w:r>
        <w:rPr>
          <w:color w:val="000000"/>
          <w:sz w:val="21"/>
          <w:szCs w:val="21"/>
        </w:rPr>
        <w:t xml:space="preserve"> pricing JSON (§9.4) is data, not code, it is schema-validated on ingest before being merged into Stardust's own versioned factor configuration (§8.4), so a malformed or tampered upstream file can't silently corrupt a cost or environmental calculation.</w:t>
      </w:r>
    </w:p>
    <w:p w14:paraId="000002A5"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Regulatory alignment: SBOM generation in particular is increasingly a legal requirement, not just a best practice, for software distributed into the EU (Cyber Resilience Act) and U.S. federal-adjacent contexts (Executive Order 14028) — relevant given Stardust's open source distribution model (§17) and </w:t>
      </w:r>
      <w:proofErr w:type="spellStart"/>
      <w:r>
        <w:rPr>
          <w:color w:val="000000"/>
          <w:sz w:val="21"/>
          <w:szCs w:val="21"/>
        </w:rPr>
        <w:t>AIforE's</w:t>
      </w:r>
      <w:proofErr w:type="spellEnd"/>
      <w:r>
        <w:rPr>
          <w:color w:val="000000"/>
          <w:sz w:val="21"/>
          <w:szCs w:val="21"/>
        </w:rPr>
        <w:t xml:space="preserve"> European market interest already noted in §14.1.</w:t>
      </w:r>
    </w:p>
    <w:p w14:paraId="000002A6" w14:textId="77777777" w:rsidR="0062357D" w:rsidRDefault="007E79DA">
      <w:pPr>
        <w:pStyle w:val="Heading1"/>
        <w:spacing w:before="360" w:after="160"/>
      </w:pPr>
      <w:r>
        <w:rPr>
          <w:b/>
          <w:bCs/>
          <w:color w:val="0F4A2E"/>
          <w:sz w:val="30"/>
          <w:szCs w:val="30"/>
        </w:rPr>
        <w:t>15. Non-Functional Requirements</w:t>
      </w:r>
    </w:p>
    <w:tbl>
      <w:tblPr>
        <w:tblStyle w:val="af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00"/>
      </w:tblGrid>
      <w:tr w:rsidR="0062357D" w14:paraId="5C0DEA07" w14:textId="77777777">
        <w:trPr>
          <w:tblHeader/>
        </w:trPr>
        <w:tc>
          <w:tcPr>
            <w:tcW w:w="3200" w:type="dxa"/>
            <w:shd w:val="clear" w:color="auto" w:fill="1E7A4C"/>
            <w:tcMar>
              <w:top w:w="80" w:type="dxa"/>
              <w:left w:w="100" w:type="dxa"/>
              <w:bottom w:w="80" w:type="dxa"/>
              <w:right w:w="100" w:type="dxa"/>
            </w:tcMar>
          </w:tcPr>
          <w:p w14:paraId="000002A7" w14:textId="77777777" w:rsidR="0062357D" w:rsidRDefault="007E79DA">
            <w:r>
              <w:rPr>
                <w:b/>
                <w:bCs/>
                <w:color w:val="FFFFFF"/>
                <w:sz w:val="19"/>
                <w:szCs w:val="19"/>
              </w:rPr>
              <w:t>Requirement</w:t>
            </w:r>
          </w:p>
        </w:tc>
        <w:tc>
          <w:tcPr>
            <w:tcW w:w="6800" w:type="dxa"/>
            <w:shd w:val="clear" w:color="auto" w:fill="1E7A4C"/>
            <w:tcMar>
              <w:top w:w="80" w:type="dxa"/>
              <w:left w:w="100" w:type="dxa"/>
              <w:bottom w:w="80" w:type="dxa"/>
              <w:right w:w="100" w:type="dxa"/>
            </w:tcMar>
          </w:tcPr>
          <w:p w14:paraId="000002A8" w14:textId="77777777" w:rsidR="0062357D" w:rsidRDefault="007E79DA">
            <w:r>
              <w:rPr>
                <w:b/>
                <w:bCs/>
                <w:color w:val="FFFFFF"/>
                <w:sz w:val="19"/>
                <w:szCs w:val="19"/>
              </w:rPr>
              <w:t>Target</w:t>
            </w:r>
          </w:p>
        </w:tc>
      </w:tr>
      <w:tr w:rsidR="0062357D" w14:paraId="1CD7E3E4" w14:textId="77777777">
        <w:tc>
          <w:tcPr>
            <w:tcW w:w="3200" w:type="dxa"/>
            <w:tcMar>
              <w:top w:w="80" w:type="dxa"/>
              <w:left w:w="100" w:type="dxa"/>
              <w:bottom w:w="80" w:type="dxa"/>
              <w:right w:w="100" w:type="dxa"/>
            </w:tcMar>
          </w:tcPr>
          <w:p w14:paraId="000002A9" w14:textId="77777777" w:rsidR="0062357D" w:rsidRDefault="007E79DA">
            <w:r>
              <w:rPr>
                <w:sz w:val="19"/>
                <w:szCs w:val="19"/>
              </w:rPr>
              <w:t>Performance overhead</w:t>
            </w:r>
          </w:p>
        </w:tc>
        <w:tc>
          <w:tcPr>
            <w:tcW w:w="6800" w:type="dxa"/>
            <w:tcMar>
              <w:top w:w="80" w:type="dxa"/>
              <w:left w:w="100" w:type="dxa"/>
              <w:bottom w:w="80" w:type="dxa"/>
              <w:right w:w="100" w:type="dxa"/>
            </w:tcMar>
          </w:tcPr>
          <w:p w14:paraId="000002AA" w14:textId="77777777" w:rsidR="0062357D" w:rsidRDefault="007E79DA">
            <w:r>
              <w:rPr>
                <w:sz w:val="19"/>
                <w:szCs w:val="19"/>
              </w:rPr>
              <w:t>Client-side measurement adds no perceptible latency to the underlying chat/query interaction</w:t>
            </w:r>
          </w:p>
        </w:tc>
      </w:tr>
      <w:tr w:rsidR="0062357D" w14:paraId="214E5109" w14:textId="77777777">
        <w:tc>
          <w:tcPr>
            <w:tcW w:w="3200" w:type="dxa"/>
            <w:tcMar>
              <w:top w:w="80" w:type="dxa"/>
              <w:left w:w="100" w:type="dxa"/>
              <w:bottom w:w="80" w:type="dxa"/>
              <w:right w:w="100" w:type="dxa"/>
            </w:tcMar>
          </w:tcPr>
          <w:p w14:paraId="000002AB" w14:textId="77777777" w:rsidR="0062357D" w:rsidRDefault="007E79DA">
            <w:r>
              <w:rPr>
                <w:sz w:val="19"/>
                <w:szCs w:val="19"/>
              </w:rPr>
              <w:t>Extensibility</w:t>
            </w:r>
          </w:p>
        </w:tc>
        <w:tc>
          <w:tcPr>
            <w:tcW w:w="6800" w:type="dxa"/>
            <w:tcMar>
              <w:top w:w="80" w:type="dxa"/>
              <w:left w:w="100" w:type="dxa"/>
              <w:bottom w:w="80" w:type="dxa"/>
              <w:right w:w="100" w:type="dxa"/>
            </w:tcMar>
          </w:tcPr>
          <w:p w14:paraId="000002AC" w14:textId="77777777" w:rsidR="0062357D" w:rsidRDefault="007E79DA">
            <w:r>
              <w:rPr>
                <w:sz w:val="19"/>
                <w:szCs w:val="19"/>
              </w:rPr>
              <w:t>New providers/models/impact categories addable via configuration, not a client release</w:t>
            </w:r>
          </w:p>
        </w:tc>
      </w:tr>
      <w:tr w:rsidR="0062357D" w14:paraId="54878A61" w14:textId="77777777">
        <w:tc>
          <w:tcPr>
            <w:tcW w:w="3200" w:type="dxa"/>
            <w:tcMar>
              <w:top w:w="80" w:type="dxa"/>
              <w:left w:w="100" w:type="dxa"/>
              <w:bottom w:w="80" w:type="dxa"/>
              <w:right w:w="100" w:type="dxa"/>
            </w:tcMar>
          </w:tcPr>
          <w:p w14:paraId="000002AD" w14:textId="77777777" w:rsidR="0062357D" w:rsidRDefault="007E79DA">
            <w:r>
              <w:rPr>
                <w:sz w:val="19"/>
                <w:szCs w:val="19"/>
              </w:rPr>
              <w:t>Portability</w:t>
            </w:r>
          </w:p>
        </w:tc>
        <w:tc>
          <w:tcPr>
            <w:tcW w:w="6800" w:type="dxa"/>
            <w:tcMar>
              <w:top w:w="80" w:type="dxa"/>
              <w:left w:w="100" w:type="dxa"/>
              <w:bottom w:w="80" w:type="dxa"/>
              <w:right w:w="100" w:type="dxa"/>
            </w:tcMar>
          </w:tcPr>
          <w:p w14:paraId="000002AE" w14:textId="77777777" w:rsidR="0062357D" w:rsidRDefault="007E79DA">
            <w:r>
              <w:rPr>
                <w:sz w:val="19"/>
                <w:szCs w:val="19"/>
              </w:rPr>
              <w:t>Single core codebase per client layer; browser layer built once against MV3 with per-browser adaptation shims</w:t>
            </w:r>
          </w:p>
        </w:tc>
      </w:tr>
      <w:tr w:rsidR="0062357D" w14:paraId="6ED48958" w14:textId="77777777">
        <w:tc>
          <w:tcPr>
            <w:tcW w:w="3200" w:type="dxa"/>
            <w:tcMar>
              <w:top w:w="80" w:type="dxa"/>
              <w:left w:w="100" w:type="dxa"/>
              <w:bottom w:w="80" w:type="dxa"/>
              <w:right w:w="100" w:type="dxa"/>
            </w:tcMar>
          </w:tcPr>
          <w:p w14:paraId="000002AF" w14:textId="77777777" w:rsidR="0062357D" w:rsidRDefault="007E79DA">
            <w:r>
              <w:rPr>
                <w:sz w:val="19"/>
                <w:szCs w:val="19"/>
              </w:rPr>
              <w:t>Reliability</w:t>
            </w:r>
          </w:p>
        </w:tc>
        <w:tc>
          <w:tcPr>
            <w:tcW w:w="6800" w:type="dxa"/>
            <w:tcMar>
              <w:top w:w="80" w:type="dxa"/>
              <w:left w:w="100" w:type="dxa"/>
              <w:bottom w:w="80" w:type="dxa"/>
              <w:right w:w="100" w:type="dxa"/>
            </w:tcMar>
          </w:tcPr>
          <w:p w14:paraId="000002B0" w14:textId="77777777" w:rsidR="0062357D" w:rsidRDefault="007E79DA">
            <w:r>
              <w:rPr>
                <w:sz w:val="19"/>
                <w:szCs w:val="19"/>
              </w:rPr>
              <w:t>Graceful degradation to Estimated-tier data when richer sources are unavailable, never a blocked user action</w:t>
            </w:r>
          </w:p>
        </w:tc>
      </w:tr>
      <w:tr w:rsidR="0062357D" w14:paraId="6AA5FA90" w14:textId="77777777">
        <w:tc>
          <w:tcPr>
            <w:tcW w:w="3200" w:type="dxa"/>
            <w:tcMar>
              <w:top w:w="80" w:type="dxa"/>
              <w:left w:w="100" w:type="dxa"/>
              <w:bottom w:w="80" w:type="dxa"/>
              <w:right w:w="100" w:type="dxa"/>
            </w:tcMar>
          </w:tcPr>
          <w:p w14:paraId="000002B1" w14:textId="77777777" w:rsidR="0062357D" w:rsidRDefault="007E79DA">
            <w:r>
              <w:rPr>
                <w:sz w:val="19"/>
                <w:szCs w:val="19"/>
              </w:rPr>
              <w:t>Auditability</w:t>
            </w:r>
          </w:p>
        </w:tc>
        <w:tc>
          <w:tcPr>
            <w:tcW w:w="6800" w:type="dxa"/>
            <w:tcMar>
              <w:top w:w="80" w:type="dxa"/>
              <w:left w:w="100" w:type="dxa"/>
              <w:bottom w:w="80" w:type="dxa"/>
              <w:right w:w="100" w:type="dxa"/>
            </w:tcMar>
          </w:tcPr>
          <w:p w14:paraId="000002B2" w14:textId="77777777" w:rsidR="0062357D" w:rsidRDefault="007E79DA">
            <w:r>
              <w:rPr>
                <w:sz w:val="19"/>
                <w:szCs w:val="19"/>
              </w:rPr>
              <w:t>Every displayed figure traceable to its source event, methodology version, and confidence tier</w:t>
            </w:r>
          </w:p>
        </w:tc>
      </w:tr>
      <w:tr w:rsidR="0062357D" w14:paraId="7C8A616B" w14:textId="77777777">
        <w:tc>
          <w:tcPr>
            <w:tcW w:w="3200" w:type="dxa"/>
            <w:tcMar>
              <w:top w:w="80" w:type="dxa"/>
              <w:left w:w="100" w:type="dxa"/>
              <w:bottom w:w="80" w:type="dxa"/>
              <w:right w:w="100" w:type="dxa"/>
            </w:tcMar>
          </w:tcPr>
          <w:p w14:paraId="000002B3" w14:textId="77777777" w:rsidR="0062357D" w:rsidRDefault="007E79DA">
            <w:r>
              <w:rPr>
                <w:sz w:val="19"/>
                <w:szCs w:val="19"/>
              </w:rPr>
              <w:t>Offline resilience</w:t>
            </w:r>
          </w:p>
        </w:tc>
        <w:tc>
          <w:tcPr>
            <w:tcW w:w="6800" w:type="dxa"/>
            <w:tcMar>
              <w:top w:w="80" w:type="dxa"/>
              <w:left w:w="100" w:type="dxa"/>
              <w:bottom w:w="80" w:type="dxa"/>
              <w:right w:w="100" w:type="dxa"/>
            </w:tcMar>
          </w:tcPr>
          <w:p w14:paraId="000002B4" w14:textId="77777777" w:rsidR="0062357D" w:rsidRDefault="007E79DA">
            <w:r>
              <w:rPr>
                <w:sz w:val="19"/>
                <w:szCs w:val="19"/>
              </w:rPr>
              <w:t>Local buffering of events with sync-on-reconnect for the infra agent</w:t>
            </w:r>
          </w:p>
        </w:tc>
      </w:tr>
    </w:tbl>
    <w:p w14:paraId="000002B5" w14:textId="77777777" w:rsidR="0062357D" w:rsidRDefault="0062357D">
      <w:pPr>
        <w:spacing w:after="140"/>
      </w:pPr>
    </w:p>
    <w:p w14:paraId="000002B6" w14:textId="77777777" w:rsidR="0062357D" w:rsidRDefault="007E79DA">
      <w:pPr>
        <w:pStyle w:val="Heading1"/>
        <w:spacing w:before="360" w:after="160"/>
      </w:pPr>
      <w:r>
        <w:rPr>
          <w:b/>
          <w:bCs/>
          <w:color w:val="0F4A2E"/>
          <w:sz w:val="30"/>
          <w:szCs w:val="30"/>
        </w:rPr>
        <w:t>16. Phased Roadmap</w:t>
      </w:r>
    </w:p>
    <w:p w14:paraId="000002B7" w14:textId="77777777" w:rsidR="0062357D" w:rsidRDefault="007E79DA">
      <w:pPr>
        <w:pStyle w:val="Heading2"/>
        <w:spacing w:before="280" w:after="120"/>
      </w:pPr>
      <w:r>
        <w:rPr>
          <w:b/>
          <w:bCs/>
          <w:color w:val="1E7A4C"/>
          <w:sz w:val="24"/>
          <w:szCs w:val="24"/>
        </w:rPr>
        <w:t>Phase 1 — Foundation</w:t>
      </w:r>
    </w:p>
    <w:p w14:paraId="000002B8" w14:textId="77777777" w:rsidR="0062357D" w:rsidRDefault="007E79DA">
      <w:pPr>
        <w:numPr>
          <w:ilvl w:val="0"/>
          <w:numId w:val="1"/>
        </w:numPr>
        <w:pBdr>
          <w:top w:val="nil"/>
          <w:left w:val="nil"/>
          <w:bottom w:val="nil"/>
          <w:right w:val="nil"/>
          <w:between w:val="nil"/>
        </w:pBdr>
        <w:spacing w:after="60"/>
      </w:pPr>
      <w:r>
        <w:rPr>
          <w:color w:val="000000"/>
          <w:sz w:val="21"/>
          <w:szCs w:val="21"/>
        </w:rPr>
        <w:t>Finalize indicator-code thresholds and environmental methodology v0.1 with published sourcing.</w:t>
      </w:r>
    </w:p>
    <w:p w14:paraId="000002B9"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Ship browser extension (Chrome/Edge first) as the universal fallback layer, building on the existing </w:t>
      </w:r>
      <w:proofErr w:type="spellStart"/>
      <w:r>
        <w:rPr>
          <w:color w:val="000000"/>
          <w:sz w:val="21"/>
          <w:szCs w:val="21"/>
        </w:rPr>
        <w:t>AIforE</w:t>
      </w:r>
      <w:proofErr w:type="spellEnd"/>
      <w:r>
        <w:rPr>
          <w:color w:val="000000"/>
          <w:sz w:val="21"/>
          <w:szCs w:val="21"/>
        </w:rPr>
        <w:t xml:space="preserve"> token-cost calculator prototype.</w:t>
      </w:r>
    </w:p>
    <w:p w14:paraId="000002BA" w14:textId="77777777" w:rsidR="0062357D" w:rsidRDefault="007E79DA">
      <w:pPr>
        <w:numPr>
          <w:ilvl w:val="0"/>
          <w:numId w:val="1"/>
        </w:numPr>
        <w:pBdr>
          <w:top w:val="nil"/>
          <w:left w:val="nil"/>
          <w:bottom w:val="nil"/>
          <w:right w:val="nil"/>
          <w:between w:val="nil"/>
        </w:pBdr>
        <w:spacing w:after="60"/>
      </w:pPr>
      <w:r>
        <w:rPr>
          <w:color w:val="000000"/>
          <w:sz w:val="21"/>
          <w:szCs w:val="21"/>
        </w:rPr>
        <w:t>Ship Stardust Core v0.1: ingestion, normalization, methodology engine, basic dashboard.</w:t>
      </w:r>
    </w:p>
    <w:p w14:paraId="000002BB" w14:textId="77777777" w:rsidR="0062357D" w:rsidRDefault="007E79DA">
      <w:pPr>
        <w:pStyle w:val="Heading2"/>
        <w:spacing w:before="280" w:after="120"/>
      </w:pPr>
      <w:r>
        <w:rPr>
          <w:b/>
          <w:bCs/>
          <w:color w:val="1E7A4C"/>
          <w:sz w:val="24"/>
          <w:szCs w:val="24"/>
        </w:rPr>
        <w:t>Phase 2 — Native Chat Integrations</w:t>
      </w:r>
    </w:p>
    <w:p w14:paraId="000002BC"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Native plugin/connector integrations for Claude, </w:t>
      </w:r>
      <w:proofErr w:type="spellStart"/>
      <w:r>
        <w:rPr>
          <w:color w:val="000000"/>
          <w:sz w:val="21"/>
          <w:szCs w:val="21"/>
        </w:rPr>
        <w:t>ChatGPT</w:t>
      </w:r>
      <w:proofErr w:type="spellEnd"/>
      <w:r>
        <w:rPr>
          <w:color w:val="000000"/>
          <w:sz w:val="21"/>
          <w:szCs w:val="21"/>
        </w:rPr>
        <w:t>, and Gemini where platform APIs allow.</w:t>
      </w:r>
    </w:p>
    <w:p w14:paraId="000002BD" w14:textId="77777777" w:rsidR="0062357D" w:rsidRDefault="007E79DA">
      <w:pPr>
        <w:numPr>
          <w:ilvl w:val="0"/>
          <w:numId w:val="1"/>
        </w:numPr>
        <w:pBdr>
          <w:top w:val="nil"/>
          <w:left w:val="nil"/>
          <w:bottom w:val="nil"/>
          <w:right w:val="nil"/>
          <w:between w:val="nil"/>
        </w:pBdr>
        <w:spacing w:after="60"/>
      </w:pPr>
      <w:r>
        <w:rPr>
          <w:color w:val="000000"/>
          <w:sz w:val="21"/>
          <w:szCs w:val="21"/>
        </w:rPr>
        <w:t>Firefox and Safari extension parity.</w:t>
      </w:r>
    </w:p>
    <w:p w14:paraId="000002BE" w14:textId="77777777" w:rsidR="0062357D" w:rsidRDefault="007E79DA">
      <w:pPr>
        <w:numPr>
          <w:ilvl w:val="0"/>
          <w:numId w:val="1"/>
        </w:numPr>
        <w:pBdr>
          <w:top w:val="nil"/>
          <w:left w:val="nil"/>
          <w:bottom w:val="nil"/>
          <w:right w:val="nil"/>
          <w:between w:val="nil"/>
        </w:pBdr>
        <w:spacing w:after="60"/>
      </w:pPr>
      <w:r>
        <w:rPr>
          <w:color w:val="000000"/>
          <w:sz w:val="21"/>
          <w:szCs w:val="21"/>
        </w:rPr>
        <w:t>Individual-user dashboard with trend views and model/provider comparisons.</w:t>
      </w:r>
    </w:p>
    <w:p w14:paraId="000002BF" w14:textId="77777777" w:rsidR="0062357D" w:rsidRDefault="007E79DA">
      <w:pPr>
        <w:pStyle w:val="Heading2"/>
        <w:spacing w:before="280" w:after="120"/>
      </w:pPr>
      <w:r>
        <w:rPr>
          <w:b/>
          <w:bCs/>
          <w:color w:val="1E7A4C"/>
          <w:sz w:val="24"/>
          <w:szCs w:val="24"/>
        </w:rPr>
        <w:t>Phase 3 — Infrastructure Layer</w:t>
      </w:r>
    </w:p>
    <w:p w14:paraId="000002C0" w14:textId="77777777" w:rsidR="0062357D" w:rsidRDefault="007E79DA">
      <w:pPr>
        <w:numPr>
          <w:ilvl w:val="0"/>
          <w:numId w:val="1"/>
        </w:numPr>
        <w:pBdr>
          <w:top w:val="nil"/>
          <w:left w:val="nil"/>
          <w:bottom w:val="nil"/>
          <w:right w:val="nil"/>
          <w:between w:val="nil"/>
        </w:pBdr>
        <w:spacing w:after="60"/>
      </w:pPr>
      <w:r>
        <w:rPr>
          <w:color w:val="000000"/>
          <w:sz w:val="21"/>
          <w:szCs w:val="21"/>
        </w:rPr>
        <w:t>JS/TS and Python SDKs for database and AI-infrastructure instrumentation.</w:t>
      </w:r>
    </w:p>
    <w:p w14:paraId="000002C1" w14:textId="77777777" w:rsidR="0062357D" w:rsidRDefault="007E79DA">
      <w:pPr>
        <w:numPr>
          <w:ilvl w:val="0"/>
          <w:numId w:val="1"/>
        </w:numPr>
        <w:pBdr>
          <w:top w:val="nil"/>
          <w:left w:val="nil"/>
          <w:bottom w:val="nil"/>
          <w:right w:val="nil"/>
          <w:between w:val="nil"/>
        </w:pBdr>
        <w:spacing w:after="60"/>
      </w:pPr>
      <w:r>
        <w:rPr>
          <w:color w:val="000000"/>
          <w:sz w:val="21"/>
          <w:szCs w:val="21"/>
        </w:rPr>
        <w:t>Reverse-proxy/sidecar option for no-code-change deployment.</w:t>
      </w:r>
    </w:p>
    <w:p w14:paraId="000002C2" w14:textId="77777777" w:rsidR="0062357D" w:rsidRDefault="007E79DA">
      <w:pPr>
        <w:numPr>
          <w:ilvl w:val="0"/>
          <w:numId w:val="1"/>
        </w:numPr>
        <w:pBdr>
          <w:top w:val="nil"/>
          <w:left w:val="nil"/>
          <w:bottom w:val="nil"/>
          <w:right w:val="nil"/>
          <w:between w:val="nil"/>
        </w:pBdr>
        <w:spacing w:after="60"/>
      </w:pPr>
      <w:r>
        <w:rPr>
          <w:color w:val="000000"/>
          <w:sz w:val="21"/>
          <w:szCs w:val="21"/>
        </w:rPr>
        <w:t>Self-hosted/VPC Stardust Core for enterprise and regulated customers.</w:t>
      </w:r>
    </w:p>
    <w:p w14:paraId="000002C3" w14:textId="77777777" w:rsidR="0062357D" w:rsidRDefault="007E79DA">
      <w:pPr>
        <w:pStyle w:val="Heading2"/>
        <w:spacing w:before="280" w:after="120"/>
      </w:pPr>
      <w:r>
        <w:rPr>
          <w:b/>
          <w:bCs/>
          <w:color w:val="1E7A4C"/>
          <w:sz w:val="24"/>
          <w:szCs w:val="24"/>
        </w:rPr>
        <w:t>Phase 4 — Ecosystem</w:t>
      </w:r>
    </w:p>
    <w:p w14:paraId="000002C4" w14:textId="77777777" w:rsidR="0062357D" w:rsidRDefault="007E79DA">
      <w:pPr>
        <w:numPr>
          <w:ilvl w:val="0"/>
          <w:numId w:val="1"/>
        </w:numPr>
        <w:pBdr>
          <w:top w:val="nil"/>
          <w:left w:val="nil"/>
          <w:bottom w:val="nil"/>
          <w:right w:val="nil"/>
          <w:between w:val="nil"/>
        </w:pBdr>
        <w:spacing w:after="60"/>
      </w:pPr>
      <w:r>
        <w:rPr>
          <w:color w:val="000000"/>
          <w:sz w:val="21"/>
          <w:szCs w:val="21"/>
        </w:rPr>
        <w:t>Open source the Stardust Core measurement engine, schema, and reference clients under the licensing model in §17, so third parties can self-host, fork, and build on it directly.</w:t>
      </w:r>
    </w:p>
    <w:p w14:paraId="000002C5"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Ship the Remediation Provider SDK and Subscriber API (§10) as part of the open core, so remediation providers and subscriber applications can be </w:t>
      </w:r>
      <w:proofErr w:type="spellStart"/>
      <w:r>
        <w:rPr>
          <w:color w:val="000000"/>
          <w:sz w:val="21"/>
          <w:szCs w:val="21"/>
        </w:rPr>
        <w:t>onboarded</w:t>
      </w:r>
      <w:proofErr w:type="spellEnd"/>
      <w:r>
        <w:rPr>
          <w:color w:val="000000"/>
          <w:sz w:val="21"/>
          <w:szCs w:val="21"/>
        </w:rPr>
        <w:t xml:space="preserve"> the same way — by implementing a documented interface, not a bespoke integration.</w:t>
      </w:r>
    </w:p>
    <w:p w14:paraId="000002C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Optional remediation pass-through integration (e.g., a third-party remediation partner), now buildable by that partner or any other company directly against the open core as a subscriber (§10.3) rather than only through an </w:t>
      </w:r>
      <w:proofErr w:type="spellStart"/>
      <w:r>
        <w:rPr>
          <w:color w:val="000000"/>
          <w:sz w:val="21"/>
          <w:szCs w:val="21"/>
        </w:rPr>
        <w:t>AIforE</w:t>
      </w:r>
      <w:proofErr w:type="spellEnd"/>
      <w:r>
        <w:rPr>
          <w:color w:val="000000"/>
          <w:sz w:val="21"/>
          <w:szCs w:val="21"/>
        </w:rPr>
        <w:t>-run integration.</w:t>
      </w:r>
    </w:p>
    <w:p w14:paraId="000002C7"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Publish methodology as an open </w:t>
      </w:r>
      <w:proofErr w:type="spellStart"/>
      <w:r>
        <w:rPr>
          <w:color w:val="000000"/>
          <w:sz w:val="21"/>
          <w:szCs w:val="21"/>
        </w:rPr>
        <w:t>AIforE</w:t>
      </w:r>
      <w:proofErr w:type="spellEnd"/>
      <w:r>
        <w:rPr>
          <w:color w:val="000000"/>
          <w:sz w:val="21"/>
          <w:szCs w:val="21"/>
        </w:rPr>
        <w:t xml:space="preserve"> benchmark; pursue additional provider/cloud sustainability-API partnerships to move more metrics from Modeled/Estimated to Measured.</w:t>
      </w:r>
    </w:p>
    <w:p w14:paraId="7D000006" w14:textId="77777777" w:rsidR="0062357D" w:rsidRDefault="007E79DA">
      <w:pPr>
        <w:pStyle w:val="Heading2"/>
        <w:spacing w:before="280" w:after="120"/>
      </w:pPr>
      <w:r>
        <w:rPr>
          <w:b/>
          <w:bCs/>
          <w:color w:val="1E7A4C"/>
          <w:sz w:val="24"/>
          <w:szCs w:val="24"/>
        </w:rPr>
        <w:t>Phase 5 — Multi-Attribute Credits and Open Measurement Standard</w:t>
      </w:r>
    </w:p>
    <w:p w14:paraId="7D000007" w14:textId="77777777" w:rsidR="0062357D" w:rsidRDefault="007E79DA">
      <w:pPr>
        <w:numPr>
          <w:ilvl w:val="0"/>
          <w:numId w:val="1"/>
        </w:numPr>
        <w:spacing w:after="60"/>
      </w:pPr>
      <w:r>
        <w:rPr>
          <w:sz w:val="21"/>
          <w:szCs w:val="21"/>
        </w:rPr>
        <w:t>Extend the Provider SDK to renewable energy, water, heat recovery and recycling categories, with the telemetry fields in §22.4.</w:t>
      </w:r>
    </w:p>
    <w:p w14:paraId="7D000008" w14:textId="77777777" w:rsidR="0062357D" w:rsidRDefault="007E79DA">
      <w:pPr>
        <w:numPr>
          <w:ilvl w:val="0"/>
          <w:numId w:val="1"/>
        </w:numPr>
        <w:spacing w:after="60"/>
      </w:pPr>
      <w:r>
        <w:rPr>
          <w:sz w:val="21"/>
          <w:szCs w:val="21"/>
        </w:rPr>
        <w:t>Ship the Net Impact Ledger and the first Registry and Market Connectors (§22.5), starting with account-holder-mediated retirement and moving to API automation where registries allow it.</w:t>
      </w:r>
    </w:p>
    <w:p w14:paraId="7D000009" w14:textId="77777777" w:rsidR="0062357D" w:rsidRDefault="007E79DA">
      <w:pPr>
        <w:numPr>
          <w:ilvl w:val="0"/>
          <w:numId w:val="1"/>
        </w:numPr>
        <w:spacing w:after="60"/>
      </w:pPr>
      <w:r>
        <w:rPr>
          <w:sz w:val="21"/>
          <w:szCs w:val="21"/>
        </w:rPr>
        <w:t>Support hourly matching of electricity use against granular certificates where registries issue them.</w:t>
      </w:r>
    </w:p>
    <w:p w14:paraId="7D00000A" w14:textId="77777777" w:rsidR="0062357D" w:rsidRDefault="007E79DA">
      <w:pPr>
        <w:numPr>
          <w:ilvl w:val="0"/>
          <w:numId w:val="1"/>
        </w:numPr>
        <w:spacing w:after="60"/>
      </w:pPr>
      <w:r>
        <w:rPr>
          <w:sz w:val="21"/>
          <w:szCs w:val="21"/>
        </w:rPr>
        <w:t xml:space="preserve">Publish the Stardust impact measurement framework (§22.7) for public comment and pursue adoption through standards bodies and </w:t>
      </w:r>
      <w:proofErr w:type="spellStart"/>
      <w:r>
        <w:rPr>
          <w:sz w:val="21"/>
          <w:szCs w:val="21"/>
        </w:rPr>
        <w:t>OpenTelemetry</w:t>
      </w:r>
      <w:proofErr w:type="spellEnd"/>
      <w:r>
        <w:rPr>
          <w:sz w:val="21"/>
          <w:szCs w:val="21"/>
        </w:rPr>
        <w:t xml:space="preserve"> semantic conventions (§11).</w:t>
      </w:r>
    </w:p>
    <w:p w14:paraId="000002C8" w14:textId="77777777" w:rsidR="0062357D" w:rsidRDefault="007E79DA">
      <w:pPr>
        <w:pStyle w:val="Heading1"/>
        <w:spacing w:before="360" w:after="160"/>
      </w:pPr>
      <w:r>
        <w:rPr>
          <w:b/>
          <w:bCs/>
          <w:color w:val="0F4A2E"/>
          <w:sz w:val="30"/>
          <w:szCs w:val="30"/>
        </w:rPr>
        <w:t>17. Open Source and Ecosystem Strategy</w:t>
      </w:r>
    </w:p>
    <w:p w14:paraId="000002C9" w14:textId="77777777" w:rsidR="0062357D" w:rsidRDefault="007E79DA">
      <w:pPr>
        <w:spacing w:after="140"/>
      </w:pPr>
      <w:r>
        <w:rPr>
          <w:sz w:val="21"/>
          <w:szCs w:val="21"/>
        </w:rPr>
        <w:t xml:space="preserve">Stardust's core — the measurement schema (§7), the environmental methodology engine (§8), the indicator-code standard (§5), and the reference clients for each surface in §12 — is intended to be published as open source. The goal is for Stardust to function as shared, neutral measurement infrastructure that </w:t>
      </w:r>
      <w:proofErr w:type="spellStart"/>
      <w:r>
        <w:rPr>
          <w:sz w:val="21"/>
          <w:szCs w:val="21"/>
        </w:rPr>
        <w:t>AIforE</w:t>
      </w:r>
      <w:proofErr w:type="spellEnd"/>
      <w:r>
        <w:rPr>
          <w:sz w:val="21"/>
          <w:szCs w:val="21"/>
        </w:rPr>
        <w:t xml:space="preserve"> stewards, rather than a closed product </w:t>
      </w:r>
      <w:proofErr w:type="spellStart"/>
      <w:r>
        <w:rPr>
          <w:sz w:val="21"/>
          <w:szCs w:val="21"/>
        </w:rPr>
        <w:t>AIforE</w:t>
      </w:r>
      <w:proofErr w:type="spellEnd"/>
      <w:r>
        <w:rPr>
          <w:sz w:val="21"/>
          <w:szCs w:val="21"/>
        </w:rPr>
        <w:t xml:space="preserve"> has to build every downstream use case for itself. Companies that sit downstream of usage metering as a remediation and offset marketplace are the model case: they should be able to build directly on Stardust's output and run their own business on it.</w:t>
      </w:r>
    </w:p>
    <w:p w14:paraId="000002CA" w14:textId="77777777" w:rsidR="0062357D" w:rsidRDefault="007E79DA">
      <w:pPr>
        <w:pStyle w:val="Heading2"/>
        <w:spacing w:before="280" w:after="120"/>
      </w:pPr>
      <w:r>
        <w:rPr>
          <w:b/>
          <w:bCs/>
          <w:color w:val="1E7A4C"/>
          <w:sz w:val="24"/>
          <w:szCs w:val="24"/>
        </w:rPr>
        <w:t>17.1 What Is Open Source</w:t>
      </w:r>
    </w:p>
    <w:p w14:paraId="000002CB" w14:textId="77777777" w:rsidR="0062357D" w:rsidRDefault="007E79DA">
      <w:pPr>
        <w:numPr>
          <w:ilvl w:val="0"/>
          <w:numId w:val="1"/>
        </w:numPr>
        <w:pBdr>
          <w:top w:val="nil"/>
          <w:left w:val="nil"/>
          <w:bottom w:val="nil"/>
          <w:right w:val="nil"/>
          <w:between w:val="nil"/>
        </w:pBdr>
        <w:spacing w:after="60"/>
      </w:pPr>
      <w:r>
        <w:rPr>
          <w:color w:val="000000"/>
          <w:sz w:val="21"/>
          <w:szCs w:val="21"/>
        </w:rPr>
        <w:t>Stardust Core's measurement, normalization, and methodology-engine code, including the versioned environmental-conversion-factor configuration described in §8.4.</w:t>
      </w:r>
    </w:p>
    <w:p w14:paraId="000002CC" w14:textId="77777777" w:rsidR="0062357D" w:rsidRDefault="007E79DA">
      <w:pPr>
        <w:numPr>
          <w:ilvl w:val="0"/>
          <w:numId w:val="1"/>
        </w:numPr>
        <w:pBdr>
          <w:top w:val="nil"/>
          <w:left w:val="nil"/>
          <w:bottom w:val="nil"/>
          <w:right w:val="nil"/>
          <w:between w:val="nil"/>
        </w:pBdr>
        <w:spacing w:after="60"/>
      </w:pPr>
      <w:r>
        <w:rPr>
          <w:color w:val="000000"/>
          <w:sz w:val="21"/>
          <w:szCs w:val="21"/>
        </w:rPr>
        <w:t>The event data schema (§7) and the indicator-code specification (§5), published as an open standard so any third party can emit or consume Stardust-compatible data without reverse-engineering the format.</w:t>
      </w:r>
    </w:p>
    <w:p w14:paraId="000002CD"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The reference clients: the browser extension, the chat-app connectors/plugins, and the infra SDKs described in §12, so any company can self-host or fork the metering layer rather than depending on an </w:t>
      </w:r>
      <w:proofErr w:type="spellStart"/>
      <w:r>
        <w:rPr>
          <w:color w:val="000000"/>
          <w:sz w:val="21"/>
          <w:szCs w:val="21"/>
        </w:rPr>
        <w:t>AIforE</w:t>
      </w:r>
      <w:proofErr w:type="spellEnd"/>
      <w:r>
        <w:rPr>
          <w:color w:val="000000"/>
          <w:sz w:val="21"/>
          <w:szCs w:val="21"/>
        </w:rPr>
        <w:t>-run service.</w:t>
      </w:r>
    </w:p>
    <w:p w14:paraId="000002CE" w14:textId="77777777" w:rsidR="0062357D" w:rsidRDefault="007E79DA">
      <w:pPr>
        <w:numPr>
          <w:ilvl w:val="0"/>
          <w:numId w:val="1"/>
        </w:numPr>
        <w:pBdr>
          <w:top w:val="nil"/>
          <w:left w:val="nil"/>
          <w:bottom w:val="nil"/>
          <w:right w:val="nil"/>
          <w:between w:val="nil"/>
        </w:pBdr>
        <w:spacing w:after="60"/>
      </w:pPr>
      <w:r>
        <w:rPr>
          <w:color w:val="000000"/>
          <w:sz w:val="21"/>
          <w:szCs w:val="21"/>
        </w:rPr>
        <w:t>Documentation of the environmental methodology's sourcing and assumptions, consistent with the transparency goal already stated in §8.4.</w:t>
      </w:r>
    </w:p>
    <w:p w14:paraId="000002CF" w14:textId="77777777" w:rsidR="0062357D" w:rsidRDefault="007E79DA">
      <w:pPr>
        <w:pStyle w:val="Heading2"/>
        <w:spacing w:before="280" w:after="120"/>
      </w:pPr>
      <w:r>
        <w:rPr>
          <w:b/>
          <w:bCs/>
          <w:color w:val="1E7A4C"/>
          <w:sz w:val="24"/>
          <w:szCs w:val="24"/>
        </w:rPr>
        <w:t>17.2 What Sits On Top (Not Part of the Open Core)</w:t>
      </w:r>
    </w:p>
    <w:p w14:paraId="000002D0" w14:textId="77777777" w:rsidR="0062357D" w:rsidRDefault="007E79DA">
      <w:pPr>
        <w:numPr>
          <w:ilvl w:val="0"/>
          <w:numId w:val="1"/>
        </w:numPr>
        <w:pBdr>
          <w:top w:val="nil"/>
          <w:left w:val="nil"/>
          <w:bottom w:val="nil"/>
          <w:right w:val="nil"/>
          <w:between w:val="nil"/>
        </w:pBdr>
        <w:spacing w:after="60"/>
      </w:pPr>
      <w:r>
        <w:rPr>
          <w:color w:val="000000"/>
          <w:sz w:val="21"/>
          <w:szCs w:val="21"/>
        </w:rPr>
        <w:t>Remediation and offset marketplaces — e.g., tree-planting, water-remediation, and carbon-offset partner networks — which consume Stardust's metered-impact output but are separately owned businesses with their own revenue engines.</w:t>
      </w:r>
    </w:p>
    <w:p w14:paraId="000002D1" w14:textId="77777777" w:rsidR="0062357D" w:rsidRDefault="007E79DA">
      <w:pPr>
        <w:numPr>
          <w:ilvl w:val="0"/>
          <w:numId w:val="1"/>
        </w:numPr>
        <w:pBdr>
          <w:top w:val="nil"/>
          <w:left w:val="nil"/>
          <w:bottom w:val="nil"/>
          <w:right w:val="nil"/>
          <w:between w:val="nil"/>
        </w:pBdr>
        <w:spacing w:after="60"/>
      </w:pPr>
      <w:r>
        <w:rPr>
          <w:color w:val="000000"/>
          <w:sz w:val="21"/>
          <w:szCs w:val="21"/>
        </w:rPr>
        <w:t>Hosted/managed Stardust Core offerings, premium dashboards, enterprise support, or industry-specific integrations that a third party chooses to build and charge for.</w:t>
      </w:r>
    </w:p>
    <w:p w14:paraId="000002D2" w14:textId="77777777" w:rsidR="0062357D" w:rsidRDefault="007E79DA">
      <w:pPr>
        <w:numPr>
          <w:ilvl w:val="0"/>
          <w:numId w:val="1"/>
        </w:numPr>
        <w:pBdr>
          <w:top w:val="nil"/>
          <w:left w:val="nil"/>
          <w:bottom w:val="nil"/>
          <w:right w:val="nil"/>
          <w:between w:val="nil"/>
        </w:pBdr>
        <w:spacing w:after="60"/>
      </w:pPr>
      <w:proofErr w:type="spellStart"/>
      <w:r>
        <w:rPr>
          <w:color w:val="000000"/>
          <w:sz w:val="21"/>
          <w:szCs w:val="21"/>
        </w:rPr>
        <w:t>AIforE's</w:t>
      </w:r>
      <w:proofErr w:type="spellEnd"/>
      <w:r>
        <w:rPr>
          <w:color w:val="000000"/>
          <w:sz w:val="21"/>
          <w:szCs w:val="21"/>
        </w:rPr>
        <w:t xml:space="preserve"> own optional hosted service (for individuals/teams who don't want to self-host) can coexist with third-party hosted or forked alternatives — the open license is what makes that coexistence possible rather than exclusive.</w:t>
      </w:r>
    </w:p>
    <w:p w14:paraId="000002D3" w14:textId="77777777" w:rsidR="0062357D" w:rsidRDefault="007E79DA">
      <w:pPr>
        <w:pStyle w:val="Heading2"/>
        <w:spacing w:before="280" w:after="120"/>
      </w:pPr>
      <w:r>
        <w:rPr>
          <w:b/>
          <w:bCs/>
          <w:color w:val="1E7A4C"/>
          <w:sz w:val="24"/>
          <w:szCs w:val="24"/>
        </w:rPr>
        <w:t>17.3 Licensing Direction</w:t>
      </w:r>
    </w:p>
    <w:p w14:paraId="000002D4" w14:textId="77777777" w:rsidR="0062357D" w:rsidRDefault="007E79DA">
      <w:pPr>
        <w:numPr>
          <w:ilvl w:val="0"/>
          <w:numId w:val="1"/>
        </w:numPr>
        <w:pBdr>
          <w:top w:val="nil"/>
          <w:left w:val="nil"/>
          <w:bottom w:val="nil"/>
          <w:right w:val="nil"/>
          <w:between w:val="nil"/>
        </w:pBdr>
        <w:spacing w:after="60"/>
      </w:pPr>
      <w:r>
        <w:rPr>
          <w:color w:val="000000"/>
          <w:sz w:val="21"/>
          <w:szCs w:val="21"/>
        </w:rPr>
        <w:t>A permissive open source license (e.g., Apache 2.0 or MIT) is the working assumption for the core measurement code and the data/indicator standard, since the goal is maximum third-party adoption and rebuilding, not restricting downstream commercial use.</w:t>
      </w:r>
    </w:p>
    <w:p w14:paraId="000002D5" w14:textId="77777777" w:rsidR="0062357D" w:rsidRDefault="007E79DA">
      <w:pPr>
        <w:numPr>
          <w:ilvl w:val="0"/>
          <w:numId w:val="1"/>
        </w:numPr>
        <w:pBdr>
          <w:top w:val="nil"/>
          <w:left w:val="nil"/>
          <w:bottom w:val="nil"/>
          <w:right w:val="nil"/>
          <w:between w:val="nil"/>
        </w:pBdr>
        <w:spacing w:after="60"/>
      </w:pPr>
      <w:r>
        <w:rPr>
          <w:color w:val="000000"/>
          <w:sz w:val="21"/>
          <w:szCs w:val="21"/>
        </w:rPr>
        <w:t>Final license selection, and whether any component (for example, a hosted multi-tenant Stardust Core service) is held back as source-available rather than fully open, is an open question for legal/board review — see §19.</w:t>
      </w:r>
    </w:p>
    <w:p w14:paraId="000002D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Trademark and brand use (the Stardust name, the </w:t>
      </w:r>
      <w:proofErr w:type="spellStart"/>
      <w:r>
        <w:rPr>
          <w:color w:val="000000"/>
          <w:sz w:val="21"/>
          <w:szCs w:val="21"/>
        </w:rPr>
        <w:t>AIforE</w:t>
      </w:r>
      <w:proofErr w:type="spellEnd"/>
      <w:r>
        <w:rPr>
          <w:color w:val="000000"/>
          <w:sz w:val="21"/>
          <w:szCs w:val="21"/>
        </w:rPr>
        <w:t xml:space="preserve"> Subscriber Plugin name, and the indicator-code visual language) are treated separately from the code license, so the standard can be forked freely while </w:t>
      </w:r>
      <w:proofErr w:type="spellStart"/>
      <w:r>
        <w:rPr>
          <w:color w:val="000000"/>
          <w:sz w:val="21"/>
          <w:szCs w:val="21"/>
        </w:rPr>
        <w:t>AIforE</w:t>
      </w:r>
      <w:proofErr w:type="spellEnd"/>
      <w:r>
        <w:rPr>
          <w:color w:val="000000"/>
          <w:sz w:val="21"/>
          <w:szCs w:val="21"/>
        </w:rPr>
        <w:t xml:space="preserve"> retains the ability to certify what counts as a compliant, branded implementation.</w:t>
      </w:r>
    </w:p>
    <w:p w14:paraId="000002D7" w14:textId="77777777" w:rsidR="0062357D" w:rsidRDefault="007E79DA">
      <w:pPr>
        <w:pStyle w:val="Heading2"/>
        <w:spacing w:before="280" w:after="120"/>
      </w:pPr>
      <w:r>
        <w:rPr>
          <w:b/>
          <w:bCs/>
          <w:color w:val="1E7A4C"/>
          <w:sz w:val="24"/>
          <w:szCs w:val="24"/>
        </w:rPr>
        <w:t xml:space="preserve">17.4 Why This Serves </w:t>
      </w:r>
      <w:proofErr w:type="spellStart"/>
      <w:r>
        <w:rPr>
          <w:b/>
          <w:bCs/>
          <w:color w:val="1E7A4C"/>
          <w:sz w:val="24"/>
          <w:szCs w:val="24"/>
        </w:rPr>
        <w:t>AIforE's</w:t>
      </w:r>
      <w:proofErr w:type="spellEnd"/>
      <w:r>
        <w:rPr>
          <w:b/>
          <w:bCs/>
          <w:color w:val="1E7A4C"/>
          <w:sz w:val="24"/>
          <w:szCs w:val="24"/>
        </w:rPr>
        <w:t xml:space="preserve"> Mission</w:t>
      </w:r>
    </w:p>
    <w:p w14:paraId="000002D8"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 single company cannot build native integrations for every AI platform, browser, database, and cloud service listed in §12 alone; an open core lets the ecosystem carry that integration surface forward faster than </w:t>
      </w:r>
      <w:proofErr w:type="spellStart"/>
      <w:r>
        <w:rPr>
          <w:color w:val="000000"/>
          <w:sz w:val="21"/>
          <w:szCs w:val="21"/>
        </w:rPr>
        <w:t>AIforE</w:t>
      </w:r>
      <w:proofErr w:type="spellEnd"/>
      <w:r>
        <w:rPr>
          <w:color w:val="000000"/>
          <w:sz w:val="21"/>
          <w:szCs w:val="21"/>
        </w:rPr>
        <w:t xml:space="preserve"> could alone.</w:t>
      </w:r>
    </w:p>
    <w:p w14:paraId="000002D9"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Third-party revenue built on top of Stardust is evidence the standard is being adopted — the more third-party companies build value on the metering layer, the more the underlying </w:t>
      </w:r>
      <w:proofErr w:type="spellStart"/>
      <w:r>
        <w:rPr>
          <w:color w:val="000000"/>
          <w:sz w:val="21"/>
          <w:szCs w:val="21"/>
        </w:rPr>
        <w:t>AIforE</w:t>
      </w:r>
      <w:proofErr w:type="spellEnd"/>
      <w:r>
        <w:rPr>
          <w:color w:val="000000"/>
          <w:sz w:val="21"/>
          <w:szCs w:val="21"/>
        </w:rPr>
        <w:t xml:space="preserve"> sustainability benchmark (§1.2) becomes the de facto reference point.</w:t>
      </w:r>
    </w:p>
    <w:p w14:paraId="000002D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Keeping the methodology and schema open, rather than proprietary, is consistent with </w:t>
      </w:r>
      <w:proofErr w:type="spellStart"/>
      <w:r>
        <w:rPr>
          <w:color w:val="000000"/>
          <w:sz w:val="21"/>
          <w:szCs w:val="21"/>
        </w:rPr>
        <w:t>AIforE's</w:t>
      </w:r>
      <w:proofErr w:type="spellEnd"/>
      <w:r>
        <w:rPr>
          <w:color w:val="000000"/>
          <w:sz w:val="21"/>
          <w:szCs w:val="21"/>
        </w:rPr>
        <w:t xml:space="preserve"> nonprofit mission and its goal of an open, citable industry benchmark rather than a walled garden.</w:t>
      </w:r>
    </w:p>
    <w:p w14:paraId="000002DB" w14:textId="77777777" w:rsidR="0062357D" w:rsidRDefault="007E79DA">
      <w:pPr>
        <w:pStyle w:val="Heading1"/>
        <w:spacing w:before="360" w:after="160"/>
      </w:pPr>
      <w:r>
        <w:rPr>
          <w:b/>
          <w:bCs/>
          <w:color w:val="0F4A2E"/>
          <w:sz w:val="30"/>
          <w:szCs w:val="30"/>
        </w:rPr>
        <w:t>18. Donations to AI for Ecology</w:t>
      </w:r>
    </w:p>
    <w:p w14:paraId="000002DC" w14:textId="77777777" w:rsidR="0062357D" w:rsidRDefault="007E79DA">
      <w:pPr>
        <w:spacing w:after="140"/>
      </w:pPr>
      <w:r>
        <w:rPr>
          <w:sz w:val="21"/>
          <w:szCs w:val="21"/>
        </w:rPr>
        <w:t>Separate from any downstream remediation-partner transaction (§6.2, §17.2) and separate from any commercial hosted/paid tier a third party builds on the open core (§17), Stardust surfaces are designed to allow users to donate directly to AI for Ecology (AIforE.org) itself, the Washington State 501(c)(3) nonprofit that stewards the project.</w:t>
      </w:r>
    </w:p>
    <w:p w14:paraId="000002DD" w14:textId="77777777" w:rsidR="0062357D" w:rsidRDefault="007E79DA">
      <w:pPr>
        <w:pStyle w:val="Heading2"/>
        <w:spacing w:before="280" w:after="120"/>
      </w:pPr>
      <w:r>
        <w:rPr>
          <w:b/>
          <w:bCs/>
          <w:color w:val="1E7A4C"/>
          <w:sz w:val="24"/>
          <w:szCs w:val="24"/>
        </w:rPr>
        <w:t>18.1 Where Donation Is Offered</w:t>
      </w:r>
    </w:p>
    <w:p w14:paraId="000002D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 “Support </w:t>
      </w:r>
      <w:proofErr w:type="spellStart"/>
      <w:r>
        <w:rPr>
          <w:color w:val="000000"/>
          <w:sz w:val="21"/>
          <w:szCs w:val="21"/>
        </w:rPr>
        <w:t>AIforE</w:t>
      </w:r>
      <w:proofErr w:type="spellEnd"/>
      <w:r>
        <w:rPr>
          <w:color w:val="000000"/>
          <w:sz w:val="21"/>
          <w:szCs w:val="21"/>
        </w:rPr>
        <w:t>” call-to-action alongside the remediation CTA in the expanded breakdown panel (§6.2), so a user reviewing their own impact can choose to give directly to the nonprofit maintaining the standard, not only to a remediation partner.</w:t>
      </w:r>
    </w:p>
    <w:p w14:paraId="000002DF" w14:textId="77777777" w:rsidR="0062357D" w:rsidRDefault="007E79DA">
      <w:pPr>
        <w:numPr>
          <w:ilvl w:val="0"/>
          <w:numId w:val="1"/>
        </w:numPr>
        <w:pBdr>
          <w:top w:val="nil"/>
          <w:left w:val="nil"/>
          <w:bottom w:val="nil"/>
          <w:right w:val="nil"/>
          <w:between w:val="nil"/>
        </w:pBdr>
        <w:spacing w:after="60"/>
      </w:pPr>
      <w:r>
        <w:rPr>
          <w:color w:val="000000"/>
          <w:sz w:val="21"/>
          <w:szCs w:val="21"/>
        </w:rPr>
        <w:t>A persistent, low-emphasis donation link in the dashboard views (§6.3), consistent with the donation option already live on AIforE.org.</w:t>
      </w:r>
    </w:p>
    <w:p w14:paraId="000002E0" w14:textId="77777777" w:rsidR="0062357D" w:rsidRDefault="007E79DA">
      <w:pPr>
        <w:numPr>
          <w:ilvl w:val="0"/>
          <w:numId w:val="1"/>
        </w:numPr>
        <w:pBdr>
          <w:top w:val="nil"/>
          <w:left w:val="nil"/>
          <w:bottom w:val="nil"/>
          <w:right w:val="nil"/>
          <w:between w:val="nil"/>
        </w:pBdr>
        <w:spacing w:after="60"/>
      </w:pPr>
      <w:r>
        <w:rPr>
          <w:color w:val="000000"/>
          <w:sz w:val="21"/>
          <w:szCs w:val="21"/>
        </w:rPr>
        <w:t>A donation option surfaced in the browser-extension popup and, where the platform allows it, the chat-plugin panel, so the option travels with every client surface rather than living only on the website.</w:t>
      </w:r>
    </w:p>
    <w:p w14:paraId="000002E1" w14:textId="77777777" w:rsidR="0062357D" w:rsidRDefault="007E79DA">
      <w:pPr>
        <w:pStyle w:val="Heading2"/>
        <w:spacing w:before="280" w:after="120"/>
      </w:pPr>
      <w:r>
        <w:rPr>
          <w:b/>
          <w:bCs/>
          <w:color w:val="1E7A4C"/>
          <w:sz w:val="24"/>
          <w:szCs w:val="24"/>
        </w:rPr>
        <w:t>18.2 Mechanism</w:t>
      </w:r>
    </w:p>
    <w:p w14:paraId="000002E2"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Donations are processed through </w:t>
      </w:r>
      <w:proofErr w:type="spellStart"/>
      <w:r>
        <w:rPr>
          <w:color w:val="000000"/>
          <w:sz w:val="21"/>
          <w:szCs w:val="21"/>
        </w:rPr>
        <w:t>AIforE's</w:t>
      </w:r>
      <w:proofErr w:type="spellEnd"/>
      <w:r>
        <w:rPr>
          <w:color w:val="000000"/>
          <w:sz w:val="21"/>
          <w:szCs w:val="21"/>
        </w:rPr>
        <w:t xml:space="preserve"> existing donation channel (PayPal, live on AIforE.org) rather than a new payment system built specifically for Stardust, so there is one giving mechanism for </w:t>
      </w:r>
      <w:proofErr w:type="spellStart"/>
      <w:r>
        <w:rPr>
          <w:color w:val="000000"/>
          <w:sz w:val="21"/>
          <w:szCs w:val="21"/>
        </w:rPr>
        <w:t>AIforE</w:t>
      </w:r>
      <w:proofErr w:type="spellEnd"/>
      <w:r>
        <w:rPr>
          <w:color w:val="000000"/>
          <w:sz w:val="21"/>
          <w:szCs w:val="21"/>
        </w:rPr>
        <w:t xml:space="preserve"> to maintain and reconcile.</w:t>
      </w:r>
    </w:p>
    <w:p w14:paraId="000002E3"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Stardust itself does not hold, process, or take a fee from donation funds; it only links out to </w:t>
      </w:r>
      <w:proofErr w:type="spellStart"/>
      <w:r>
        <w:rPr>
          <w:color w:val="000000"/>
          <w:sz w:val="21"/>
          <w:szCs w:val="21"/>
        </w:rPr>
        <w:t>AIforE's</w:t>
      </w:r>
      <w:proofErr w:type="spellEnd"/>
      <w:r>
        <w:rPr>
          <w:color w:val="000000"/>
          <w:sz w:val="21"/>
          <w:szCs w:val="21"/>
        </w:rPr>
        <w:t xml:space="preserve"> donation flow. This keeps the open source core (§17) free of payment-processing code and licensing complexity.</w:t>
      </w:r>
    </w:p>
    <w:p w14:paraId="000002E4" w14:textId="77777777" w:rsidR="0062357D" w:rsidRDefault="007E79DA">
      <w:pPr>
        <w:numPr>
          <w:ilvl w:val="0"/>
          <w:numId w:val="1"/>
        </w:numPr>
        <w:pBdr>
          <w:top w:val="nil"/>
          <w:left w:val="nil"/>
          <w:bottom w:val="nil"/>
          <w:right w:val="nil"/>
          <w:between w:val="nil"/>
        </w:pBdr>
        <w:spacing w:after="60"/>
      </w:pPr>
      <w:r>
        <w:rPr>
          <w:color w:val="000000"/>
          <w:sz w:val="21"/>
          <w:szCs w:val="21"/>
        </w:rPr>
        <w:t>Donation prompts are optional and dismissible, consistent with §6's general principle that Stardust surfaces inform rather than interrupt.</w:t>
      </w:r>
    </w:p>
    <w:p w14:paraId="000002E5" w14:textId="77777777" w:rsidR="0062357D" w:rsidRDefault="007E79DA">
      <w:pPr>
        <w:pStyle w:val="Heading2"/>
        <w:spacing w:before="280" w:after="120"/>
      </w:pPr>
      <w:r>
        <w:rPr>
          <w:b/>
          <w:bCs/>
          <w:color w:val="1E7A4C"/>
          <w:sz w:val="24"/>
          <w:szCs w:val="24"/>
        </w:rPr>
        <w:t>18.3 Distinction From Remediation and Commercial Add-Ons</w:t>
      </w:r>
    </w:p>
    <w:p w14:paraId="000002E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 donation to </w:t>
      </w:r>
      <w:proofErr w:type="spellStart"/>
      <w:r>
        <w:rPr>
          <w:color w:val="000000"/>
          <w:sz w:val="21"/>
          <w:szCs w:val="21"/>
        </w:rPr>
        <w:t>AIforE</w:t>
      </w:r>
      <w:proofErr w:type="spellEnd"/>
      <w:r>
        <w:rPr>
          <w:color w:val="000000"/>
          <w:sz w:val="21"/>
          <w:szCs w:val="21"/>
        </w:rPr>
        <w:t xml:space="preserve"> supports the nonprofit's mission and its stewardship of the open standard (§17.4) — it is not a purchase of offset credits and is distinct from a remediation transaction with a downstream remediation partner (§6.2, §17.2).</w:t>
      </w:r>
    </w:p>
    <w:p w14:paraId="000002E7"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 donation is also distinct from any paid tier a third party (including </w:t>
      </w:r>
      <w:proofErr w:type="spellStart"/>
      <w:r>
        <w:rPr>
          <w:color w:val="000000"/>
          <w:sz w:val="21"/>
          <w:szCs w:val="21"/>
        </w:rPr>
        <w:t>AIforE's</w:t>
      </w:r>
      <w:proofErr w:type="spellEnd"/>
      <w:r>
        <w:rPr>
          <w:color w:val="000000"/>
          <w:sz w:val="21"/>
          <w:szCs w:val="21"/>
        </w:rPr>
        <w:t xml:space="preserve"> own optional hosted service, §17.2) might charge for hosting, support, or premium features built on the open core.</w:t>
      </w:r>
    </w:p>
    <w:p w14:paraId="000002E8"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UI copy accompanying the donation CTA should make this distinction clear to the user, so donating to </w:t>
      </w:r>
      <w:proofErr w:type="spellStart"/>
      <w:r>
        <w:rPr>
          <w:color w:val="000000"/>
          <w:sz w:val="21"/>
          <w:szCs w:val="21"/>
        </w:rPr>
        <w:t>AIforE</w:t>
      </w:r>
      <w:proofErr w:type="spellEnd"/>
      <w:r>
        <w:rPr>
          <w:color w:val="000000"/>
          <w:sz w:val="21"/>
          <w:szCs w:val="21"/>
        </w:rPr>
        <w:t xml:space="preserve"> is never presented as equivalent to, or a substitute for, remediating the specific impact just measured.</w:t>
      </w:r>
    </w:p>
    <w:p w14:paraId="000002E9" w14:textId="77777777" w:rsidR="0062357D" w:rsidRDefault="007E79DA">
      <w:pPr>
        <w:pStyle w:val="Heading1"/>
        <w:spacing w:before="360" w:after="160"/>
      </w:pPr>
      <w:r>
        <w:rPr>
          <w:b/>
          <w:bCs/>
          <w:color w:val="0F4A2E"/>
          <w:sz w:val="30"/>
          <w:szCs w:val="30"/>
        </w:rPr>
        <w:t>19. Open Questions and Assumptions</w:t>
      </w:r>
    </w:p>
    <w:p w14:paraId="000002EA"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§12 covers the per-platform integration paths known today; revisit Gemini and </w:t>
      </w:r>
      <w:proofErr w:type="spellStart"/>
      <w:r>
        <w:rPr>
          <w:color w:val="000000"/>
          <w:sz w:val="21"/>
          <w:szCs w:val="21"/>
        </w:rPr>
        <w:t>ChatGPT</w:t>
      </w:r>
      <w:proofErr w:type="spellEnd"/>
      <w:r>
        <w:rPr>
          <w:color w:val="000000"/>
          <w:sz w:val="21"/>
          <w:szCs w:val="21"/>
        </w:rPr>
        <w:t xml:space="preserve"> periodically, since both ecosystems have been actively expanding their extension/connector models through 2026 and a native (non-browser-extension) path may open.</w:t>
      </w:r>
    </w:p>
    <w:p w14:paraId="000002EB" w14:textId="77777777" w:rsidR="0062357D" w:rsidRDefault="007E79DA">
      <w:pPr>
        <w:numPr>
          <w:ilvl w:val="0"/>
          <w:numId w:val="1"/>
        </w:numPr>
        <w:pBdr>
          <w:top w:val="nil"/>
          <w:left w:val="nil"/>
          <w:bottom w:val="nil"/>
          <w:right w:val="nil"/>
          <w:between w:val="nil"/>
        </w:pBdr>
        <w:spacing w:after="60"/>
      </w:pPr>
      <w:r>
        <w:rPr>
          <w:color w:val="000000"/>
          <w:sz w:val="21"/>
          <w:szCs w:val="21"/>
        </w:rPr>
        <w:t>Final weighting formula for the Impact Grade (A–F) across the environmental categories in §4.3 — proposed as a follow-on working session once directionally-representative usage data exists.</w:t>
      </w:r>
    </w:p>
    <w:p w14:paraId="000002EC" w14:textId="77777777" w:rsidR="0062357D" w:rsidRDefault="007E79DA">
      <w:pPr>
        <w:numPr>
          <w:ilvl w:val="0"/>
          <w:numId w:val="1"/>
        </w:numPr>
        <w:pBdr>
          <w:top w:val="nil"/>
          <w:left w:val="nil"/>
          <w:bottom w:val="nil"/>
          <w:right w:val="nil"/>
          <w:between w:val="nil"/>
        </w:pBdr>
        <w:spacing w:after="60"/>
      </w:pPr>
      <w:r>
        <w:rPr>
          <w:color w:val="000000"/>
          <w:sz w:val="21"/>
          <w:szCs w:val="21"/>
        </w:rPr>
        <w:t>Whether Stardust Core is a new build or extends the existing token-cost-calculator Squarespace-embed codebase already built for AIforE.org.</w:t>
      </w:r>
    </w:p>
    <w:p w14:paraId="000002ED" w14:textId="77777777" w:rsidR="0062357D" w:rsidRDefault="007E79DA">
      <w:pPr>
        <w:numPr>
          <w:ilvl w:val="0"/>
          <w:numId w:val="1"/>
        </w:numPr>
        <w:pBdr>
          <w:top w:val="nil"/>
          <w:left w:val="nil"/>
          <w:bottom w:val="nil"/>
          <w:right w:val="nil"/>
          <w:between w:val="nil"/>
        </w:pBdr>
        <w:spacing w:after="60"/>
      </w:pPr>
      <w:r>
        <w:rPr>
          <w:color w:val="000000"/>
          <w:sz w:val="21"/>
          <w:szCs w:val="21"/>
        </w:rPr>
        <w:t>Relationship and data boundary with third-party remediation partners: this spec treats such partners as optional downstream remediation partners Stardust can call, not a dependency — confirm that division of responsibility.</w:t>
      </w:r>
    </w:p>
    <w:p w14:paraId="000002EE"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Monetization/subscription model for the “Subscriber” framing (free consumer tier vs. paid enterprise infra tier) is out of scope for this document, and needs to be reconciled with the open-core strategy in §17 — i.e., what </w:t>
      </w:r>
      <w:proofErr w:type="spellStart"/>
      <w:r>
        <w:rPr>
          <w:color w:val="000000"/>
          <w:sz w:val="21"/>
          <w:szCs w:val="21"/>
        </w:rPr>
        <w:t>AIforE's</w:t>
      </w:r>
      <w:proofErr w:type="spellEnd"/>
      <w:r>
        <w:rPr>
          <w:color w:val="000000"/>
          <w:sz w:val="21"/>
          <w:szCs w:val="21"/>
        </w:rPr>
        <w:t xml:space="preserve"> own paid tier (if any) is once the core is open source and third parties can self-host for free.</w:t>
      </w:r>
    </w:p>
    <w:p w14:paraId="000002EF" w14:textId="77777777" w:rsidR="0062357D" w:rsidRDefault="007E79DA">
      <w:pPr>
        <w:numPr>
          <w:ilvl w:val="0"/>
          <w:numId w:val="1"/>
        </w:numPr>
        <w:pBdr>
          <w:top w:val="nil"/>
          <w:left w:val="nil"/>
          <w:bottom w:val="nil"/>
          <w:right w:val="nil"/>
          <w:between w:val="nil"/>
        </w:pBdr>
        <w:spacing w:after="60"/>
      </w:pPr>
      <w:r>
        <w:rPr>
          <w:color w:val="000000"/>
          <w:sz w:val="21"/>
          <w:szCs w:val="21"/>
        </w:rPr>
        <w:t>Legal/licensing review needed before using any third-party grid-intensity, WUE/PUE, or energy-per-token datasets in the methodology engine, and before finalizing the open source license selection in §17.3.</w:t>
      </w:r>
    </w:p>
    <w:p w14:paraId="000002F0"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Governance model for accepting third-party contributions to the open Stardust Core (e.g., a foundation-style governance body vs. </w:t>
      </w:r>
      <w:proofErr w:type="spellStart"/>
      <w:r>
        <w:rPr>
          <w:color w:val="000000"/>
          <w:sz w:val="21"/>
          <w:szCs w:val="21"/>
        </w:rPr>
        <w:t>AIforE</w:t>
      </w:r>
      <w:proofErr w:type="spellEnd"/>
      <w:r>
        <w:rPr>
          <w:color w:val="000000"/>
          <w:sz w:val="21"/>
          <w:szCs w:val="21"/>
        </w:rPr>
        <w:t>-maintained with external PRs) is undecided.</w:t>
      </w:r>
    </w:p>
    <w:p w14:paraId="000002F1" w14:textId="77777777" w:rsidR="0062357D" w:rsidRDefault="007E79DA">
      <w:pPr>
        <w:numPr>
          <w:ilvl w:val="0"/>
          <w:numId w:val="1"/>
        </w:numPr>
        <w:pBdr>
          <w:top w:val="nil"/>
          <w:left w:val="nil"/>
          <w:bottom w:val="nil"/>
          <w:right w:val="nil"/>
          <w:between w:val="nil"/>
        </w:pBdr>
        <w:spacing w:after="60"/>
      </w:pPr>
      <w:r>
        <w:rPr>
          <w:color w:val="000000"/>
          <w:sz w:val="21"/>
          <w:szCs w:val="21"/>
        </w:rPr>
        <w:t>Timeline and resourcing for engaging the SCI-for-</w:t>
      </w:r>
      <w:proofErr w:type="spellStart"/>
      <w:r>
        <w:rPr>
          <w:color w:val="000000"/>
          <w:sz w:val="21"/>
          <w:szCs w:val="21"/>
        </w:rPr>
        <w:t>OpenTelemetry</w:t>
      </w:r>
      <w:proofErr w:type="spellEnd"/>
      <w:r>
        <w:rPr>
          <w:color w:val="000000"/>
          <w:sz w:val="21"/>
          <w:szCs w:val="21"/>
        </w:rPr>
        <w:t xml:space="preserve"> Assembly (§11.2) is undecided — whether </w:t>
      </w:r>
      <w:proofErr w:type="spellStart"/>
      <w:r>
        <w:rPr>
          <w:color w:val="000000"/>
          <w:sz w:val="21"/>
          <w:szCs w:val="21"/>
        </w:rPr>
        <w:t>AIforE</w:t>
      </w:r>
      <w:proofErr w:type="spellEnd"/>
      <w:r>
        <w:rPr>
          <w:color w:val="000000"/>
          <w:sz w:val="21"/>
          <w:szCs w:val="21"/>
        </w:rPr>
        <w:t xml:space="preserve"> participates directly, contributes via a written proposal, or waits for the conventions to stabilize before aligning stardust.* attribute names to them.</w:t>
      </w:r>
    </w:p>
    <w:p w14:paraId="000002F2" w14:textId="77777777" w:rsidR="0062357D" w:rsidRDefault="007E79DA">
      <w:pPr>
        <w:numPr>
          <w:ilvl w:val="0"/>
          <w:numId w:val="1"/>
        </w:numPr>
        <w:pBdr>
          <w:top w:val="nil"/>
          <w:left w:val="nil"/>
          <w:bottom w:val="nil"/>
          <w:right w:val="nil"/>
          <w:between w:val="nil"/>
        </w:pBdr>
        <w:spacing w:after="60"/>
      </w:pPr>
      <w:r>
        <w:rPr>
          <w:color w:val="000000"/>
          <w:sz w:val="21"/>
          <w:szCs w:val="21"/>
        </w:rPr>
        <w:t>Provider vetting depth (§10.6) is not yet specified — what legal entity verification, ongoing performance monitoring, and de-listing criteria apply before and after a provider's catalog goes live to subscribers.</w:t>
      </w:r>
    </w:p>
    <w:p w14:paraId="000002F3"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Whether </w:t>
      </w:r>
      <w:proofErr w:type="spellStart"/>
      <w:r>
        <w:rPr>
          <w:color w:val="000000"/>
          <w:sz w:val="21"/>
          <w:szCs w:val="21"/>
        </w:rPr>
        <w:t>AIforE's</w:t>
      </w:r>
      <w:proofErr w:type="spellEnd"/>
      <w:r>
        <w:rPr>
          <w:color w:val="000000"/>
          <w:sz w:val="21"/>
          <w:szCs w:val="21"/>
        </w:rPr>
        <w:t xml:space="preserve"> broker takes a fee on remediation orders it routes (§10.4), and if so at what rate and disclosed how, is undecided — relevant both to </w:t>
      </w:r>
      <w:proofErr w:type="spellStart"/>
      <w:r>
        <w:rPr>
          <w:color w:val="000000"/>
          <w:sz w:val="21"/>
          <w:szCs w:val="21"/>
        </w:rPr>
        <w:t>AIforE's</w:t>
      </w:r>
      <w:proofErr w:type="spellEnd"/>
      <w:r>
        <w:rPr>
          <w:color w:val="000000"/>
          <w:sz w:val="21"/>
          <w:szCs w:val="21"/>
        </w:rPr>
        <w:t xml:space="preserve"> own funding model and to how subscribers price remediation actions to their own users.</w:t>
      </w:r>
    </w:p>
    <w:p w14:paraId="000002F4"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Liability allocation between </w:t>
      </w:r>
      <w:proofErr w:type="spellStart"/>
      <w:r>
        <w:rPr>
          <w:color w:val="000000"/>
          <w:sz w:val="21"/>
          <w:szCs w:val="21"/>
        </w:rPr>
        <w:t>AIforE</w:t>
      </w:r>
      <w:proofErr w:type="spellEnd"/>
      <w:r>
        <w:rPr>
          <w:color w:val="000000"/>
          <w:sz w:val="21"/>
          <w:szCs w:val="21"/>
        </w:rPr>
        <w:t xml:space="preserve"> (as broker), the provider, and the subscriber when a remediation order is not fulfilled as represented — particularly for Tier 2 (emerging/methodology-immature) providers (§10.2.1) — needs legal review before the Provider SDK ships.</w:t>
      </w:r>
    </w:p>
    <w:p w14:paraId="000002F5" w14:textId="77777777" w:rsidR="0062357D" w:rsidRDefault="007E79DA">
      <w:pPr>
        <w:numPr>
          <w:ilvl w:val="0"/>
          <w:numId w:val="1"/>
        </w:numPr>
        <w:pBdr>
          <w:top w:val="nil"/>
          <w:left w:val="nil"/>
          <w:bottom w:val="nil"/>
          <w:right w:val="nil"/>
          <w:between w:val="nil"/>
        </w:pBdr>
        <w:spacing w:after="60"/>
      </w:pPr>
      <w:r>
        <w:rPr>
          <w:color w:val="000000"/>
          <w:sz w:val="21"/>
          <w:szCs w:val="21"/>
        </w:rPr>
        <w:t>Whether to adopt GHG Protocol Scope 2-style dual reporting (location-based grid mix vs. market-based/PPA-attributed source) for the Energy Source Code (§5.3) when a provider has a dedicated power-purchase agreement (e.g., a nuclear or SMR PPA) that differs from its physical grid mix — relevant given 2026's wave of AI-data-center nuclear/SMR PPAs.</w:t>
      </w:r>
    </w:p>
    <w:p w14:paraId="000002F6" w14:textId="77777777" w:rsidR="0062357D" w:rsidRDefault="007E79DA">
      <w:r>
        <w:br w:type="page"/>
      </w:r>
    </w:p>
    <w:p w14:paraId="00001001" w14:textId="77777777" w:rsidR="0062357D" w:rsidRDefault="007E79DA">
      <w:r>
        <w:br w:type="page"/>
      </w:r>
    </w:p>
    <w:p w14:paraId="7D00000B" w14:textId="77777777" w:rsidR="0062357D" w:rsidRDefault="007E79DA">
      <w:pPr>
        <w:numPr>
          <w:ilvl w:val="0"/>
          <w:numId w:val="1"/>
        </w:numPr>
        <w:spacing w:after="60"/>
      </w:pPr>
      <w:r>
        <w:rPr>
          <w:sz w:val="21"/>
          <w:szCs w:val="21"/>
        </w:rPr>
        <w:t xml:space="preserve">Which registries grant programmatic access for transfer and retirement, and whether </w:t>
      </w:r>
      <w:proofErr w:type="spellStart"/>
      <w:r>
        <w:rPr>
          <w:sz w:val="21"/>
          <w:szCs w:val="21"/>
        </w:rPr>
        <w:t>AIforE</w:t>
      </w:r>
      <w:proofErr w:type="spellEnd"/>
      <w:r>
        <w:rPr>
          <w:sz w:val="21"/>
          <w:szCs w:val="21"/>
        </w:rPr>
        <w:t xml:space="preserve"> or a licensed partner acts as the account holder for Subscriber retirements (§22.5).</w:t>
      </w:r>
    </w:p>
    <w:p w14:paraId="7D00000C" w14:textId="77777777" w:rsidR="0062357D" w:rsidRDefault="007E79DA">
      <w:pPr>
        <w:numPr>
          <w:ilvl w:val="0"/>
          <w:numId w:val="1"/>
        </w:numPr>
        <w:spacing w:after="60"/>
      </w:pPr>
      <w:r>
        <w:rPr>
          <w:sz w:val="21"/>
          <w:szCs w:val="21"/>
        </w:rPr>
        <w:t xml:space="preserve">Legal and regulatory review of </w:t>
      </w:r>
      <w:proofErr w:type="spellStart"/>
      <w:r>
        <w:rPr>
          <w:sz w:val="21"/>
          <w:szCs w:val="21"/>
        </w:rPr>
        <w:t>AIforE</w:t>
      </w:r>
      <w:proofErr w:type="spellEnd"/>
      <w:r>
        <w:rPr>
          <w:sz w:val="21"/>
          <w:szCs w:val="21"/>
        </w:rPr>
        <w:t xml:space="preserve"> brokering environmental commodities across multiple markets, including nonprofit and jurisdictional constraints.</w:t>
      </w:r>
    </w:p>
    <w:p w14:paraId="7D00000D" w14:textId="77777777" w:rsidR="0062357D" w:rsidRDefault="007E79DA">
      <w:pPr>
        <w:numPr>
          <w:ilvl w:val="0"/>
          <w:numId w:val="1"/>
        </w:numPr>
        <w:spacing w:after="60"/>
      </w:pPr>
      <w:r>
        <w:rPr>
          <w:sz w:val="21"/>
          <w:szCs w:val="21"/>
        </w:rPr>
        <w:t>Which water-benefit and heat-reuse crediting programs to accept initially, given that both markets are less mature than carbon and energy (§22.2).</w:t>
      </w:r>
    </w:p>
    <w:p w14:paraId="00001002" w14:textId="77777777" w:rsidR="0062357D" w:rsidRDefault="007E79DA">
      <w:pPr>
        <w:pStyle w:val="Heading1"/>
        <w:spacing w:before="360" w:after="160"/>
      </w:pPr>
      <w:r>
        <w:rPr>
          <w:b/>
          <w:bCs/>
          <w:color w:val="0F4A2E"/>
          <w:sz w:val="30"/>
          <w:szCs w:val="30"/>
        </w:rPr>
        <w:t>20. Carbon Capture Provider Telemetry Specification</w:t>
      </w:r>
    </w:p>
    <w:p w14:paraId="00001003" w14:textId="77777777" w:rsidR="0062357D" w:rsidRDefault="007E79DA">
      <w:pPr>
        <w:spacing w:after="140"/>
      </w:pPr>
      <w:r>
        <w:rPr>
          <w:sz w:val="21"/>
          <w:szCs w:val="21"/>
        </w:rPr>
        <w:t xml:space="preserve">This section defines the telemetry and derived-data fields captured from carbon capture Provider systems (§10.2) feeding into Stardust's carbon marketplace and Return-on-Impact accounting. Each field carries a 3-letter code for use in raw data stream schemas, database columns, and downstream ML job outputs. Codes are prefixed by tier: no prefix denotes raw acquired telemetry, and a “D-” prefix denotes a derived or ML-generated dataset field, so a raw and derived version of a concept share a root (e.g., CEP </w:t>
      </w:r>
      <w:r>
        <w:rPr>
          <w:sz w:val="21"/>
          <w:szCs w:val="21"/>
        </w:rPr>
        <w:t>raw vs. D-CEP model-estimated).</w:t>
      </w:r>
    </w:p>
    <w:p w14:paraId="00001004" w14:textId="77777777" w:rsidR="0062357D" w:rsidRDefault="0062357D">
      <w:pPr>
        <w:spacing w:after="140"/>
      </w:pPr>
    </w:p>
    <w:p w14:paraId="00001005" w14:textId="77777777" w:rsidR="0062357D" w:rsidRDefault="007E79DA">
      <w:pPr>
        <w:pStyle w:val="Heading2"/>
        <w:spacing w:before="280" w:after="120"/>
      </w:pPr>
      <w:r>
        <w:rPr>
          <w:b/>
          <w:bCs/>
          <w:color w:val="1E7A4C"/>
          <w:sz w:val="24"/>
          <w:szCs w:val="24"/>
        </w:rPr>
        <w:t>20.1 Technology Type Codes</w:t>
      </w:r>
    </w:p>
    <w:p w14:paraId="00001006" w14:textId="77777777" w:rsidR="0062357D" w:rsidRDefault="007E79DA">
      <w:pPr>
        <w:spacing w:after="140"/>
      </w:pPr>
      <w:r>
        <w:rPr>
          <w:sz w:val="21"/>
          <w:szCs w:val="21"/>
        </w:rPr>
        <w:t>Every telemetry record is tagged with which capture method produced it, since applicable fields differ by technology type.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3840"/>
        <w:gridCol w:w="4320"/>
      </w:tblGrid>
      <w:tr w:rsidR="0062357D" w14:paraId="63C8306B" w14:textId="77777777">
        <w:trPr>
          <w:tblHeader/>
        </w:trPr>
        <w:tc>
          <w:tcPr>
            <w:tcW w:w="1440" w:type="dxa"/>
            <w:shd w:val="clear" w:color="auto" w:fill="1E7A4C"/>
            <w:tcMar>
              <w:top w:w="80" w:type="dxa"/>
              <w:left w:w="100" w:type="dxa"/>
              <w:bottom w:w="80" w:type="dxa"/>
              <w:right w:w="100" w:type="dxa"/>
            </w:tcMar>
          </w:tcPr>
          <w:p w14:paraId="00001007" w14:textId="77777777" w:rsidR="0062357D" w:rsidRDefault="007E79DA">
            <w:r>
              <w:rPr>
                <w:b/>
                <w:bCs/>
                <w:color w:val="FFFFFF"/>
                <w:sz w:val="19"/>
                <w:szCs w:val="19"/>
              </w:rPr>
              <w:t>Code</w:t>
            </w:r>
          </w:p>
        </w:tc>
        <w:tc>
          <w:tcPr>
            <w:tcW w:w="3840" w:type="dxa"/>
            <w:shd w:val="clear" w:color="auto" w:fill="1E7A4C"/>
            <w:tcMar>
              <w:top w:w="80" w:type="dxa"/>
              <w:left w:w="100" w:type="dxa"/>
              <w:bottom w:w="80" w:type="dxa"/>
              <w:right w:w="100" w:type="dxa"/>
            </w:tcMar>
          </w:tcPr>
          <w:p w14:paraId="00001008" w14:textId="77777777" w:rsidR="0062357D" w:rsidRDefault="007E79DA">
            <w:r>
              <w:rPr>
                <w:b/>
                <w:bCs/>
                <w:color w:val="FFFFFF"/>
                <w:sz w:val="19"/>
                <w:szCs w:val="19"/>
              </w:rPr>
              <w:t>Technology Type</w:t>
            </w:r>
          </w:p>
        </w:tc>
        <w:tc>
          <w:tcPr>
            <w:tcW w:w="4320" w:type="dxa"/>
            <w:shd w:val="clear" w:color="auto" w:fill="1E7A4C"/>
            <w:tcMar>
              <w:top w:w="80" w:type="dxa"/>
              <w:left w:w="100" w:type="dxa"/>
              <w:bottom w:w="80" w:type="dxa"/>
              <w:right w:w="100" w:type="dxa"/>
            </w:tcMar>
          </w:tcPr>
          <w:p w14:paraId="00001009" w14:textId="77777777" w:rsidR="0062357D" w:rsidRDefault="007E79DA">
            <w:r>
              <w:rPr>
                <w:b/>
                <w:bCs/>
                <w:color w:val="FFFFFF"/>
                <w:sz w:val="19"/>
                <w:szCs w:val="19"/>
              </w:rPr>
              <w:t>Notes</w:t>
            </w:r>
          </w:p>
        </w:tc>
      </w:tr>
      <w:tr w:rsidR="0062357D" w14:paraId="11F65DF4" w14:textId="77777777">
        <w:tc>
          <w:tcPr>
            <w:tcW w:w="1440" w:type="dxa"/>
            <w:tcMar>
              <w:top w:w="80" w:type="dxa"/>
              <w:left w:w="100" w:type="dxa"/>
              <w:bottom w:w="80" w:type="dxa"/>
              <w:right w:w="100" w:type="dxa"/>
            </w:tcMar>
          </w:tcPr>
          <w:p w14:paraId="0000100A" w14:textId="77777777" w:rsidR="0062357D" w:rsidRDefault="007E79DA">
            <w:r>
              <w:rPr>
                <w:sz w:val="19"/>
                <w:szCs w:val="19"/>
              </w:rPr>
              <w:t>DAC</w:t>
            </w:r>
          </w:p>
        </w:tc>
        <w:tc>
          <w:tcPr>
            <w:tcW w:w="3840" w:type="dxa"/>
            <w:tcMar>
              <w:top w:w="80" w:type="dxa"/>
              <w:left w:w="100" w:type="dxa"/>
              <w:bottom w:w="80" w:type="dxa"/>
              <w:right w:w="100" w:type="dxa"/>
            </w:tcMar>
          </w:tcPr>
          <w:p w14:paraId="0000100B" w14:textId="77777777" w:rsidR="0062357D" w:rsidRDefault="007E79DA">
            <w:r>
              <w:rPr>
                <w:sz w:val="19"/>
                <w:szCs w:val="19"/>
              </w:rPr>
              <w:t>Direct Air Capture</w:t>
            </w:r>
          </w:p>
        </w:tc>
        <w:tc>
          <w:tcPr>
            <w:tcW w:w="4320" w:type="dxa"/>
            <w:tcMar>
              <w:top w:w="80" w:type="dxa"/>
              <w:left w:w="100" w:type="dxa"/>
              <w:bottom w:w="80" w:type="dxa"/>
              <w:right w:w="100" w:type="dxa"/>
            </w:tcMar>
          </w:tcPr>
          <w:p w14:paraId="0000100C" w14:textId="77777777" w:rsidR="0062357D" w:rsidRDefault="007E79DA">
            <w:r>
              <w:rPr>
                <w:sz w:val="19"/>
                <w:szCs w:val="19"/>
              </w:rPr>
              <w:t>Ambient air, chemical/physical sorbents</w:t>
            </w:r>
          </w:p>
        </w:tc>
      </w:tr>
      <w:tr w:rsidR="0062357D" w14:paraId="337F0E64" w14:textId="77777777">
        <w:tc>
          <w:tcPr>
            <w:tcW w:w="1440" w:type="dxa"/>
            <w:tcMar>
              <w:top w:w="80" w:type="dxa"/>
              <w:left w:w="100" w:type="dxa"/>
              <w:bottom w:w="80" w:type="dxa"/>
              <w:right w:w="100" w:type="dxa"/>
            </w:tcMar>
          </w:tcPr>
          <w:p w14:paraId="0000100D" w14:textId="77777777" w:rsidR="0062357D" w:rsidRDefault="007E79DA">
            <w:r>
              <w:rPr>
                <w:sz w:val="19"/>
                <w:szCs w:val="19"/>
              </w:rPr>
              <w:t>PSC</w:t>
            </w:r>
          </w:p>
        </w:tc>
        <w:tc>
          <w:tcPr>
            <w:tcW w:w="3840" w:type="dxa"/>
            <w:tcMar>
              <w:top w:w="80" w:type="dxa"/>
              <w:left w:w="100" w:type="dxa"/>
              <w:bottom w:w="80" w:type="dxa"/>
              <w:right w:w="100" w:type="dxa"/>
            </w:tcMar>
          </w:tcPr>
          <w:p w14:paraId="0000100E" w14:textId="77777777" w:rsidR="0062357D" w:rsidRDefault="007E79DA">
            <w:r>
              <w:rPr>
                <w:sz w:val="19"/>
                <w:szCs w:val="19"/>
              </w:rPr>
              <w:t>Point-Source Capture</w:t>
            </w:r>
          </w:p>
        </w:tc>
        <w:tc>
          <w:tcPr>
            <w:tcW w:w="4320" w:type="dxa"/>
            <w:tcMar>
              <w:top w:w="80" w:type="dxa"/>
              <w:left w:w="100" w:type="dxa"/>
              <w:bottom w:w="80" w:type="dxa"/>
              <w:right w:w="100" w:type="dxa"/>
            </w:tcMar>
          </w:tcPr>
          <w:p w14:paraId="0000100F" w14:textId="77777777" w:rsidR="0062357D" w:rsidRDefault="007E79DA">
            <w:r>
              <w:rPr>
                <w:sz w:val="19"/>
                <w:szCs w:val="19"/>
              </w:rPr>
              <w:t>Industrial flue gas (cement, steel, power)</w:t>
            </w:r>
          </w:p>
        </w:tc>
      </w:tr>
      <w:tr w:rsidR="0062357D" w14:paraId="2C57E760" w14:textId="77777777">
        <w:tc>
          <w:tcPr>
            <w:tcW w:w="1440" w:type="dxa"/>
            <w:tcMar>
              <w:top w:w="80" w:type="dxa"/>
              <w:left w:w="100" w:type="dxa"/>
              <w:bottom w:w="80" w:type="dxa"/>
              <w:right w:w="100" w:type="dxa"/>
            </w:tcMar>
          </w:tcPr>
          <w:p w14:paraId="00001010" w14:textId="77777777" w:rsidR="0062357D" w:rsidRDefault="007E79DA">
            <w:r>
              <w:rPr>
                <w:sz w:val="19"/>
                <w:szCs w:val="19"/>
              </w:rPr>
              <w:t>NBC</w:t>
            </w:r>
          </w:p>
        </w:tc>
        <w:tc>
          <w:tcPr>
            <w:tcW w:w="3840" w:type="dxa"/>
            <w:tcMar>
              <w:top w:w="80" w:type="dxa"/>
              <w:left w:w="100" w:type="dxa"/>
              <w:bottom w:w="80" w:type="dxa"/>
              <w:right w:w="100" w:type="dxa"/>
            </w:tcMar>
          </w:tcPr>
          <w:p w14:paraId="00001011" w14:textId="77777777" w:rsidR="0062357D" w:rsidRDefault="007E79DA">
            <w:r>
              <w:rPr>
                <w:sz w:val="19"/>
                <w:szCs w:val="19"/>
              </w:rPr>
              <w:t>Nature-Based Capture</w:t>
            </w:r>
          </w:p>
        </w:tc>
        <w:tc>
          <w:tcPr>
            <w:tcW w:w="4320" w:type="dxa"/>
            <w:tcMar>
              <w:top w:w="80" w:type="dxa"/>
              <w:left w:w="100" w:type="dxa"/>
              <w:bottom w:w="80" w:type="dxa"/>
              <w:right w:w="100" w:type="dxa"/>
            </w:tcMar>
          </w:tcPr>
          <w:p w14:paraId="00001012" w14:textId="77777777" w:rsidR="0062357D" w:rsidRDefault="007E79DA">
            <w:r>
              <w:rPr>
                <w:sz w:val="19"/>
                <w:szCs w:val="19"/>
              </w:rPr>
              <w:t>Biomass, soil, afforestation — estimate-heavy</w:t>
            </w:r>
          </w:p>
        </w:tc>
      </w:tr>
      <w:tr w:rsidR="0062357D" w14:paraId="43540792" w14:textId="77777777">
        <w:tc>
          <w:tcPr>
            <w:tcW w:w="1440" w:type="dxa"/>
            <w:tcMar>
              <w:top w:w="80" w:type="dxa"/>
              <w:left w:w="100" w:type="dxa"/>
              <w:bottom w:w="80" w:type="dxa"/>
              <w:right w:w="100" w:type="dxa"/>
            </w:tcMar>
          </w:tcPr>
          <w:p w14:paraId="00001013" w14:textId="77777777" w:rsidR="0062357D" w:rsidRDefault="007E79DA">
            <w:r>
              <w:rPr>
                <w:sz w:val="19"/>
                <w:szCs w:val="19"/>
              </w:rPr>
              <w:t>OBC</w:t>
            </w:r>
          </w:p>
        </w:tc>
        <w:tc>
          <w:tcPr>
            <w:tcW w:w="3840" w:type="dxa"/>
            <w:tcMar>
              <w:top w:w="80" w:type="dxa"/>
              <w:left w:w="100" w:type="dxa"/>
              <w:bottom w:w="80" w:type="dxa"/>
              <w:right w:w="100" w:type="dxa"/>
            </w:tcMar>
          </w:tcPr>
          <w:p w14:paraId="00001014" w14:textId="77777777" w:rsidR="0062357D" w:rsidRDefault="007E79DA">
            <w:r>
              <w:rPr>
                <w:sz w:val="19"/>
                <w:szCs w:val="19"/>
              </w:rPr>
              <w:t>Ocean-Based Capture</w:t>
            </w:r>
          </w:p>
        </w:tc>
        <w:tc>
          <w:tcPr>
            <w:tcW w:w="4320" w:type="dxa"/>
            <w:tcMar>
              <w:top w:w="80" w:type="dxa"/>
              <w:left w:w="100" w:type="dxa"/>
              <w:bottom w:w="80" w:type="dxa"/>
              <w:right w:w="100" w:type="dxa"/>
            </w:tcMar>
          </w:tcPr>
          <w:p w14:paraId="00001015" w14:textId="77777777" w:rsidR="0062357D" w:rsidRDefault="007E79DA">
            <w:r>
              <w:rPr>
                <w:sz w:val="19"/>
                <w:szCs w:val="19"/>
              </w:rPr>
              <w:t>Emerging; alkalinity enhancement, electrochemical</w:t>
            </w:r>
          </w:p>
        </w:tc>
      </w:tr>
    </w:tbl>
    <w:p w14:paraId="00001016" w14:textId="77777777" w:rsidR="0062357D" w:rsidRDefault="0062357D">
      <w:pPr>
        <w:spacing w:after="140"/>
      </w:pPr>
    </w:p>
    <w:p w14:paraId="00001017" w14:textId="77777777" w:rsidR="0062357D" w:rsidRDefault="007E79DA">
      <w:pPr>
        <w:pStyle w:val="Heading2"/>
        <w:spacing w:before="280" w:after="120"/>
      </w:pPr>
      <w:r>
        <w:rPr>
          <w:b/>
          <w:bCs/>
          <w:color w:val="1E7A4C"/>
          <w:sz w:val="24"/>
          <w:szCs w:val="24"/>
        </w:rPr>
        <w:t>20.2 Capture Performance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09B340A3" w14:textId="77777777">
        <w:trPr>
          <w:tblHeader/>
        </w:trPr>
        <w:tc>
          <w:tcPr>
            <w:tcW w:w="960" w:type="dxa"/>
            <w:shd w:val="clear" w:color="auto" w:fill="1E7A4C"/>
            <w:tcMar>
              <w:top w:w="80" w:type="dxa"/>
              <w:left w:w="100" w:type="dxa"/>
              <w:bottom w:w="80" w:type="dxa"/>
              <w:right w:w="100" w:type="dxa"/>
            </w:tcMar>
          </w:tcPr>
          <w:p w14:paraId="00001018"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00001019"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0000101A"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0000101B"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0000101C"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0000101D" w14:textId="77777777" w:rsidR="0062357D" w:rsidRDefault="007E79DA">
            <w:r>
              <w:rPr>
                <w:b/>
                <w:bCs/>
                <w:color w:val="FFFFFF"/>
                <w:sz w:val="19"/>
                <w:szCs w:val="19"/>
              </w:rPr>
              <w:t>Applies To</w:t>
            </w:r>
          </w:p>
        </w:tc>
      </w:tr>
      <w:tr w:rsidR="0062357D" w14:paraId="3CC36377" w14:textId="77777777">
        <w:tc>
          <w:tcPr>
            <w:tcW w:w="960" w:type="dxa"/>
            <w:tcMar>
              <w:top w:w="80" w:type="dxa"/>
              <w:left w:w="100" w:type="dxa"/>
              <w:bottom w:w="80" w:type="dxa"/>
              <w:right w:w="100" w:type="dxa"/>
            </w:tcMar>
          </w:tcPr>
          <w:p w14:paraId="0000101E" w14:textId="77777777" w:rsidR="0062357D" w:rsidRDefault="007E79DA">
            <w:r>
              <w:rPr>
                <w:sz w:val="19"/>
                <w:szCs w:val="19"/>
              </w:rPr>
              <w:t>CRI</w:t>
            </w:r>
          </w:p>
        </w:tc>
        <w:tc>
          <w:tcPr>
            <w:tcW w:w="2240" w:type="dxa"/>
            <w:tcMar>
              <w:top w:w="80" w:type="dxa"/>
              <w:left w:w="100" w:type="dxa"/>
              <w:bottom w:w="80" w:type="dxa"/>
              <w:right w:w="100" w:type="dxa"/>
            </w:tcMar>
          </w:tcPr>
          <w:p w14:paraId="0000101F" w14:textId="77777777" w:rsidR="0062357D" w:rsidRDefault="007E79DA">
            <w:r>
              <w:rPr>
                <w:sz w:val="19"/>
                <w:szCs w:val="19"/>
              </w:rPr>
              <w:t>Capture Rate Interval</w:t>
            </w:r>
          </w:p>
        </w:tc>
        <w:tc>
          <w:tcPr>
            <w:tcW w:w="2720" w:type="dxa"/>
            <w:tcMar>
              <w:top w:w="80" w:type="dxa"/>
              <w:left w:w="100" w:type="dxa"/>
              <w:bottom w:w="80" w:type="dxa"/>
              <w:right w:w="100" w:type="dxa"/>
            </w:tcMar>
          </w:tcPr>
          <w:p w14:paraId="00001020" w14:textId="77777777" w:rsidR="0062357D" w:rsidRDefault="007E79DA">
            <w:r>
              <w:rPr>
                <w:sz w:val="19"/>
                <w:szCs w:val="19"/>
              </w:rPr>
              <w:t>Mass captured per reporting interval</w:t>
            </w:r>
          </w:p>
        </w:tc>
        <w:tc>
          <w:tcPr>
            <w:tcW w:w="1280" w:type="dxa"/>
            <w:tcMar>
              <w:top w:w="80" w:type="dxa"/>
              <w:left w:w="100" w:type="dxa"/>
              <w:bottom w:w="80" w:type="dxa"/>
              <w:right w:w="100" w:type="dxa"/>
            </w:tcMar>
          </w:tcPr>
          <w:p w14:paraId="00001021" w14:textId="77777777" w:rsidR="0062357D" w:rsidRDefault="007E79DA">
            <w:r>
              <w:rPr>
                <w:sz w:val="19"/>
                <w:szCs w:val="19"/>
              </w:rPr>
              <w:t>kg/</w:t>
            </w:r>
            <w:proofErr w:type="spellStart"/>
            <w:r>
              <w:rPr>
                <w:sz w:val="19"/>
                <w:szCs w:val="19"/>
              </w:rPr>
              <w:t>hr</w:t>
            </w:r>
            <w:proofErr w:type="spellEnd"/>
            <w:r>
              <w:rPr>
                <w:sz w:val="19"/>
                <w:szCs w:val="19"/>
              </w:rPr>
              <w:t xml:space="preserve"> or t/day</w:t>
            </w:r>
          </w:p>
        </w:tc>
        <w:tc>
          <w:tcPr>
            <w:tcW w:w="1280" w:type="dxa"/>
            <w:tcMar>
              <w:top w:w="80" w:type="dxa"/>
              <w:left w:w="100" w:type="dxa"/>
              <w:bottom w:w="80" w:type="dxa"/>
              <w:right w:w="100" w:type="dxa"/>
            </w:tcMar>
          </w:tcPr>
          <w:p w14:paraId="00001022" w14:textId="77777777" w:rsidR="0062357D" w:rsidRDefault="007E79DA">
            <w:r>
              <w:rPr>
                <w:sz w:val="19"/>
                <w:szCs w:val="19"/>
              </w:rPr>
              <w:t>Real-time–hourly</w:t>
            </w:r>
          </w:p>
        </w:tc>
        <w:tc>
          <w:tcPr>
            <w:tcW w:w="1120" w:type="dxa"/>
            <w:tcMar>
              <w:top w:w="80" w:type="dxa"/>
              <w:left w:w="100" w:type="dxa"/>
              <w:bottom w:w="80" w:type="dxa"/>
              <w:right w:w="100" w:type="dxa"/>
            </w:tcMar>
          </w:tcPr>
          <w:p w14:paraId="00001023" w14:textId="77777777" w:rsidR="0062357D" w:rsidRDefault="007E79DA">
            <w:r>
              <w:rPr>
                <w:sz w:val="19"/>
                <w:szCs w:val="19"/>
              </w:rPr>
              <w:t>DAC, PSC, OBC</w:t>
            </w:r>
          </w:p>
        </w:tc>
      </w:tr>
      <w:tr w:rsidR="0062357D" w14:paraId="2ECB9330" w14:textId="77777777">
        <w:tc>
          <w:tcPr>
            <w:tcW w:w="960" w:type="dxa"/>
            <w:tcMar>
              <w:top w:w="80" w:type="dxa"/>
              <w:left w:w="100" w:type="dxa"/>
              <w:bottom w:w="80" w:type="dxa"/>
              <w:right w:w="100" w:type="dxa"/>
            </w:tcMar>
          </w:tcPr>
          <w:p w14:paraId="00001024" w14:textId="77777777" w:rsidR="0062357D" w:rsidRDefault="007E79DA">
            <w:r>
              <w:rPr>
                <w:sz w:val="19"/>
                <w:szCs w:val="19"/>
              </w:rPr>
              <w:t>CEP</w:t>
            </w:r>
          </w:p>
        </w:tc>
        <w:tc>
          <w:tcPr>
            <w:tcW w:w="2240" w:type="dxa"/>
            <w:tcMar>
              <w:top w:w="80" w:type="dxa"/>
              <w:left w:w="100" w:type="dxa"/>
              <w:bottom w:w="80" w:type="dxa"/>
              <w:right w:w="100" w:type="dxa"/>
            </w:tcMar>
          </w:tcPr>
          <w:p w14:paraId="00001025" w14:textId="77777777" w:rsidR="0062357D" w:rsidRDefault="007E79DA">
            <w:r>
              <w:rPr>
                <w:sz w:val="19"/>
                <w:szCs w:val="19"/>
              </w:rPr>
              <w:t>Capture Efficiency Percentage</w:t>
            </w:r>
          </w:p>
        </w:tc>
        <w:tc>
          <w:tcPr>
            <w:tcW w:w="2720" w:type="dxa"/>
            <w:tcMar>
              <w:top w:w="80" w:type="dxa"/>
              <w:left w:w="100" w:type="dxa"/>
              <w:bottom w:w="80" w:type="dxa"/>
              <w:right w:w="100" w:type="dxa"/>
            </w:tcMar>
          </w:tcPr>
          <w:p w14:paraId="00001026" w14:textId="77777777" w:rsidR="0062357D" w:rsidRDefault="007E79DA">
            <w:r>
              <w:rPr>
                <w:sz w:val="19"/>
                <w:szCs w:val="19"/>
              </w:rPr>
              <w:t>% of CO2 in input stream actually captured</w:t>
            </w:r>
          </w:p>
        </w:tc>
        <w:tc>
          <w:tcPr>
            <w:tcW w:w="1280" w:type="dxa"/>
            <w:tcMar>
              <w:top w:w="80" w:type="dxa"/>
              <w:left w:w="100" w:type="dxa"/>
              <w:bottom w:w="80" w:type="dxa"/>
              <w:right w:w="100" w:type="dxa"/>
            </w:tcMar>
          </w:tcPr>
          <w:p w14:paraId="00001027" w14:textId="77777777" w:rsidR="0062357D" w:rsidRDefault="007E79DA">
            <w:r>
              <w:rPr>
                <w:sz w:val="19"/>
                <w:szCs w:val="19"/>
              </w:rPr>
              <w:t>%</w:t>
            </w:r>
          </w:p>
        </w:tc>
        <w:tc>
          <w:tcPr>
            <w:tcW w:w="1280" w:type="dxa"/>
            <w:tcMar>
              <w:top w:w="80" w:type="dxa"/>
              <w:left w:w="100" w:type="dxa"/>
              <w:bottom w:w="80" w:type="dxa"/>
              <w:right w:w="100" w:type="dxa"/>
            </w:tcMar>
          </w:tcPr>
          <w:p w14:paraId="00001028" w14:textId="77777777" w:rsidR="0062357D" w:rsidRDefault="007E79DA">
            <w:r>
              <w:rPr>
                <w:sz w:val="19"/>
                <w:szCs w:val="19"/>
              </w:rPr>
              <w:t>Hourly/daily</w:t>
            </w:r>
          </w:p>
        </w:tc>
        <w:tc>
          <w:tcPr>
            <w:tcW w:w="1120" w:type="dxa"/>
            <w:tcMar>
              <w:top w:w="80" w:type="dxa"/>
              <w:left w:w="100" w:type="dxa"/>
              <w:bottom w:w="80" w:type="dxa"/>
              <w:right w:w="100" w:type="dxa"/>
            </w:tcMar>
          </w:tcPr>
          <w:p w14:paraId="00001029" w14:textId="77777777" w:rsidR="0062357D" w:rsidRDefault="007E79DA">
            <w:r>
              <w:rPr>
                <w:sz w:val="19"/>
                <w:szCs w:val="19"/>
              </w:rPr>
              <w:t>DAC, PSC</w:t>
            </w:r>
          </w:p>
        </w:tc>
      </w:tr>
      <w:tr w:rsidR="0062357D" w14:paraId="52DA72CD" w14:textId="77777777">
        <w:tc>
          <w:tcPr>
            <w:tcW w:w="960" w:type="dxa"/>
            <w:tcMar>
              <w:top w:w="80" w:type="dxa"/>
              <w:left w:w="100" w:type="dxa"/>
              <w:bottom w:w="80" w:type="dxa"/>
              <w:right w:w="100" w:type="dxa"/>
            </w:tcMar>
          </w:tcPr>
          <w:p w14:paraId="0000102A" w14:textId="77777777" w:rsidR="0062357D" w:rsidRDefault="007E79DA">
            <w:r>
              <w:rPr>
                <w:sz w:val="19"/>
                <w:szCs w:val="19"/>
              </w:rPr>
              <w:t>CUR</w:t>
            </w:r>
          </w:p>
        </w:tc>
        <w:tc>
          <w:tcPr>
            <w:tcW w:w="2240" w:type="dxa"/>
            <w:tcMar>
              <w:top w:w="80" w:type="dxa"/>
              <w:left w:w="100" w:type="dxa"/>
              <w:bottom w:w="80" w:type="dxa"/>
              <w:right w:w="100" w:type="dxa"/>
            </w:tcMar>
          </w:tcPr>
          <w:p w14:paraId="0000102B" w14:textId="77777777" w:rsidR="0062357D" w:rsidRDefault="007E79DA">
            <w:r>
              <w:rPr>
                <w:sz w:val="19"/>
                <w:szCs w:val="19"/>
              </w:rPr>
              <w:t>Capacity Utilization Rate</w:t>
            </w:r>
          </w:p>
        </w:tc>
        <w:tc>
          <w:tcPr>
            <w:tcW w:w="2720" w:type="dxa"/>
            <w:tcMar>
              <w:top w:w="80" w:type="dxa"/>
              <w:left w:w="100" w:type="dxa"/>
              <w:bottom w:w="80" w:type="dxa"/>
              <w:right w:w="100" w:type="dxa"/>
            </w:tcMar>
          </w:tcPr>
          <w:p w14:paraId="0000102C" w14:textId="77777777" w:rsidR="0062357D" w:rsidRDefault="007E79DA">
            <w:r>
              <w:rPr>
                <w:sz w:val="19"/>
                <w:szCs w:val="19"/>
              </w:rPr>
              <w:t>Actual throughput vs. rated nameplate capacity</w:t>
            </w:r>
          </w:p>
        </w:tc>
        <w:tc>
          <w:tcPr>
            <w:tcW w:w="1280" w:type="dxa"/>
            <w:tcMar>
              <w:top w:w="80" w:type="dxa"/>
              <w:left w:w="100" w:type="dxa"/>
              <w:bottom w:w="80" w:type="dxa"/>
              <w:right w:w="100" w:type="dxa"/>
            </w:tcMar>
          </w:tcPr>
          <w:p w14:paraId="0000102D" w14:textId="77777777" w:rsidR="0062357D" w:rsidRDefault="007E79DA">
            <w:r>
              <w:rPr>
                <w:sz w:val="19"/>
                <w:szCs w:val="19"/>
              </w:rPr>
              <w:t>%</w:t>
            </w:r>
          </w:p>
        </w:tc>
        <w:tc>
          <w:tcPr>
            <w:tcW w:w="1280" w:type="dxa"/>
            <w:tcMar>
              <w:top w:w="80" w:type="dxa"/>
              <w:left w:w="100" w:type="dxa"/>
              <w:bottom w:w="80" w:type="dxa"/>
              <w:right w:w="100" w:type="dxa"/>
            </w:tcMar>
          </w:tcPr>
          <w:p w14:paraId="0000102E" w14:textId="77777777" w:rsidR="0062357D" w:rsidRDefault="007E79DA">
            <w:r>
              <w:rPr>
                <w:sz w:val="19"/>
                <w:szCs w:val="19"/>
              </w:rPr>
              <w:t>Daily</w:t>
            </w:r>
          </w:p>
        </w:tc>
        <w:tc>
          <w:tcPr>
            <w:tcW w:w="1120" w:type="dxa"/>
            <w:tcMar>
              <w:top w:w="80" w:type="dxa"/>
              <w:left w:w="100" w:type="dxa"/>
              <w:bottom w:w="80" w:type="dxa"/>
              <w:right w:w="100" w:type="dxa"/>
            </w:tcMar>
          </w:tcPr>
          <w:p w14:paraId="0000102F" w14:textId="77777777" w:rsidR="0062357D" w:rsidRDefault="007E79DA">
            <w:r>
              <w:rPr>
                <w:sz w:val="19"/>
                <w:szCs w:val="19"/>
              </w:rPr>
              <w:t>DAC, PSC, OBC</w:t>
            </w:r>
          </w:p>
        </w:tc>
      </w:tr>
      <w:tr w:rsidR="0062357D" w14:paraId="2172FE90" w14:textId="77777777">
        <w:tc>
          <w:tcPr>
            <w:tcW w:w="960" w:type="dxa"/>
            <w:tcMar>
              <w:top w:w="80" w:type="dxa"/>
              <w:left w:w="100" w:type="dxa"/>
              <w:bottom w:w="80" w:type="dxa"/>
              <w:right w:w="100" w:type="dxa"/>
            </w:tcMar>
          </w:tcPr>
          <w:p w14:paraId="00001030" w14:textId="77777777" w:rsidR="0062357D" w:rsidRDefault="007E79DA">
            <w:r>
              <w:rPr>
                <w:sz w:val="19"/>
                <w:szCs w:val="19"/>
              </w:rPr>
              <w:t>UDL</w:t>
            </w:r>
          </w:p>
        </w:tc>
        <w:tc>
          <w:tcPr>
            <w:tcW w:w="2240" w:type="dxa"/>
            <w:tcMar>
              <w:top w:w="80" w:type="dxa"/>
              <w:left w:w="100" w:type="dxa"/>
              <w:bottom w:w="80" w:type="dxa"/>
              <w:right w:w="100" w:type="dxa"/>
            </w:tcMar>
          </w:tcPr>
          <w:p w14:paraId="00001031" w14:textId="77777777" w:rsidR="0062357D" w:rsidRDefault="007E79DA">
            <w:r>
              <w:rPr>
                <w:sz w:val="19"/>
                <w:szCs w:val="19"/>
              </w:rPr>
              <w:t>Uptime/Downtime Log</w:t>
            </w:r>
          </w:p>
        </w:tc>
        <w:tc>
          <w:tcPr>
            <w:tcW w:w="2720" w:type="dxa"/>
            <w:tcMar>
              <w:top w:w="80" w:type="dxa"/>
              <w:left w:w="100" w:type="dxa"/>
              <w:bottom w:w="80" w:type="dxa"/>
              <w:right w:w="100" w:type="dxa"/>
            </w:tcMar>
          </w:tcPr>
          <w:p w14:paraId="00001032" w14:textId="77777777" w:rsidR="0062357D" w:rsidRDefault="007E79DA">
            <w:r>
              <w:rPr>
                <w:sz w:val="19"/>
                <w:szCs w:val="19"/>
              </w:rPr>
              <w:t>Operational hours vs. downtime, with reason code</w:t>
            </w:r>
          </w:p>
        </w:tc>
        <w:tc>
          <w:tcPr>
            <w:tcW w:w="1280" w:type="dxa"/>
            <w:tcMar>
              <w:top w:w="80" w:type="dxa"/>
              <w:left w:w="100" w:type="dxa"/>
              <w:bottom w:w="80" w:type="dxa"/>
              <w:right w:w="100" w:type="dxa"/>
            </w:tcMar>
          </w:tcPr>
          <w:p w14:paraId="00001033" w14:textId="77777777" w:rsidR="0062357D" w:rsidRDefault="007E79DA">
            <w:proofErr w:type="spellStart"/>
            <w:r>
              <w:rPr>
                <w:sz w:val="19"/>
                <w:szCs w:val="19"/>
              </w:rPr>
              <w:t>hrs</w:t>
            </w:r>
            <w:proofErr w:type="spellEnd"/>
            <w:r>
              <w:rPr>
                <w:sz w:val="19"/>
                <w:szCs w:val="19"/>
              </w:rPr>
              <w:t xml:space="preserve"> + code</w:t>
            </w:r>
          </w:p>
        </w:tc>
        <w:tc>
          <w:tcPr>
            <w:tcW w:w="1280" w:type="dxa"/>
            <w:tcMar>
              <w:top w:w="80" w:type="dxa"/>
              <w:left w:w="100" w:type="dxa"/>
              <w:bottom w:w="80" w:type="dxa"/>
              <w:right w:w="100" w:type="dxa"/>
            </w:tcMar>
          </w:tcPr>
          <w:p w14:paraId="00001034" w14:textId="77777777" w:rsidR="0062357D" w:rsidRDefault="007E79DA">
            <w:r>
              <w:rPr>
                <w:sz w:val="19"/>
                <w:szCs w:val="19"/>
              </w:rPr>
              <w:t>Continuous</w:t>
            </w:r>
          </w:p>
        </w:tc>
        <w:tc>
          <w:tcPr>
            <w:tcW w:w="1120" w:type="dxa"/>
            <w:tcMar>
              <w:top w:w="80" w:type="dxa"/>
              <w:left w:w="100" w:type="dxa"/>
              <w:bottom w:w="80" w:type="dxa"/>
              <w:right w:w="100" w:type="dxa"/>
            </w:tcMar>
          </w:tcPr>
          <w:p w14:paraId="00001035" w14:textId="77777777" w:rsidR="0062357D" w:rsidRDefault="007E79DA">
            <w:r>
              <w:rPr>
                <w:sz w:val="19"/>
                <w:szCs w:val="19"/>
              </w:rPr>
              <w:t>DAC, PSC, OBC</w:t>
            </w:r>
          </w:p>
        </w:tc>
      </w:tr>
    </w:tbl>
    <w:p w14:paraId="00001036" w14:textId="77777777" w:rsidR="0062357D" w:rsidRDefault="0062357D">
      <w:pPr>
        <w:spacing w:after="140"/>
      </w:pPr>
    </w:p>
    <w:p w14:paraId="00001037" w14:textId="77777777" w:rsidR="0062357D" w:rsidRDefault="007E79DA">
      <w:pPr>
        <w:pStyle w:val="Heading2"/>
        <w:spacing w:before="280" w:after="120"/>
      </w:pPr>
      <w:r>
        <w:rPr>
          <w:b/>
          <w:bCs/>
          <w:color w:val="1E7A4C"/>
          <w:sz w:val="24"/>
          <w:szCs w:val="24"/>
        </w:rPr>
        <w:t>20.3 Material Accounting</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539C96DB" w14:textId="77777777">
        <w:trPr>
          <w:tblHeader/>
        </w:trPr>
        <w:tc>
          <w:tcPr>
            <w:tcW w:w="960" w:type="dxa"/>
            <w:shd w:val="clear" w:color="auto" w:fill="1E7A4C"/>
            <w:tcMar>
              <w:top w:w="80" w:type="dxa"/>
              <w:left w:w="100" w:type="dxa"/>
              <w:bottom w:w="80" w:type="dxa"/>
              <w:right w:w="100" w:type="dxa"/>
            </w:tcMar>
          </w:tcPr>
          <w:p w14:paraId="00001038"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00001039"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0000103A"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0000103B"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0000103C"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0000103D" w14:textId="77777777" w:rsidR="0062357D" w:rsidRDefault="007E79DA">
            <w:r>
              <w:rPr>
                <w:b/>
                <w:bCs/>
                <w:color w:val="FFFFFF"/>
                <w:sz w:val="19"/>
                <w:szCs w:val="19"/>
              </w:rPr>
              <w:t>Applies To</w:t>
            </w:r>
          </w:p>
        </w:tc>
      </w:tr>
      <w:tr w:rsidR="0062357D" w14:paraId="39542068" w14:textId="77777777">
        <w:tc>
          <w:tcPr>
            <w:tcW w:w="960" w:type="dxa"/>
            <w:tcMar>
              <w:top w:w="80" w:type="dxa"/>
              <w:left w:w="100" w:type="dxa"/>
              <w:bottom w:w="80" w:type="dxa"/>
              <w:right w:w="100" w:type="dxa"/>
            </w:tcMar>
          </w:tcPr>
          <w:p w14:paraId="0000103E" w14:textId="77777777" w:rsidR="0062357D" w:rsidRDefault="007E79DA">
            <w:r>
              <w:rPr>
                <w:sz w:val="19"/>
                <w:szCs w:val="19"/>
              </w:rPr>
              <w:t>CCM</w:t>
            </w:r>
          </w:p>
        </w:tc>
        <w:tc>
          <w:tcPr>
            <w:tcW w:w="2240" w:type="dxa"/>
            <w:tcMar>
              <w:top w:w="80" w:type="dxa"/>
              <w:left w:w="100" w:type="dxa"/>
              <w:bottom w:w="80" w:type="dxa"/>
              <w:right w:w="100" w:type="dxa"/>
            </w:tcMar>
          </w:tcPr>
          <w:p w14:paraId="0000103F" w14:textId="77777777" w:rsidR="0062357D" w:rsidRDefault="007E79DA">
            <w:r>
              <w:rPr>
                <w:sz w:val="19"/>
                <w:szCs w:val="19"/>
              </w:rPr>
              <w:t>Cumulative Captured Mass</w:t>
            </w:r>
          </w:p>
        </w:tc>
        <w:tc>
          <w:tcPr>
            <w:tcW w:w="2720" w:type="dxa"/>
            <w:tcMar>
              <w:top w:w="80" w:type="dxa"/>
              <w:left w:w="100" w:type="dxa"/>
              <w:bottom w:w="80" w:type="dxa"/>
              <w:right w:w="100" w:type="dxa"/>
            </w:tcMar>
          </w:tcPr>
          <w:p w14:paraId="00001040" w14:textId="77777777" w:rsidR="0062357D" w:rsidRDefault="007E79DA">
            <w:r>
              <w:rPr>
                <w:sz w:val="19"/>
                <w:szCs w:val="19"/>
              </w:rPr>
              <w:t>Running total mass captured, resets per crediting period</w:t>
            </w:r>
          </w:p>
        </w:tc>
        <w:tc>
          <w:tcPr>
            <w:tcW w:w="1280" w:type="dxa"/>
            <w:tcMar>
              <w:top w:w="80" w:type="dxa"/>
              <w:left w:w="100" w:type="dxa"/>
              <w:bottom w:w="80" w:type="dxa"/>
              <w:right w:w="100" w:type="dxa"/>
            </w:tcMar>
          </w:tcPr>
          <w:p w14:paraId="00001041" w14:textId="77777777" w:rsidR="0062357D" w:rsidRDefault="007E79DA">
            <w:r>
              <w:rPr>
                <w:sz w:val="19"/>
                <w:szCs w:val="19"/>
              </w:rPr>
              <w:t>kg or t</w:t>
            </w:r>
          </w:p>
        </w:tc>
        <w:tc>
          <w:tcPr>
            <w:tcW w:w="1280" w:type="dxa"/>
            <w:tcMar>
              <w:top w:w="80" w:type="dxa"/>
              <w:left w:w="100" w:type="dxa"/>
              <w:bottom w:w="80" w:type="dxa"/>
              <w:right w:w="100" w:type="dxa"/>
            </w:tcMar>
          </w:tcPr>
          <w:p w14:paraId="00001042" w14:textId="77777777" w:rsidR="0062357D" w:rsidRDefault="007E79DA">
            <w:r>
              <w:rPr>
                <w:sz w:val="19"/>
                <w:szCs w:val="19"/>
              </w:rPr>
              <w:t>Daily/cumulative</w:t>
            </w:r>
          </w:p>
        </w:tc>
        <w:tc>
          <w:tcPr>
            <w:tcW w:w="1120" w:type="dxa"/>
            <w:tcMar>
              <w:top w:w="80" w:type="dxa"/>
              <w:left w:w="100" w:type="dxa"/>
              <w:bottom w:w="80" w:type="dxa"/>
              <w:right w:w="100" w:type="dxa"/>
            </w:tcMar>
          </w:tcPr>
          <w:p w14:paraId="00001043" w14:textId="77777777" w:rsidR="0062357D" w:rsidRDefault="007E79DA">
            <w:r>
              <w:rPr>
                <w:sz w:val="19"/>
                <w:szCs w:val="19"/>
              </w:rPr>
              <w:t>All</w:t>
            </w:r>
          </w:p>
        </w:tc>
      </w:tr>
      <w:tr w:rsidR="0062357D" w14:paraId="6B6C0F3E" w14:textId="77777777">
        <w:tc>
          <w:tcPr>
            <w:tcW w:w="960" w:type="dxa"/>
            <w:tcMar>
              <w:top w:w="80" w:type="dxa"/>
              <w:left w:w="100" w:type="dxa"/>
              <w:bottom w:w="80" w:type="dxa"/>
              <w:right w:w="100" w:type="dxa"/>
            </w:tcMar>
          </w:tcPr>
          <w:p w14:paraId="00001044" w14:textId="77777777" w:rsidR="0062357D" w:rsidRDefault="007E79DA">
            <w:r>
              <w:rPr>
                <w:sz w:val="19"/>
                <w:szCs w:val="19"/>
              </w:rPr>
              <w:t>SUP</w:t>
            </w:r>
          </w:p>
        </w:tc>
        <w:tc>
          <w:tcPr>
            <w:tcW w:w="2240" w:type="dxa"/>
            <w:tcMar>
              <w:top w:w="80" w:type="dxa"/>
              <w:left w:w="100" w:type="dxa"/>
              <w:bottom w:w="80" w:type="dxa"/>
              <w:right w:w="100" w:type="dxa"/>
            </w:tcMar>
          </w:tcPr>
          <w:p w14:paraId="00001045" w14:textId="77777777" w:rsidR="0062357D" w:rsidRDefault="007E79DA">
            <w:r>
              <w:rPr>
                <w:sz w:val="19"/>
                <w:szCs w:val="19"/>
              </w:rPr>
              <w:t>Storage/Utilization Pathway</w:t>
            </w:r>
          </w:p>
        </w:tc>
        <w:tc>
          <w:tcPr>
            <w:tcW w:w="2720" w:type="dxa"/>
            <w:tcMar>
              <w:top w:w="80" w:type="dxa"/>
              <w:left w:w="100" w:type="dxa"/>
              <w:bottom w:w="80" w:type="dxa"/>
              <w:right w:w="100" w:type="dxa"/>
            </w:tcMar>
          </w:tcPr>
          <w:p w14:paraId="00001046" w14:textId="77777777" w:rsidR="0062357D" w:rsidRDefault="007E79DA">
            <w:r>
              <w:rPr>
                <w:sz w:val="19"/>
                <w:szCs w:val="19"/>
              </w:rPr>
              <w:t>Destination: geologic, mineralization, utilization, transport</w:t>
            </w:r>
          </w:p>
        </w:tc>
        <w:tc>
          <w:tcPr>
            <w:tcW w:w="1280" w:type="dxa"/>
            <w:tcMar>
              <w:top w:w="80" w:type="dxa"/>
              <w:left w:w="100" w:type="dxa"/>
              <w:bottom w:w="80" w:type="dxa"/>
              <w:right w:w="100" w:type="dxa"/>
            </w:tcMar>
          </w:tcPr>
          <w:p w14:paraId="00001047"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00001048" w14:textId="77777777" w:rsidR="0062357D" w:rsidRDefault="007E79DA">
            <w:r>
              <w:rPr>
                <w:sz w:val="19"/>
                <w:szCs w:val="19"/>
              </w:rPr>
              <w:t>Per batch</w:t>
            </w:r>
          </w:p>
        </w:tc>
        <w:tc>
          <w:tcPr>
            <w:tcW w:w="1120" w:type="dxa"/>
            <w:tcMar>
              <w:top w:w="80" w:type="dxa"/>
              <w:left w:w="100" w:type="dxa"/>
              <w:bottom w:w="80" w:type="dxa"/>
              <w:right w:w="100" w:type="dxa"/>
            </w:tcMar>
          </w:tcPr>
          <w:p w14:paraId="00001049" w14:textId="77777777" w:rsidR="0062357D" w:rsidRDefault="007E79DA">
            <w:r>
              <w:rPr>
                <w:sz w:val="19"/>
                <w:szCs w:val="19"/>
              </w:rPr>
              <w:t>All</w:t>
            </w:r>
          </w:p>
        </w:tc>
      </w:tr>
      <w:tr w:rsidR="0062357D" w14:paraId="2B91B915" w14:textId="77777777">
        <w:tc>
          <w:tcPr>
            <w:tcW w:w="960" w:type="dxa"/>
            <w:tcMar>
              <w:top w:w="80" w:type="dxa"/>
              <w:left w:w="100" w:type="dxa"/>
              <w:bottom w:w="80" w:type="dxa"/>
              <w:right w:w="100" w:type="dxa"/>
            </w:tcMar>
          </w:tcPr>
          <w:p w14:paraId="0000104A" w14:textId="77777777" w:rsidR="0062357D" w:rsidRDefault="007E79DA">
            <w:r>
              <w:rPr>
                <w:sz w:val="19"/>
                <w:szCs w:val="19"/>
              </w:rPr>
              <w:t>CSP</w:t>
            </w:r>
          </w:p>
        </w:tc>
        <w:tc>
          <w:tcPr>
            <w:tcW w:w="2240" w:type="dxa"/>
            <w:tcMar>
              <w:top w:w="80" w:type="dxa"/>
              <w:left w:w="100" w:type="dxa"/>
              <w:bottom w:w="80" w:type="dxa"/>
              <w:right w:w="100" w:type="dxa"/>
            </w:tcMar>
          </w:tcPr>
          <w:p w14:paraId="0000104B" w14:textId="77777777" w:rsidR="0062357D" w:rsidRDefault="007E79DA">
            <w:r>
              <w:rPr>
                <w:sz w:val="19"/>
                <w:szCs w:val="19"/>
              </w:rPr>
              <w:t>CO2 Stream Purity</w:t>
            </w:r>
          </w:p>
        </w:tc>
        <w:tc>
          <w:tcPr>
            <w:tcW w:w="2720" w:type="dxa"/>
            <w:tcMar>
              <w:top w:w="80" w:type="dxa"/>
              <w:left w:w="100" w:type="dxa"/>
              <w:bottom w:w="80" w:type="dxa"/>
              <w:right w:w="100" w:type="dxa"/>
            </w:tcMar>
          </w:tcPr>
          <w:p w14:paraId="0000104C" w14:textId="77777777" w:rsidR="0062357D" w:rsidRDefault="007E79DA">
            <w:r>
              <w:rPr>
                <w:sz w:val="19"/>
                <w:szCs w:val="19"/>
              </w:rPr>
              <w:t>Purity of captured CO2 output stream</w:t>
            </w:r>
          </w:p>
        </w:tc>
        <w:tc>
          <w:tcPr>
            <w:tcW w:w="1280" w:type="dxa"/>
            <w:tcMar>
              <w:top w:w="80" w:type="dxa"/>
              <w:left w:w="100" w:type="dxa"/>
              <w:bottom w:w="80" w:type="dxa"/>
              <w:right w:w="100" w:type="dxa"/>
            </w:tcMar>
          </w:tcPr>
          <w:p w14:paraId="0000104D" w14:textId="77777777" w:rsidR="0062357D" w:rsidRDefault="007E79DA">
            <w:r>
              <w:rPr>
                <w:sz w:val="19"/>
                <w:szCs w:val="19"/>
              </w:rPr>
              <w:t>%</w:t>
            </w:r>
          </w:p>
        </w:tc>
        <w:tc>
          <w:tcPr>
            <w:tcW w:w="1280" w:type="dxa"/>
            <w:tcMar>
              <w:top w:w="80" w:type="dxa"/>
              <w:left w:w="100" w:type="dxa"/>
              <w:bottom w:w="80" w:type="dxa"/>
              <w:right w:w="100" w:type="dxa"/>
            </w:tcMar>
          </w:tcPr>
          <w:p w14:paraId="0000104E" w14:textId="77777777" w:rsidR="0062357D" w:rsidRDefault="007E79DA">
            <w:r>
              <w:rPr>
                <w:sz w:val="19"/>
                <w:szCs w:val="19"/>
              </w:rPr>
              <w:t>Per batch</w:t>
            </w:r>
          </w:p>
        </w:tc>
        <w:tc>
          <w:tcPr>
            <w:tcW w:w="1120" w:type="dxa"/>
            <w:tcMar>
              <w:top w:w="80" w:type="dxa"/>
              <w:left w:w="100" w:type="dxa"/>
              <w:bottom w:w="80" w:type="dxa"/>
              <w:right w:w="100" w:type="dxa"/>
            </w:tcMar>
          </w:tcPr>
          <w:p w14:paraId="0000104F" w14:textId="77777777" w:rsidR="0062357D" w:rsidRDefault="007E79DA">
            <w:r>
              <w:rPr>
                <w:sz w:val="19"/>
                <w:szCs w:val="19"/>
              </w:rPr>
              <w:t>DAC, PSC</w:t>
            </w:r>
          </w:p>
        </w:tc>
      </w:tr>
      <w:tr w:rsidR="0062357D" w14:paraId="10762257" w14:textId="77777777">
        <w:tc>
          <w:tcPr>
            <w:tcW w:w="960" w:type="dxa"/>
            <w:tcMar>
              <w:top w:w="80" w:type="dxa"/>
              <w:left w:w="100" w:type="dxa"/>
              <w:bottom w:w="80" w:type="dxa"/>
              <w:right w:w="100" w:type="dxa"/>
            </w:tcMar>
          </w:tcPr>
          <w:p w14:paraId="00001050" w14:textId="77777777" w:rsidR="0062357D" w:rsidRDefault="007E79DA">
            <w:r>
              <w:rPr>
                <w:sz w:val="19"/>
                <w:szCs w:val="19"/>
              </w:rPr>
              <w:t>PLR</w:t>
            </w:r>
          </w:p>
        </w:tc>
        <w:tc>
          <w:tcPr>
            <w:tcW w:w="2240" w:type="dxa"/>
            <w:tcMar>
              <w:top w:w="80" w:type="dxa"/>
              <w:left w:w="100" w:type="dxa"/>
              <w:bottom w:w="80" w:type="dxa"/>
              <w:right w:w="100" w:type="dxa"/>
            </w:tcMar>
          </w:tcPr>
          <w:p w14:paraId="00001051" w14:textId="77777777" w:rsidR="0062357D" w:rsidRDefault="007E79DA">
            <w:r>
              <w:rPr>
                <w:sz w:val="19"/>
                <w:szCs w:val="19"/>
              </w:rPr>
              <w:t>Post-Capture Leakage Rate</w:t>
            </w:r>
          </w:p>
        </w:tc>
        <w:tc>
          <w:tcPr>
            <w:tcW w:w="2720" w:type="dxa"/>
            <w:tcMar>
              <w:top w:w="80" w:type="dxa"/>
              <w:left w:w="100" w:type="dxa"/>
              <w:bottom w:w="80" w:type="dxa"/>
              <w:right w:w="100" w:type="dxa"/>
            </w:tcMar>
          </w:tcPr>
          <w:p w14:paraId="00001052" w14:textId="77777777" w:rsidR="0062357D" w:rsidRDefault="007E79DA">
            <w:r>
              <w:rPr>
                <w:sz w:val="19"/>
                <w:szCs w:val="19"/>
              </w:rPr>
              <w:t>Loss during compression, transport, or injection</w:t>
            </w:r>
          </w:p>
        </w:tc>
        <w:tc>
          <w:tcPr>
            <w:tcW w:w="1280" w:type="dxa"/>
            <w:tcMar>
              <w:top w:w="80" w:type="dxa"/>
              <w:left w:w="100" w:type="dxa"/>
              <w:bottom w:w="80" w:type="dxa"/>
              <w:right w:w="100" w:type="dxa"/>
            </w:tcMar>
          </w:tcPr>
          <w:p w14:paraId="00001053" w14:textId="77777777" w:rsidR="0062357D" w:rsidRDefault="007E79DA">
            <w:r>
              <w:rPr>
                <w:sz w:val="19"/>
                <w:szCs w:val="19"/>
              </w:rPr>
              <w:t>% or kg</w:t>
            </w:r>
          </w:p>
        </w:tc>
        <w:tc>
          <w:tcPr>
            <w:tcW w:w="1280" w:type="dxa"/>
            <w:tcMar>
              <w:top w:w="80" w:type="dxa"/>
              <w:left w:w="100" w:type="dxa"/>
              <w:bottom w:w="80" w:type="dxa"/>
              <w:right w:w="100" w:type="dxa"/>
            </w:tcMar>
          </w:tcPr>
          <w:p w14:paraId="00001054" w14:textId="77777777" w:rsidR="0062357D" w:rsidRDefault="007E79DA">
            <w:r>
              <w:rPr>
                <w:sz w:val="19"/>
                <w:szCs w:val="19"/>
              </w:rPr>
              <w:t>Per batch</w:t>
            </w:r>
          </w:p>
        </w:tc>
        <w:tc>
          <w:tcPr>
            <w:tcW w:w="1120" w:type="dxa"/>
            <w:tcMar>
              <w:top w:w="80" w:type="dxa"/>
              <w:left w:w="100" w:type="dxa"/>
              <w:bottom w:w="80" w:type="dxa"/>
              <w:right w:w="100" w:type="dxa"/>
            </w:tcMar>
          </w:tcPr>
          <w:p w14:paraId="00001055" w14:textId="77777777" w:rsidR="0062357D" w:rsidRDefault="007E79DA">
            <w:r>
              <w:rPr>
                <w:sz w:val="19"/>
                <w:szCs w:val="19"/>
              </w:rPr>
              <w:t>DAC, PSC, OBC</w:t>
            </w:r>
          </w:p>
        </w:tc>
      </w:tr>
    </w:tbl>
    <w:p w14:paraId="00001056" w14:textId="77777777" w:rsidR="0062357D" w:rsidRDefault="0062357D">
      <w:pPr>
        <w:spacing w:after="140"/>
      </w:pPr>
    </w:p>
    <w:p w14:paraId="00001057" w14:textId="77777777" w:rsidR="0062357D" w:rsidRDefault="007E79DA">
      <w:pPr>
        <w:pStyle w:val="Heading2"/>
        <w:spacing w:before="280" w:after="120"/>
      </w:pPr>
      <w:r>
        <w:rPr>
          <w:b/>
          <w:bCs/>
          <w:color w:val="1E7A4C"/>
          <w:sz w:val="24"/>
          <w:szCs w:val="24"/>
        </w:rPr>
        <w:t>20.4 Energy &amp; Resource Inputs</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400"/>
        <w:gridCol w:w="2560"/>
        <w:gridCol w:w="1280"/>
        <w:gridCol w:w="1280"/>
        <w:gridCol w:w="1120"/>
      </w:tblGrid>
      <w:tr w:rsidR="0062357D" w14:paraId="1F101091" w14:textId="77777777">
        <w:trPr>
          <w:tblHeader/>
        </w:trPr>
        <w:tc>
          <w:tcPr>
            <w:tcW w:w="960" w:type="dxa"/>
            <w:shd w:val="clear" w:color="auto" w:fill="1E7A4C"/>
            <w:tcMar>
              <w:top w:w="80" w:type="dxa"/>
              <w:left w:w="100" w:type="dxa"/>
              <w:bottom w:w="80" w:type="dxa"/>
              <w:right w:w="100" w:type="dxa"/>
            </w:tcMar>
          </w:tcPr>
          <w:p w14:paraId="00001058" w14:textId="77777777" w:rsidR="0062357D" w:rsidRDefault="007E79DA">
            <w:r>
              <w:rPr>
                <w:b/>
                <w:bCs/>
                <w:color w:val="FFFFFF"/>
                <w:sz w:val="19"/>
                <w:szCs w:val="19"/>
              </w:rPr>
              <w:t>Code</w:t>
            </w:r>
          </w:p>
        </w:tc>
        <w:tc>
          <w:tcPr>
            <w:tcW w:w="2400" w:type="dxa"/>
            <w:shd w:val="clear" w:color="auto" w:fill="1E7A4C"/>
            <w:tcMar>
              <w:top w:w="80" w:type="dxa"/>
              <w:left w:w="100" w:type="dxa"/>
              <w:bottom w:w="80" w:type="dxa"/>
              <w:right w:w="100" w:type="dxa"/>
            </w:tcMar>
          </w:tcPr>
          <w:p w14:paraId="00001059" w14:textId="77777777" w:rsidR="0062357D" w:rsidRDefault="007E79DA">
            <w:r>
              <w:rPr>
                <w:b/>
                <w:bCs/>
                <w:color w:val="FFFFFF"/>
                <w:sz w:val="19"/>
                <w:szCs w:val="19"/>
              </w:rPr>
              <w:t>Field Name</w:t>
            </w:r>
          </w:p>
        </w:tc>
        <w:tc>
          <w:tcPr>
            <w:tcW w:w="2560" w:type="dxa"/>
            <w:shd w:val="clear" w:color="auto" w:fill="1E7A4C"/>
            <w:tcMar>
              <w:top w:w="80" w:type="dxa"/>
              <w:left w:w="100" w:type="dxa"/>
              <w:bottom w:w="80" w:type="dxa"/>
              <w:right w:w="100" w:type="dxa"/>
            </w:tcMar>
          </w:tcPr>
          <w:p w14:paraId="0000105A"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0000105B"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0000105C"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0000105D" w14:textId="77777777" w:rsidR="0062357D" w:rsidRDefault="007E79DA">
            <w:r>
              <w:rPr>
                <w:b/>
                <w:bCs/>
                <w:color w:val="FFFFFF"/>
                <w:sz w:val="19"/>
                <w:szCs w:val="19"/>
              </w:rPr>
              <w:t>Applies To</w:t>
            </w:r>
          </w:p>
        </w:tc>
      </w:tr>
      <w:tr w:rsidR="0062357D" w14:paraId="46583D8D" w14:textId="77777777">
        <w:tc>
          <w:tcPr>
            <w:tcW w:w="960" w:type="dxa"/>
            <w:tcMar>
              <w:top w:w="80" w:type="dxa"/>
              <w:left w:w="100" w:type="dxa"/>
              <w:bottom w:w="80" w:type="dxa"/>
              <w:right w:w="100" w:type="dxa"/>
            </w:tcMar>
          </w:tcPr>
          <w:p w14:paraId="0000105E" w14:textId="77777777" w:rsidR="0062357D" w:rsidRDefault="007E79DA">
            <w:r>
              <w:rPr>
                <w:sz w:val="19"/>
                <w:szCs w:val="19"/>
              </w:rPr>
              <w:t>ECT</w:t>
            </w:r>
          </w:p>
        </w:tc>
        <w:tc>
          <w:tcPr>
            <w:tcW w:w="2400" w:type="dxa"/>
            <w:tcMar>
              <w:top w:w="80" w:type="dxa"/>
              <w:left w:w="100" w:type="dxa"/>
              <w:bottom w:w="80" w:type="dxa"/>
              <w:right w:w="100" w:type="dxa"/>
            </w:tcMar>
          </w:tcPr>
          <w:p w14:paraId="0000105F" w14:textId="77777777" w:rsidR="0062357D" w:rsidRDefault="007E79DA">
            <w:r>
              <w:rPr>
                <w:sz w:val="19"/>
                <w:szCs w:val="19"/>
              </w:rPr>
              <w:t xml:space="preserve">Energy Consumption per </w:t>
            </w:r>
            <w:proofErr w:type="spellStart"/>
            <w:r>
              <w:rPr>
                <w:sz w:val="19"/>
                <w:szCs w:val="19"/>
              </w:rPr>
              <w:t>Tonne</w:t>
            </w:r>
            <w:proofErr w:type="spellEnd"/>
          </w:p>
        </w:tc>
        <w:tc>
          <w:tcPr>
            <w:tcW w:w="2560" w:type="dxa"/>
            <w:tcMar>
              <w:top w:w="80" w:type="dxa"/>
              <w:left w:w="100" w:type="dxa"/>
              <w:bottom w:w="80" w:type="dxa"/>
              <w:right w:w="100" w:type="dxa"/>
            </w:tcMar>
          </w:tcPr>
          <w:p w14:paraId="00001060" w14:textId="77777777" w:rsidR="0062357D" w:rsidRDefault="007E79DA">
            <w:r>
              <w:rPr>
                <w:sz w:val="19"/>
                <w:szCs w:val="19"/>
              </w:rPr>
              <w:t xml:space="preserve">Total energy used per </w:t>
            </w:r>
            <w:proofErr w:type="spellStart"/>
            <w:r>
              <w:rPr>
                <w:sz w:val="19"/>
                <w:szCs w:val="19"/>
              </w:rPr>
              <w:t>tonne</w:t>
            </w:r>
            <w:proofErr w:type="spellEnd"/>
            <w:r>
              <w:rPr>
                <w:sz w:val="19"/>
                <w:szCs w:val="19"/>
              </w:rPr>
              <w:t xml:space="preserve"> captured</w:t>
            </w:r>
          </w:p>
        </w:tc>
        <w:tc>
          <w:tcPr>
            <w:tcW w:w="1280" w:type="dxa"/>
            <w:tcMar>
              <w:top w:w="80" w:type="dxa"/>
              <w:left w:w="100" w:type="dxa"/>
              <w:bottom w:w="80" w:type="dxa"/>
              <w:right w:w="100" w:type="dxa"/>
            </w:tcMar>
          </w:tcPr>
          <w:p w14:paraId="00001061" w14:textId="77777777" w:rsidR="0062357D" w:rsidRDefault="007E79DA">
            <w:r>
              <w:rPr>
                <w:sz w:val="19"/>
                <w:szCs w:val="19"/>
              </w:rPr>
              <w:t>kWh/t</w:t>
            </w:r>
          </w:p>
        </w:tc>
        <w:tc>
          <w:tcPr>
            <w:tcW w:w="1280" w:type="dxa"/>
            <w:tcMar>
              <w:top w:w="80" w:type="dxa"/>
              <w:left w:w="100" w:type="dxa"/>
              <w:bottom w:w="80" w:type="dxa"/>
              <w:right w:w="100" w:type="dxa"/>
            </w:tcMar>
          </w:tcPr>
          <w:p w14:paraId="00001062" w14:textId="77777777" w:rsidR="0062357D" w:rsidRDefault="007E79DA">
            <w:r>
              <w:rPr>
                <w:sz w:val="19"/>
                <w:szCs w:val="19"/>
              </w:rPr>
              <w:t>Daily</w:t>
            </w:r>
          </w:p>
        </w:tc>
        <w:tc>
          <w:tcPr>
            <w:tcW w:w="1120" w:type="dxa"/>
            <w:tcMar>
              <w:top w:w="80" w:type="dxa"/>
              <w:left w:w="100" w:type="dxa"/>
              <w:bottom w:w="80" w:type="dxa"/>
              <w:right w:w="100" w:type="dxa"/>
            </w:tcMar>
          </w:tcPr>
          <w:p w14:paraId="00001063" w14:textId="77777777" w:rsidR="0062357D" w:rsidRDefault="007E79DA">
            <w:r>
              <w:rPr>
                <w:sz w:val="19"/>
                <w:szCs w:val="19"/>
              </w:rPr>
              <w:t>DAC, PSC, OBC</w:t>
            </w:r>
          </w:p>
        </w:tc>
      </w:tr>
      <w:tr w:rsidR="0062357D" w14:paraId="423E30E0" w14:textId="77777777">
        <w:tc>
          <w:tcPr>
            <w:tcW w:w="960" w:type="dxa"/>
            <w:tcMar>
              <w:top w:w="80" w:type="dxa"/>
              <w:left w:w="100" w:type="dxa"/>
              <w:bottom w:w="80" w:type="dxa"/>
              <w:right w:w="100" w:type="dxa"/>
            </w:tcMar>
          </w:tcPr>
          <w:p w14:paraId="00001064" w14:textId="77777777" w:rsidR="0062357D" w:rsidRDefault="007E79DA">
            <w:r>
              <w:rPr>
                <w:sz w:val="19"/>
                <w:szCs w:val="19"/>
              </w:rPr>
              <w:t>ESM</w:t>
            </w:r>
          </w:p>
        </w:tc>
        <w:tc>
          <w:tcPr>
            <w:tcW w:w="2400" w:type="dxa"/>
            <w:tcMar>
              <w:top w:w="80" w:type="dxa"/>
              <w:left w:w="100" w:type="dxa"/>
              <w:bottom w:w="80" w:type="dxa"/>
              <w:right w:w="100" w:type="dxa"/>
            </w:tcMar>
          </w:tcPr>
          <w:p w14:paraId="00001065" w14:textId="77777777" w:rsidR="0062357D" w:rsidRDefault="007E79DA">
            <w:r>
              <w:rPr>
                <w:sz w:val="19"/>
                <w:szCs w:val="19"/>
              </w:rPr>
              <w:t>Energy Source Mix</w:t>
            </w:r>
          </w:p>
        </w:tc>
        <w:tc>
          <w:tcPr>
            <w:tcW w:w="2560" w:type="dxa"/>
            <w:tcMar>
              <w:top w:w="80" w:type="dxa"/>
              <w:left w:w="100" w:type="dxa"/>
              <w:bottom w:w="80" w:type="dxa"/>
              <w:right w:w="100" w:type="dxa"/>
            </w:tcMar>
          </w:tcPr>
          <w:p w14:paraId="00001066" w14:textId="77777777" w:rsidR="0062357D" w:rsidRDefault="007E79DA">
            <w:r>
              <w:rPr>
                <w:sz w:val="19"/>
                <w:szCs w:val="19"/>
              </w:rPr>
              <w:t>Breakdown of grid, renewable, and onsite generation</w:t>
            </w:r>
          </w:p>
        </w:tc>
        <w:tc>
          <w:tcPr>
            <w:tcW w:w="1280" w:type="dxa"/>
            <w:tcMar>
              <w:top w:w="80" w:type="dxa"/>
              <w:left w:w="100" w:type="dxa"/>
              <w:bottom w:w="80" w:type="dxa"/>
              <w:right w:w="100" w:type="dxa"/>
            </w:tcMar>
          </w:tcPr>
          <w:p w14:paraId="00001067" w14:textId="77777777" w:rsidR="0062357D" w:rsidRDefault="007E79DA">
            <w:r>
              <w:rPr>
                <w:sz w:val="19"/>
                <w:szCs w:val="19"/>
              </w:rPr>
              <w:t>% split</w:t>
            </w:r>
          </w:p>
        </w:tc>
        <w:tc>
          <w:tcPr>
            <w:tcW w:w="1280" w:type="dxa"/>
            <w:tcMar>
              <w:top w:w="80" w:type="dxa"/>
              <w:left w:w="100" w:type="dxa"/>
              <w:bottom w:w="80" w:type="dxa"/>
              <w:right w:w="100" w:type="dxa"/>
            </w:tcMar>
          </w:tcPr>
          <w:p w14:paraId="00001068" w14:textId="77777777" w:rsidR="0062357D" w:rsidRDefault="007E79DA">
            <w:r>
              <w:rPr>
                <w:sz w:val="19"/>
                <w:szCs w:val="19"/>
              </w:rPr>
              <w:t>Daily/monthly</w:t>
            </w:r>
          </w:p>
        </w:tc>
        <w:tc>
          <w:tcPr>
            <w:tcW w:w="1120" w:type="dxa"/>
            <w:tcMar>
              <w:top w:w="80" w:type="dxa"/>
              <w:left w:w="100" w:type="dxa"/>
              <w:bottom w:w="80" w:type="dxa"/>
              <w:right w:w="100" w:type="dxa"/>
            </w:tcMar>
          </w:tcPr>
          <w:p w14:paraId="00001069" w14:textId="77777777" w:rsidR="0062357D" w:rsidRDefault="007E79DA">
            <w:r>
              <w:rPr>
                <w:sz w:val="19"/>
                <w:szCs w:val="19"/>
              </w:rPr>
              <w:t>DAC, PSC, OBC</w:t>
            </w:r>
          </w:p>
        </w:tc>
      </w:tr>
      <w:tr w:rsidR="0062357D" w14:paraId="66E5D55E" w14:textId="77777777">
        <w:tc>
          <w:tcPr>
            <w:tcW w:w="960" w:type="dxa"/>
            <w:tcMar>
              <w:top w:w="80" w:type="dxa"/>
              <w:left w:w="100" w:type="dxa"/>
              <w:bottom w:w="80" w:type="dxa"/>
              <w:right w:w="100" w:type="dxa"/>
            </w:tcMar>
          </w:tcPr>
          <w:p w14:paraId="0000106A" w14:textId="77777777" w:rsidR="0062357D" w:rsidRDefault="007E79DA">
            <w:r>
              <w:rPr>
                <w:sz w:val="19"/>
                <w:szCs w:val="19"/>
              </w:rPr>
              <w:t>WCT</w:t>
            </w:r>
          </w:p>
        </w:tc>
        <w:tc>
          <w:tcPr>
            <w:tcW w:w="2400" w:type="dxa"/>
            <w:tcMar>
              <w:top w:w="80" w:type="dxa"/>
              <w:left w:w="100" w:type="dxa"/>
              <w:bottom w:w="80" w:type="dxa"/>
              <w:right w:w="100" w:type="dxa"/>
            </w:tcMar>
          </w:tcPr>
          <w:p w14:paraId="0000106B" w14:textId="77777777" w:rsidR="0062357D" w:rsidRDefault="007E79DA">
            <w:r>
              <w:rPr>
                <w:sz w:val="19"/>
                <w:szCs w:val="19"/>
              </w:rPr>
              <w:t xml:space="preserve">Water Consumption per </w:t>
            </w:r>
            <w:proofErr w:type="spellStart"/>
            <w:r>
              <w:rPr>
                <w:sz w:val="19"/>
                <w:szCs w:val="19"/>
              </w:rPr>
              <w:t>Tonne</w:t>
            </w:r>
            <w:proofErr w:type="spellEnd"/>
          </w:p>
        </w:tc>
        <w:tc>
          <w:tcPr>
            <w:tcW w:w="2560" w:type="dxa"/>
            <w:tcMar>
              <w:top w:w="80" w:type="dxa"/>
              <w:left w:w="100" w:type="dxa"/>
              <w:bottom w:w="80" w:type="dxa"/>
              <w:right w:w="100" w:type="dxa"/>
            </w:tcMar>
          </w:tcPr>
          <w:p w14:paraId="0000106C" w14:textId="77777777" w:rsidR="0062357D" w:rsidRDefault="007E79DA">
            <w:r>
              <w:rPr>
                <w:sz w:val="19"/>
                <w:szCs w:val="19"/>
              </w:rPr>
              <w:t xml:space="preserve">Water used per </w:t>
            </w:r>
            <w:proofErr w:type="spellStart"/>
            <w:r>
              <w:rPr>
                <w:sz w:val="19"/>
                <w:szCs w:val="19"/>
              </w:rPr>
              <w:t>tonne</w:t>
            </w:r>
            <w:proofErr w:type="spellEnd"/>
            <w:r>
              <w:rPr>
                <w:sz w:val="19"/>
                <w:szCs w:val="19"/>
              </w:rPr>
              <w:t xml:space="preserve"> captured</w:t>
            </w:r>
          </w:p>
        </w:tc>
        <w:tc>
          <w:tcPr>
            <w:tcW w:w="1280" w:type="dxa"/>
            <w:tcMar>
              <w:top w:w="80" w:type="dxa"/>
              <w:left w:w="100" w:type="dxa"/>
              <w:bottom w:w="80" w:type="dxa"/>
              <w:right w:w="100" w:type="dxa"/>
            </w:tcMar>
          </w:tcPr>
          <w:p w14:paraId="0000106D" w14:textId="77777777" w:rsidR="0062357D" w:rsidRDefault="007E79DA">
            <w:r>
              <w:rPr>
                <w:sz w:val="19"/>
                <w:szCs w:val="19"/>
              </w:rPr>
              <w:t>L/t or gal/t</w:t>
            </w:r>
          </w:p>
        </w:tc>
        <w:tc>
          <w:tcPr>
            <w:tcW w:w="1280" w:type="dxa"/>
            <w:tcMar>
              <w:top w:w="80" w:type="dxa"/>
              <w:left w:w="100" w:type="dxa"/>
              <w:bottom w:w="80" w:type="dxa"/>
              <w:right w:w="100" w:type="dxa"/>
            </w:tcMar>
          </w:tcPr>
          <w:p w14:paraId="0000106E" w14:textId="77777777" w:rsidR="0062357D" w:rsidRDefault="007E79DA">
            <w:r>
              <w:rPr>
                <w:sz w:val="19"/>
                <w:szCs w:val="19"/>
              </w:rPr>
              <w:t>Daily</w:t>
            </w:r>
          </w:p>
        </w:tc>
        <w:tc>
          <w:tcPr>
            <w:tcW w:w="1120" w:type="dxa"/>
            <w:tcMar>
              <w:top w:w="80" w:type="dxa"/>
              <w:left w:w="100" w:type="dxa"/>
              <w:bottom w:w="80" w:type="dxa"/>
              <w:right w:w="100" w:type="dxa"/>
            </w:tcMar>
          </w:tcPr>
          <w:p w14:paraId="0000106F" w14:textId="77777777" w:rsidR="0062357D" w:rsidRDefault="007E79DA">
            <w:r>
              <w:rPr>
                <w:sz w:val="19"/>
                <w:szCs w:val="19"/>
              </w:rPr>
              <w:t>DAC, PSC</w:t>
            </w:r>
          </w:p>
        </w:tc>
      </w:tr>
      <w:tr w:rsidR="0062357D" w14:paraId="1A3768BE" w14:textId="77777777">
        <w:tc>
          <w:tcPr>
            <w:tcW w:w="960" w:type="dxa"/>
            <w:tcMar>
              <w:top w:w="80" w:type="dxa"/>
              <w:left w:w="100" w:type="dxa"/>
              <w:bottom w:w="80" w:type="dxa"/>
              <w:right w:w="100" w:type="dxa"/>
            </w:tcMar>
          </w:tcPr>
          <w:p w14:paraId="00001070" w14:textId="77777777" w:rsidR="0062357D" w:rsidRDefault="007E79DA">
            <w:r>
              <w:rPr>
                <w:sz w:val="19"/>
                <w:szCs w:val="19"/>
              </w:rPr>
              <w:t>SCR</w:t>
            </w:r>
          </w:p>
        </w:tc>
        <w:tc>
          <w:tcPr>
            <w:tcW w:w="2400" w:type="dxa"/>
            <w:tcMar>
              <w:top w:w="80" w:type="dxa"/>
              <w:left w:w="100" w:type="dxa"/>
              <w:bottom w:w="80" w:type="dxa"/>
              <w:right w:w="100" w:type="dxa"/>
            </w:tcMar>
          </w:tcPr>
          <w:p w14:paraId="00001071" w14:textId="77777777" w:rsidR="0062357D" w:rsidRDefault="007E79DA">
            <w:r>
              <w:rPr>
                <w:sz w:val="19"/>
                <w:szCs w:val="19"/>
              </w:rPr>
              <w:t>Sorbent/Solvent Consumption Rate</w:t>
            </w:r>
          </w:p>
        </w:tc>
        <w:tc>
          <w:tcPr>
            <w:tcW w:w="2560" w:type="dxa"/>
            <w:tcMar>
              <w:top w:w="80" w:type="dxa"/>
              <w:left w:w="100" w:type="dxa"/>
              <w:bottom w:w="80" w:type="dxa"/>
              <w:right w:w="100" w:type="dxa"/>
            </w:tcMar>
          </w:tcPr>
          <w:p w14:paraId="00001072" w14:textId="77777777" w:rsidR="0062357D" w:rsidRDefault="007E79DA">
            <w:r>
              <w:rPr>
                <w:sz w:val="19"/>
                <w:szCs w:val="19"/>
              </w:rPr>
              <w:t xml:space="preserve">Chemical media used per </w:t>
            </w:r>
            <w:proofErr w:type="spellStart"/>
            <w:r>
              <w:rPr>
                <w:sz w:val="19"/>
                <w:szCs w:val="19"/>
              </w:rPr>
              <w:t>tonne</w:t>
            </w:r>
            <w:proofErr w:type="spellEnd"/>
            <w:r>
              <w:rPr>
                <w:sz w:val="19"/>
                <w:szCs w:val="19"/>
              </w:rPr>
              <w:t xml:space="preserve"> captured</w:t>
            </w:r>
          </w:p>
        </w:tc>
        <w:tc>
          <w:tcPr>
            <w:tcW w:w="1280" w:type="dxa"/>
            <w:tcMar>
              <w:top w:w="80" w:type="dxa"/>
              <w:left w:w="100" w:type="dxa"/>
              <w:bottom w:w="80" w:type="dxa"/>
              <w:right w:w="100" w:type="dxa"/>
            </w:tcMar>
          </w:tcPr>
          <w:p w14:paraId="00001073" w14:textId="77777777" w:rsidR="0062357D" w:rsidRDefault="007E79DA">
            <w:r>
              <w:rPr>
                <w:sz w:val="19"/>
                <w:szCs w:val="19"/>
              </w:rPr>
              <w:t>kg/t</w:t>
            </w:r>
          </w:p>
        </w:tc>
        <w:tc>
          <w:tcPr>
            <w:tcW w:w="1280" w:type="dxa"/>
            <w:tcMar>
              <w:top w:w="80" w:type="dxa"/>
              <w:left w:w="100" w:type="dxa"/>
              <w:bottom w:w="80" w:type="dxa"/>
              <w:right w:w="100" w:type="dxa"/>
            </w:tcMar>
          </w:tcPr>
          <w:p w14:paraId="00001074" w14:textId="77777777" w:rsidR="0062357D" w:rsidRDefault="007E79DA">
            <w:r>
              <w:rPr>
                <w:sz w:val="19"/>
                <w:szCs w:val="19"/>
              </w:rPr>
              <w:t>Per batch</w:t>
            </w:r>
          </w:p>
        </w:tc>
        <w:tc>
          <w:tcPr>
            <w:tcW w:w="1120" w:type="dxa"/>
            <w:tcMar>
              <w:top w:w="80" w:type="dxa"/>
              <w:left w:w="100" w:type="dxa"/>
              <w:bottom w:w="80" w:type="dxa"/>
              <w:right w:w="100" w:type="dxa"/>
            </w:tcMar>
          </w:tcPr>
          <w:p w14:paraId="00001075" w14:textId="77777777" w:rsidR="0062357D" w:rsidRDefault="007E79DA">
            <w:r>
              <w:rPr>
                <w:sz w:val="19"/>
                <w:szCs w:val="19"/>
              </w:rPr>
              <w:t>DAC, PSC</w:t>
            </w:r>
          </w:p>
        </w:tc>
      </w:tr>
      <w:tr w:rsidR="0062357D" w14:paraId="5ABA0296" w14:textId="77777777">
        <w:tc>
          <w:tcPr>
            <w:tcW w:w="960" w:type="dxa"/>
            <w:tcMar>
              <w:top w:w="80" w:type="dxa"/>
              <w:left w:w="100" w:type="dxa"/>
              <w:bottom w:w="80" w:type="dxa"/>
              <w:right w:w="100" w:type="dxa"/>
            </w:tcMar>
          </w:tcPr>
          <w:p w14:paraId="00001076" w14:textId="77777777" w:rsidR="0062357D" w:rsidRDefault="007E79DA">
            <w:r>
              <w:rPr>
                <w:sz w:val="19"/>
                <w:szCs w:val="19"/>
              </w:rPr>
              <w:t>RCC</w:t>
            </w:r>
          </w:p>
        </w:tc>
        <w:tc>
          <w:tcPr>
            <w:tcW w:w="2400" w:type="dxa"/>
            <w:tcMar>
              <w:top w:w="80" w:type="dxa"/>
              <w:left w:w="100" w:type="dxa"/>
              <w:bottom w:w="80" w:type="dxa"/>
              <w:right w:w="100" w:type="dxa"/>
            </w:tcMar>
          </w:tcPr>
          <w:p w14:paraId="00001077" w14:textId="77777777" w:rsidR="0062357D" w:rsidRDefault="007E79DA">
            <w:r>
              <w:rPr>
                <w:sz w:val="19"/>
                <w:szCs w:val="19"/>
              </w:rPr>
              <w:t>Regeneration Cycle Count</w:t>
            </w:r>
          </w:p>
        </w:tc>
        <w:tc>
          <w:tcPr>
            <w:tcW w:w="2560" w:type="dxa"/>
            <w:tcMar>
              <w:top w:w="80" w:type="dxa"/>
              <w:left w:w="100" w:type="dxa"/>
              <w:bottom w:w="80" w:type="dxa"/>
              <w:right w:w="100" w:type="dxa"/>
            </w:tcMar>
          </w:tcPr>
          <w:p w14:paraId="00001078" w14:textId="77777777" w:rsidR="0062357D" w:rsidRDefault="007E79DA">
            <w:r>
              <w:rPr>
                <w:sz w:val="19"/>
                <w:szCs w:val="19"/>
              </w:rPr>
              <w:t>Number of sorbent/solvent regeneration cycles</w:t>
            </w:r>
          </w:p>
        </w:tc>
        <w:tc>
          <w:tcPr>
            <w:tcW w:w="1280" w:type="dxa"/>
            <w:tcMar>
              <w:top w:w="80" w:type="dxa"/>
              <w:left w:w="100" w:type="dxa"/>
              <w:bottom w:w="80" w:type="dxa"/>
              <w:right w:w="100" w:type="dxa"/>
            </w:tcMar>
          </w:tcPr>
          <w:p w14:paraId="00001079" w14:textId="77777777" w:rsidR="0062357D" w:rsidRDefault="007E79DA">
            <w:r>
              <w:rPr>
                <w:sz w:val="19"/>
                <w:szCs w:val="19"/>
              </w:rPr>
              <w:t>count</w:t>
            </w:r>
          </w:p>
        </w:tc>
        <w:tc>
          <w:tcPr>
            <w:tcW w:w="1280" w:type="dxa"/>
            <w:tcMar>
              <w:top w:w="80" w:type="dxa"/>
              <w:left w:w="100" w:type="dxa"/>
              <w:bottom w:w="80" w:type="dxa"/>
              <w:right w:w="100" w:type="dxa"/>
            </w:tcMar>
          </w:tcPr>
          <w:p w14:paraId="0000107A" w14:textId="77777777" w:rsidR="0062357D" w:rsidRDefault="007E79DA">
            <w:r>
              <w:rPr>
                <w:sz w:val="19"/>
                <w:szCs w:val="19"/>
              </w:rPr>
              <w:t>Per cycle</w:t>
            </w:r>
          </w:p>
        </w:tc>
        <w:tc>
          <w:tcPr>
            <w:tcW w:w="1120" w:type="dxa"/>
            <w:tcMar>
              <w:top w:w="80" w:type="dxa"/>
              <w:left w:w="100" w:type="dxa"/>
              <w:bottom w:w="80" w:type="dxa"/>
              <w:right w:w="100" w:type="dxa"/>
            </w:tcMar>
          </w:tcPr>
          <w:p w14:paraId="0000107B" w14:textId="77777777" w:rsidR="0062357D" w:rsidRDefault="007E79DA">
            <w:r>
              <w:rPr>
                <w:sz w:val="19"/>
                <w:szCs w:val="19"/>
              </w:rPr>
              <w:t>DAC, PSC</w:t>
            </w:r>
          </w:p>
        </w:tc>
      </w:tr>
    </w:tbl>
    <w:p w14:paraId="0000107C" w14:textId="77777777" w:rsidR="0062357D" w:rsidRDefault="0062357D">
      <w:pPr>
        <w:spacing w:after="140"/>
      </w:pPr>
    </w:p>
    <w:p w14:paraId="0000107D" w14:textId="77777777" w:rsidR="0062357D" w:rsidRDefault="007E79DA">
      <w:pPr>
        <w:pStyle w:val="Heading2"/>
        <w:spacing w:before="280" w:after="120"/>
      </w:pPr>
      <w:r>
        <w:rPr>
          <w:b/>
          <w:bCs/>
          <w:color w:val="1E7A4C"/>
          <w:sz w:val="24"/>
          <w:szCs w:val="24"/>
        </w:rPr>
        <w:t>20.5 Verification &amp; Provenance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2600"/>
        <w:gridCol w:w="1400"/>
        <w:gridCol w:w="1600"/>
        <w:gridCol w:w="1100"/>
      </w:tblGrid>
      <w:tr w:rsidR="0062357D" w14:paraId="2D020BDC" w14:textId="77777777">
        <w:trPr>
          <w:tblHeader/>
        </w:trPr>
        <w:tc>
          <w:tcPr>
            <w:tcW w:w="900" w:type="dxa"/>
            <w:shd w:val="clear" w:color="auto" w:fill="1E7A4C"/>
            <w:tcMar>
              <w:top w:w="80" w:type="dxa"/>
              <w:left w:w="100" w:type="dxa"/>
              <w:bottom w:w="80" w:type="dxa"/>
              <w:right w:w="100" w:type="dxa"/>
            </w:tcMar>
          </w:tcPr>
          <w:p w14:paraId="0000107E" w14:textId="77777777" w:rsidR="0062357D" w:rsidRDefault="007E79DA">
            <w:r>
              <w:rPr>
                <w:b/>
                <w:bCs/>
                <w:color w:val="FFFFFF"/>
                <w:sz w:val="19"/>
                <w:szCs w:val="19"/>
              </w:rPr>
              <w:t>Code</w:t>
            </w:r>
          </w:p>
        </w:tc>
        <w:tc>
          <w:tcPr>
            <w:tcW w:w="2000" w:type="dxa"/>
            <w:shd w:val="clear" w:color="auto" w:fill="1E7A4C"/>
            <w:tcMar>
              <w:top w:w="80" w:type="dxa"/>
              <w:left w:w="100" w:type="dxa"/>
              <w:bottom w:w="80" w:type="dxa"/>
              <w:right w:w="100" w:type="dxa"/>
            </w:tcMar>
          </w:tcPr>
          <w:p w14:paraId="0000107F" w14:textId="77777777" w:rsidR="0062357D" w:rsidRDefault="007E79DA">
            <w:r>
              <w:rPr>
                <w:b/>
                <w:bCs/>
                <w:color w:val="FFFFFF"/>
                <w:sz w:val="19"/>
                <w:szCs w:val="19"/>
              </w:rPr>
              <w:t>Field Name</w:t>
            </w:r>
          </w:p>
        </w:tc>
        <w:tc>
          <w:tcPr>
            <w:tcW w:w="2600" w:type="dxa"/>
            <w:shd w:val="clear" w:color="auto" w:fill="1E7A4C"/>
            <w:tcMar>
              <w:top w:w="80" w:type="dxa"/>
              <w:left w:w="100" w:type="dxa"/>
              <w:bottom w:w="80" w:type="dxa"/>
              <w:right w:w="100" w:type="dxa"/>
            </w:tcMar>
          </w:tcPr>
          <w:p w14:paraId="00001080" w14:textId="77777777" w:rsidR="0062357D" w:rsidRDefault="007E79DA">
            <w:r>
              <w:rPr>
                <w:b/>
                <w:bCs/>
                <w:color w:val="FFFFFF"/>
                <w:sz w:val="19"/>
                <w:szCs w:val="19"/>
              </w:rPr>
              <w:t>Definition</w:t>
            </w:r>
          </w:p>
        </w:tc>
        <w:tc>
          <w:tcPr>
            <w:tcW w:w="1400" w:type="dxa"/>
            <w:shd w:val="clear" w:color="auto" w:fill="1E7A4C"/>
            <w:tcMar>
              <w:top w:w="80" w:type="dxa"/>
              <w:left w:w="100" w:type="dxa"/>
              <w:bottom w:w="80" w:type="dxa"/>
              <w:right w:w="100" w:type="dxa"/>
            </w:tcMar>
          </w:tcPr>
          <w:p w14:paraId="00001081" w14:textId="77777777" w:rsidR="0062357D" w:rsidRDefault="007E79DA">
            <w:r>
              <w:rPr>
                <w:b/>
                <w:bCs/>
                <w:color w:val="FFFFFF"/>
                <w:sz w:val="19"/>
                <w:szCs w:val="19"/>
              </w:rPr>
              <w:t>Unit</w:t>
            </w:r>
          </w:p>
        </w:tc>
        <w:tc>
          <w:tcPr>
            <w:tcW w:w="1600" w:type="dxa"/>
            <w:shd w:val="clear" w:color="auto" w:fill="1E7A4C"/>
            <w:tcMar>
              <w:top w:w="80" w:type="dxa"/>
              <w:left w:w="100" w:type="dxa"/>
              <w:bottom w:w="80" w:type="dxa"/>
              <w:right w:w="100" w:type="dxa"/>
            </w:tcMar>
          </w:tcPr>
          <w:p w14:paraId="00001082" w14:textId="77777777" w:rsidR="0062357D" w:rsidRDefault="007E79DA">
            <w:r>
              <w:rPr>
                <w:b/>
                <w:bCs/>
                <w:color w:val="FFFFFF"/>
                <w:sz w:val="19"/>
                <w:szCs w:val="19"/>
              </w:rPr>
              <w:t>Frequency</w:t>
            </w:r>
          </w:p>
        </w:tc>
        <w:tc>
          <w:tcPr>
            <w:tcW w:w="1100" w:type="dxa"/>
            <w:shd w:val="clear" w:color="auto" w:fill="1E7A4C"/>
            <w:tcMar>
              <w:top w:w="80" w:type="dxa"/>
              <w:left w:w="100" w:type="dxa"/>
              <w:bottom w:w="80" w:type="dxa"/>
              <w:right w:w="100" w:type="dxa"/>
            </w:tcMar>
          </w:tcPr>
          <w:p w14:paraId="00001083" w14:textId="77777777" w:rsidR="0062357D" w:rsidRDefault="007E79DA">
            <w:r>
              <w:rPr>
                <w:b/>
                <w:bCs/>
                <w:color w:val="FFFFFF"/>
                <w:sz w:val="19"/>
                <w:szCs w:val="19"/>
              </w:rPr>
              <w:t>Applies To</w:t>
            </w:r>
          </w:p>
        </w:tc>
      </w:tr>
      <w:tr w:rsidR="0062357D" w14:paraId="428DC8D2" w14:textId="77777777">
        <w:tc>
          <w:tcPr>
            <w:tcW w:w="900" w:type="dxa"/>
            <w:tcMar>
              <w:top w:w="80" w:type="dxa"/>
              <w:left w:w="100" w:type="dxa"/>
              <w:bottom w:w="80" w:type="dxa"/>
              <w:right w:w="100" w:type="dxa"/>
            </w:tcMar>
          </w:tcPr>
          <w:p w14:paraId="00001084" w14:textId="77777777" w:rsidR="0062357D" w:rsidRDefault="007E79DA">
            <w:r>
              <w:rPr>
                <w:sz w:val="19"/>
                <w:szCs w:val="19"/>
              </w:rPr>
              <w:t>SCT</w:t>
            </w:r>
          </w:p>
        </w:tc>
        <w:tc>
          <w:tcPr>
            <w:tcW w:w="2000" w:type="dxa"/>
            <w:tcMar>
              <w:top w:w="80" w:type="dxa"/>
              <w:left w:w="100" w:type="dxa"/>
              <w:bottom w:w="80" w:type="dxa"/>
              <w:right w:w="100" w:type="dxa"/>
            </w:tcMar>
          </w:tcPr>
          <w:p w14:paraId="00001085" w14:textId="77777777" w:rsidR="0062357D" w:rsidRDefault="007E79DA">
            <w:r>
              <w:rPr>
                <w:sz w:val="19"/>
                <w:szCs w:val="19"/>
              </w:rPr>
              <w:t>Sensor Calibration Timestamp</w:t>
            </w:r>
          </w:p>
        </w:tc>
        <w:tc>
          <w:tcPr>
            <w:tcW w:w="2600" w:type="dxa"/>
            <w:tcMar>
              <w:top w:w="80" w:type="dxa"/>
              <w:left w:w="100" w:type="dxa"/>
              <w:bottom w:w="80" w:type="dxa"/>
              <w:right w:w="100" w:type="dxa"/>
            </w:tcMar>
          </w:tcPr>
          <w:p w14:paraId="00001086" w14:textId="77777777" w:rsidR="0062357D" w:rsidRDefault="007E79DA">
            <w:r>
              <w:rPr>
                <w:sz w:val="19"/>
                <w:szCs w:val="19"/>
              </w:rPr>
              <w:t>Last calibration date and certification status of metering hardware</w:t>
            </w:r>
          </w:p>
        </w:tc>
        <w:tc>
          <w:tcPr>
            <w:tcW w:w="1400" w:type="dxa"/>
            <w:tcMar>
              <w:top w:w="80" w:type="dxa"/>
              <w:left w:w="100" w:type="dxa"/>
              <w:bottom w:w="80" w:type="dxa"/>
              <w:right w:w="100" w:type="dxa"/>
            </w:tcMar>
          </w:tcPr>
          <w:p w14:paraId="00001087" w14:textId="77777777" w:rsidR="0062357D" w:rsidRDefault="007E79DA">
            <w:proofErr w:type="spellStart"/>
            <w:r>
              <w:rPr>
                <w:sz w:val="19"/>
                <w:szCs w:val="19"/>
              </w:rPr>
              <w:t>datetime</w:t>
            </w:r>
            <w:proofErr w:type="spellEnd"/>
            <w:r>
              <w:rPr>
                <w:sz w:val="19"/>
                <w:szCs w:val="19"/>
              </w:rPr>
              <w:t xml:space="preserve"> + status</w:t>
            </w:r>
          </w:p>
        </w:tc>
        <w:tc>
          <w:tcPr>
            <w:tcW w:w="1600" w:type="dxa"/>
            <w:tcMar>
              <w:top w:w="80" w:type="dxa"/>
              <w:left w:w="100" w:type="dxa"/>
              <w:bottom w:w="80" w:type="dxa"/>
              <w:right w:w="100" w:type="dxa"/>
            </w:tcMar>
          </w:tcPr>
          <w:p w14:paraId="00001088" w14:textId="77777777" w:rsidR="0062357D" w:rsidRDefault="007E79DA">
            <w:r>
              <w:rPr>
                <w:sz w:val="19"/>
                <w:szCs w:val="19"/>
              </w:rPr>
              <w:t>Per calibration event</w:t>
            </w:r>
          </w:p>
        </w:tc>
        <w:tc>
          <w:tcPr>
            <w:tcW w:w="1100" w:type="dxa"/>
            <w:tcMar>
              <w:top w:w="80" w:type="dxa"/>
              <w:left w:w="100" w:type="dxa"/>
              <w:bottom w:w="80" w:type="dxa"/>
              <w:right w:w="100" w:type="dxa"/>
            </w:tcMar>
          </w:tcPr>
          <w:p w14:paraId="00001089" w14:textId="77777777" w:rsidR="0062357D" w:rsidRDefault="007E79DA">
            <w:r>
              <w:rPr>
                <w:sz w:val="19"/>
                <w:szCs w:val="19"/>
              </w:rPr>
              <w:t>All</w:t>
            </w:r>
          </w:p>
        </w:tc>
      </w:tr>
      <w:tr w:rsidR="0062357D" w14:paraId="545DE838" w14:textId="77777777">
        <w:tc>
          <w:tcPr>
            <w:tcW w:w="900" w:type="dxa"/>
            <w:tcMar>
              <w:top w:w="80" w:type="dxa"/>
              <w:left w:w="100" w:type="dxa"/>
              <w:bottom w:w="80" w:type="dxa"/>
              <w:right w:w="100" w:type="dxa"/>
            </w:tcMar>
          </w:tcPr>
          <w:p w14:paraId="0000108A" w14:textId="77777777" w:rsidR="0062357D" w:rsidRDefault="007E79DA">
            <w:r>
              <w:rPr>
                <w:sz w:val="19"/>
                <w:szCs w:val="19"/>
              </w:rPr>
              <w:t>DST</w:t>
            </w:r>
          </w:p>
        </w:tc>
        <w:tc>
          <w:tcPr>
            <w:tcW w:w="2000" w:type="dxa"/>
            <w:tcMar>
              <w:top w:w="80" w:type="dxa"/>
              <w:left w:w="100" w:type="dxa"/>
              <w:bottom w:w="80" w:type="dxa"/>
              <w:right w:w="100" w:type="dxa"/>
            </w:tcMar>
          </w:tcPr>
          <w:p w14:paraId="0000108B" w14:textId="77777777" w:rsidR="0062357D" w:rsidRDefault="007E79DA">
            <w:r>
              <w:rPr>
                <w:sz w:val="19"/>
                <w:szCs w:val="19"/>
              </w:rPr>
              <w:t>Data Source Type</w:t>
            </w:r>
          </w:p>
        </w:tc>
        <w:tc>
          <w:tcPr>
            <w:tcW w:w="2600" w:type="dxa"/>
            <w:tcMar>
              <w:top w:w="80" w:type="dxa"/>
              <w:left w:w="100" w:type="dxa"/>
              <w:bottom w:w="80" w:type="dxa"/>
              <w:right w:w="100" w:type="dxa"/>
            </w:tcMar>
          </w:tcPr>
          <w:p w14:paraId="0000108C" w14:textId="77777777" w:rsidR="0062357D" w:rsidRDefault="007E79DA">
            <w:r>
              <w:rPr>
                <w:sz w:val="19"/>
                <w:szCs w:val="19"/>
              </w:rPr>
              <w:t>Direct-metered vs. estimated/modeled</w:t>
            </w:r>
          </w:p>
        </w:tc>
        <w:tc>
          <w:tcPr>
            <w:tcW w:w="1400" w:type="dxa"/>
            <w:tcMar>
              <w:top w:w="80" w:type="dxa"/>
              <w:left w:w="100" w:type="dxa"/>
              <w:bottom w:w="80" w:type="dxa"/>
              <w:right w:w="100" w:type="dxa"/>
            </w:tcMar>
          </w:tcPr>
          <w:p w14:paraId="0000108D" w14:textId="77777777" w:rsidR="0062357D" w:rsidRDefault="007E79DA">
            <w:proofErr w:type="spellStart"/>
            <w:r>
              <w:rPr>
                <w:sz w:val="19"/>
                <w:szCs w:val="19"/>
              </w:rPr>
              <w:t>enum</w:t>
            </w:r>
            <w:proofErr w:type="spellEnd"/>
          </w:p>
        </w:tc>
        <w:tc>
          <w:tcPr>
            <w:tcW w:w="1600" w:type="dxa"/>
            <w:tcMar>
              <w:top w:w="80" w:type="dxa"/>
              <w:left w:w="100" w:type="dxa"/>
              <w:bottom w:w="80" w:type="dxa"/>
              <w:right w:w="100" w:type="dxa"/>
            </w:tcMar>
          </w:tcPr>
          <w:p w14:paraId="0000108E" w14:textId="77777777" w:rsidR="0062357D" w:rsidRDefault="007E79DA">
            <w:r>
              <w:rPr>
                <w:sz w:val="19"/>
                <w:szCs w:val="19"/>
              </w:rPr>
              <w:t>Per record</w:t>
            </w:r>
          </w:p>
        </w:tc>
        <w:tc>
          <w:tcPr>
            <w:tcW w:w="1100" w:type="dxa"/>
            <w:tcMar>
              <w:top w:w="80" w:type="dxa"/>
              <w:left w:w="100" w:type="dxa"/>
              <w:bottom w:w="80" w:type="dxa"/>
              <w:right w:w="100" w:type="dxa"/>
            </w:tcMar>
          </w:tcPr>
          <w:p w14:paraId="0000108F" w14:textId="77777777" w:rsidR="0062357D" w:rsidRDefault="007E79DA">
            <w:r>
              <w:rPr>
                <w:sz w:val="19"/>
                <w:szCs w:val="19"/>
              </w:rPr>
              <w:t>All</w:t>
            </w:r>
          </w:p>
        </w:tc>
      </w:tr>
      <w:tr w:rsidR="0062357D" w14:paraId="31A29492" w14:textId="77777777">
        <w:tc>
          <w:tcPr>
            <w:tcW w:w="900" w:type="dxa"/>
            <w:tcMar>
              <w:top w:w="80" w:type="dxa"/>
              <w:left w:w="100" w:type="dxa"/>
              <w:bottom w:w="80" w:type="dxa"/>
              <w:right w:w="100" w:type="dxa"/>
            </w:tcMar>
          </w:tcPr>
          <w:p w14:paraId="00001090" w14:textId="77777777" w:rsidR="0062357D" w:rsidRDefault="007E79DA">
            <w:r>
              <w:rPr>
                <w:sz w:val="19"/>
                <w:szCs w:val="19"/>
              </w:rPr>
              <w:t>MSR</w:t>
            </w:r>
          </w:p>
        </w:tc>
        <w:tc>
          <w:tcPr>
            <w:tcW w:w="2000" w:type="dxa"/>
            <w:tcMar>
              <w:top w:w="80" w:type="dxa"/>
              <w:left w:w="100" w:type="dxa"/>
              <w:bottom w:w="80" w:type="dxa"/>
              <w:right w:w="100" w:type="dxa"/>
            </w:tcMar>
          </w:tcPr>
          <w:p w14:paraId="00001091" w14:textId="77777777" w:rsidR="0062357D" w:rsidRDefault="007E79DA">
            <w:r>
              <w:rPr>
                <w:sz w:val="19"/>
                <w:szCs w:val="19"/>
              </w:rPr>
              <w:t>MRV Standard Reference</w:t>
            </w:r>
          </w:p>
        </w:tc>
        <w:tc>
          <w:tcPr>
            <w:tcW w:w="2600" w:type="dxa"/>
            <w:tcMar>
              <w:top w:w="80" w:type="dxa"/>
              <w:left w:w="100" w:type="dxa"/>
              <w:bottom w:w="80" w:type="dxa"/>
              <w:right w:w="100" w:type="dxa"/>
            </w:tcMar>
          </w:tcPr>
          <w:p w14:paraId="00001092" w14:textId="77777777" w:rsidR="0062357D" w:rsidRDefault="007E79DA">
            <w:r>
              <w:rPr>
                <w:sz w:val="19"/>
                <w:szCs w:val="19"/>
              </w:rPr>
              <w:t>Applicable third-party standard (</w:t>
            </w:r>
            <w:proofErr w:type="spellStart"/>
            <w:r>
              <w:rPr>
                <w:sz w:val="19"/>
                <w:szCs w:val="19"/>
              </w:rPr>
              <w:t>Puro.earth</w:t>
            </w:r>
            <w:proofErr w:type="spellEnd"/>
            <w:r>
              <w:rPr>
                <w:sz w:val="19"/>
                <w:szCs w:val="19"/>
              </w:rPr>
              <w:t xml:space="preserve">, </w:t>
            </w:r>
            <w:proofErr w:type="spellStart"/>
            <w:r>
              <w:rPr>
                <w:sz w:val="19"/>
                <w:szCs w:val="19"/>
              </w:rPr>
              <w:t>Verra</w:t>
            </w:r>
            <w:proofErr w:type="spellEnd"/>
            <w:r>
              <w:rPr>
                <w:sz w:val="19"/>
                <w:szCs w:val="19"/>
              </w:rPr>
              <w:t>, Isometric, etc.)</w:t>
            </w:r>
          </w:p>
        </w:tc>
        <w:tc>
          <w:tcPr>
            <w:tcW w:w="1400" w:type="dxa"/>
            <w:tcMar>
              <w:top w:w="80" w:type="dxa"/>
              <w:left w:w="100" w:type="dxa"/>
              <w:bottom w:w="80" w:type="dxa"/>
              <w:right w:w="100" w:type="dxa"/>
            </w:tcMar>
          </w:tcPr>
          <w:p w14:paraId="00001093" w14:textId="77777777" w:rsidR="0062357D" w:rsidRDefault="007E79DA">
            <w:r>
              <w:rPr>
                <w:sz w:val="19"/>
                <w:szCs w:val="19"/>
              </w:rPr>
              <w:t>text/</w:t>
            </w:r>
            <w:proofErr w:type="spellStart"/>
            <w:r>
              <w:rPr>
                <w:sz w:val="19"/>
                <w:szCs w:val="19"/>
              </w:rPr>
              <w:t>enum</w:t>
            </w:r>
            <w:proofErr w:type="spellEnd"/>
          </w:p>
        </w:tc>
        <w:tc>
          <w:tcPr>
            <w:tcW w:w="1600" w:type="dxa"/>
            <w:tcMar>
              <w:top w:w="80" w:type="dxa"/>
              <w:left w:w="100" w:type="dxa"/>
              <w:bottom w:w="80" w:type="dxa"/>
              <w:right w:w="100" w:type="dxa"/>
            </w:tcMar>
          </w:tcPr>
          <w:p w14:paraId="00001094" w14:textId="77777777" w:rsidR="0062357D" w:rsidRDefault="007E79DA">
            <w:r>
              <w:rPr>
                <w:sz w:val="19"/>
                <w:szCs w:val="19"/>
              </w:rPr>
              <w:t>Per project</w:t>
            </w:r>
          </w:p>
        </w:tc>
        <w:tc>
          <w:tcPr>
            <w:tcW w:w="1100" w:type="dxa"/>
            <w:tcMar>
              <w:top w:w="80" w:type="dxa"/>
              <w:left w:w="100" w:type="dxa"/>
              <w:bottom w:w="80" w:type="dxa"/>
              <w:right w:w="100" w:type="dxa"/>
            </w:tcMar>
          </w:tcPr>
          <w:p w14:paraId="00001095" w14:textId="77777777" w:rsidR="0062357D" w:rsidRDefault="007E79DA">
            <w:r>
              <w:rPr>
                <w:sz w:val="19"/>
                <w:szCs w:val="19"/>
              </w:rPr>
              <w:t>All</w:t>
            </w:r>
          </w:p>
        </w:tc>
      </w:tr>
      <w:tr w:rsidR="0062357D" w14:paraId="452A71EA" w14:textId="77777777">
        <w:tc>
          <w:tcPr>
            <w:tcW w:w="900" w:type="dxa"/>
            <w:tcMar>
              <w:top w:w="80" w:type="dxa"/>
              <w:left w:w="100" w:type="dxa"/>
              <w:bottom w:w="80" w:type="dxa"/>
              <w:right w:w="100" w:type="dxa"/>
            </w:tcMar>
          </w:tcPr>
          <w:p w14:paraId="00001096" w14:textId="77777777" w:rsidR="0062357D" w:rsidRDefault="007E79DA">
            <w:r>
              <w:rPr>
                <w:sz w:val="19"/>
                <w:szCs w:val="19"/>
              </w:rPr>
              <w:t>FPI</w:t>
            </w:r>
          </w:p>
        </w:tc>
        <w:tc>
          <w:tcPr>
            <w:tcW w:w="2000" w:type="dxa"/>
            <w:tcMar>
              <w:top w:w="80" w:type="dxa"/>
              <w:left w:w="100" w:type="dxa"/>
              <w:bottom w:w="80" w:type="dxa"/>
              <w:right w:w="100" w:type="dxa"/>
            </w:tcMar>
          </w:tcPr>
          <w:p w14:paraId="00001097" w14:textId="77777777" w:rsidR="0062357D" w:rsidRDefault="007E79DA">
            <w:r>
              <w:rPr>
                <w:sz w:val="19"/>
                <w:szCs w:val="19"/>
              </w:rPr>
              <w:t>Facility/Project ID</w:t>
            </w:r>
          </w:p>
        </w:tc>
        <w:tc>
          <w:tcPr>
            <w:tcW w:w="2600" w:type="dxa"/>
            <w:tcMar>
              <w:top w:w="80" w:type="dxa"/>
              <w:left w:w="100" w:type="dxa"/>
              <w:bottom w:w="80" w:type="dxa"/>
              <w:right w:w="100" w:type="dxa"/>
            </w:tcMar>
          </w:tcPr>
          <w:p w14:paraId="00001098" w14:textId="77777777" w:rsidR="0062357D" w:rsidRDefault="007E79DA">
            <w:r>
              <w:rPr>
                <w:sz w:val="19"/>
                <w:szCs w:val="19"/>
              </w:rPr>
              <w:t>Unique identifier for the capture facility or project</w:t>
            </w:r>
          </w:p>
        </w:tc>
        <w:tc>
          <w:tcPr>
            <w:tcW w:w="1400" w:type="dxa"/>
            <w:tcMar>
              <w:top w:w="80" w:type="dxa"/>
              <w:left w:w="100" w:type="dxa"/>
              <w:bottom w:w="80" w:type="dxa"/>
              <w:right w:w="100" w:type="dxa"/>
            </w:tcMar>
          </w:tcPr>
          <w:p w14:paraId="00001099" w14:textId="77777777" w:rsidR="0062357D" w:rsidRDefault="007E79DA">
            <w:r>
              <w:rPr>
                <w:sz w:val="19"/>
                <w:szCs w:val="19"/>
              </w:rPr>
              <w:t>ID string</w:t>
            </w:r>
          </w:p>
        </w:tc>
        <w:tc>
          <w:tcPr>
            <w:tcW w:w="1600" w:type="dxa"/>
            <w:tcMar>
              <w:top w:w="80" w:type="dxa"/>
              <w:left w:w="100" w:type="dxa"/>
              <w:bottom w:w="80" w:type="dxa"/>
              <w:right w:w="100" w:type="dxa"/>
            </w:tcMar>
          </w:tcPr>
          <w:p w14:paraId="0000109A" w14:textId="77777777" w:rsidR="0062357D" w:rsidRDefault="007E79DA">
            <w:r>
              <w:rPr>
                <w:sz w:val="19"/>
                <w:szCs w:val="19"/>
              </w:rPr>
              <w:t>Static</w:t>
            </w:r>
          </w:p>
        </w:tc>
        <w:tc>
          <w:tcPr>
            <w:tcW w:w="1100" w:type="dxa"/>
            <w:tcMar>
              <w:top w:w="80" w:type="dxa"/>
              <w:left w:w="100" w:type="dxa"/>
              <w:bottom w:w="80" w:type="dxa"/>
              <w:right w:w="100" w:type="dxa"/>
            </w:tcMar>
          </w:tcPr>
          <w:p w14:paraId="0000109B" w14:textId="77777777" w:rsidR="0062357D" w:rsidRDefault="007E79DA">
            <w:r>
              <w:rPr>
                <w:sz w:val="19"/>
                <w:szCs w:val="19"/>
              </w:rPr>
              <w:t>All</w:t>
            </w:r>
          </w:p>
        </w:tc>
      </w:tr>
      <w:tr w:rsidR="0062357D" w14:paraId="086105CA" w14:textId="77777777">
        <w:tc>
          <w:tcPr>
            <w:tcW w:w="900" w:type="dxa"/>
            <w:tcMar>
              <w:top w:w="80" w:type="dxa"/>
              <w:left w:w="100" w:type="dxa"/>
              <w:bottom w:w="80" w:type="dxa"/>
              <w:right w:w="100" w:type="dxa"/>
            </w:tcMar>
          </w:tcPr>
          <w:p w14:paraId="0000109C" w14:textId="77777777" w:rsidR="0062357D" w:rsidRDefault="007E79DA">
            <w:r>
              <w:rPr>
                <w:sz w:val="19"/>
                <w:szCs w:val="19"/>
              </w:rPr>
              <w:t>GLC</w:t>
            </w:r>
          </w:p>
        </w:tc>
        <w:tc>
          <w:tcPr>
            <w:tcW w:w="2000" w:type="dxa"/>
            <w:tcMar>
              <w:top w:w="80" w:type="dxa"/>
              <w:left w:w="100" w:type="dxa"/>
              <w:bottom w:w="80" w:type="dxa"/>
              <w:right w:w="100" w:type="dxa"/>
            </w:tcMar>
          </w:tcPr>
          <w:p w14:paraId="0000109D" w14:textId="77777777" w:rsidR="0062357D" w:rsidRDefault="007E79DA">
            <w:r>
              <w:rPr>
                <w:sz w:val="19"/>
                <w:szCs w:val="19"/>
              </w:rPr>
              <w:t>Geolocation Coordinate</w:t>
            </w:r>
          </w:p>
        </w:tc>
        <w:tc>
          <w:tcPr>
            <w:tcW w:w="2600" w:type="dxa"/>
            <w:tcMar>
              <w:top w:w="80" w:type="dxa"/>
              <w:left w:w="100" w:type="dxa"/>
              <w:bottom w:w="80" w:type="dxa"/>
              <w:right w:w="100" w:type="dxa"/>
            </w:tcMar>
          </w:tcPr>
          <w:p w14:paraId="0000109E" w14:textId="77777777" w:rsidR="0062357D" w:rsidRDefault="007E79DA">
            <w:r>
              <w:rPr>
                <w:sz w:val="19"/>
                <w:szCs w:val="19"/>
              </w:rPr>
              <w:t>Latitude/longitude of facility</w:t>
            </w:r>
          </w:p>
        </w:tc>
        <w:tc>
          <w:tcPr>
            <w:tcW w:w="1400" w:type="dxa"/>
            <w:tcMar>
              <w:top w:w="80" w:type="dxa"/>
              <w:left w:w="100" w:type="dxa"/>
              <w:bottom w:w="80" w:type="dxa"/>
              <w:right w:w="100" w:type="dxa"/>
            </w:tcMar>
          </w:tcPr>
          <w:p w14:paraId="0000109F" w14:textId="77777777" w:rsidR="0062357D" w:rsidRDefault="007E79DA">
            <w:r>
              <w:rPr>
                <w:sz w:val="19"/>
                <w:szCs w:val="19"/>
              </w:rPr>
              <w:t>decimal degrees</w:t>
            </w:r>
          </w:p>
        </w:tc>
        <w:tc>
          <w:tcPr>
            <w:tcW w:w="1600" w:type="dxa"/>
            <w:tcMar>
              <w:top w:w="80" w:type="dxa"/>
              <w:left w:w="100" w:type="dxa"/>
              <w:bottom w:w="80" w:type="dxa"/>
              <w:right w:w="100" w:type="dxa"/>
            </w:tcMar>
          </w:tcPr>
          <w:p w14:paraId="000010A0" w14:textId="77777777" w:rsidR="0062357D" w:rsidRDefault="007E79DA">
            <w:r>
              <w:rPr>
                <w:sz w:val="19"/>
                <w:szCs w:val="19"/>
              </w:rPr>
              <w:t>Static</w:t>
            </w:r>
          </w:p>
        </w:tc>
        <w:tc>
          <w:tcPr>
            <w:tcW w:w="1100" w:type="dxa"/>
            <w:tcMar>
              <w:top w:w="80" w:type="dxa"/>
              <w:left w:w="100" w:type="dxa"/>
              <w:bottom w:w="80" w:type="dxa"/>
              <w:right w:w="100" w:type="dxa"/>
            </w:tcMar>
          </w:tcPr>
          <w:p w14:paraId="000010A1" w14:textId="77777777" w:rsidR="0062357D" w:rsidRDefault="007E79DA">
            <w:r>
              <w:rPr>
                <w:sz w:val="19"/>
                <w:szCs w:val="19"/>
              </w:rPr>
              <w:t>All</w:t>
            </w:r>
          </w:p>
        </w:tc>
      </w:tr>
      <w:tr w:rsidR="0062357D" w14:paraId="0D27B974" w14:textId="77777777">
        <w:tc>
          <w:tcPr>
            <w:tcW w:w="900" w:type="dxa"/>
            <w:tcMar>
              <w:top w:w="80" w:type="dxa"/>
              <w:left w:w="100" w:type="dxa"/>
              <w:bottom w:w="80" w:type="dxa"/>
              <w:right w:w="100" w:type="dxa"/>
            </w:tcMar>
          </w:tcPr>
          <w:p w14:paraId="000010A2" w14:textId="77777777" w:rsidR="0062357D" w:rsidRDefault="007E79DA">
            <w:r>
              <w:rPr>
                <w:sz w:val="19"/>
                <w:szCs w:val="19"/>
              </w:rPr>
              <w:t>RFI</w:t>
            </w:r>
          </w:p>
        </w:tc>
        <w:tc>
          <w:tcPr>
            <w:tcW w:w="2000" w:type="dxa"/>
            <w:tcMar>
              <w:top w:w="80" w:type="dxa"/>
              <w:left w:w="100" w:type="dxa"/>
              <w:bottom w:w="80" w:type="dxa"/>
              <w:right w:w="100" w:type="dxa"/>
            </w:tcMar>
          </w:tcPr>
          <w:p w14:paraId="000010A3" w14:textId="77777777" w:rsidR="0062357D" w:rsidRDefault="007E79DA">
            <w:r>
              <w:rPr>
                <w:sz w:val="19"/>
                <w:szCs w:val="19"/>
              </w:rPr>
              <w:t>Reporting Frequency Interval</w:t>
            </w:r>
          </w:p>
        </w:tc>
        <w:tc>
          <w:tcPr>
            <w:tcW w:w="2600" w:type="dxa"/>
            <w:tcMar>
              <w:top w:w="80" w:type="dxa"/>
              <w:left w:w="100" w:type="dxa"/>
              <w:bottom w:w="80" w:type="dxa"/>
              <w:right w:w="100" w:type="dxa"/>
            </w:tcMar>
          </w:tcPr>
          <w:p w14:paraId="000010A4" w14:textId="77777777" w:rsidR="0062357D" w:rsidRDefault="007E79DA">
            <w:r>
              <w:rPr>
                <w:sz w:val="19"/>
                <w:szCs w:val="19"/>
              </w:rPr>
              <w:t>Cadence at which this Provider reports</w:t>
            </w:r>
          </w:p>
        </w:tc>
        <w:tc>
          <w:tcPr>
            <w:tcW w:w="1400" w:type="dxa"/>
            <w:tcMar>
              <w:top w:w="80" w:type="dxa"/>
              <w:left w:w="100" w:type="dxa"/>
              <w:bottom w:w="80" w:type="dxa"/>
              <w:right w:w="100" w:type="dxa"/>
            </w:tcMar>
          </w:tcPr>
          <w:p w14:paraId="000010A5" w14:textId="77777777" w:rsidR="0062357D" w:rsidRDefault="007E79DA">
            <w:proofErr w:type="spellStart"/>
            <w:r>
              <w:rPr>
                <w:sz w:val="19"/>
                <w:szCs w:val="19"/>
              </w:rPr>
              <w:t>enum</w:t>
            </w:r>
            <w:proofErr w:type="spellEnd"/>
          </w:p>
        </w:tc>
        <w:tc>
          <w:tcPr>
            <w:tcW w:w="1600" w:type="dxa"/>
            <w:tcMar>
              <w:top w:w="80" w:type="dxa"/>
              <w:left w:w="100" w:type="dxa"/>
              <w:bottom w:w="80" w:type="dxa"/>
              <w:right w:w="100" w:type="dxa"/>
            </w:tcMar>
          </w:tcPr>
          <w:p w14:paraId="000010A6" w14:textId="77777777" w:rsidR="0062357D" w:rsidRDefault="007E79DA">
            <w:r>
              <w:rPr>
                <w:sz w:val="19"/>
                <w:szCs w:val="19"/>
              </w:rPr>
              <w:t>Static</w:t>
            </w:r>
          </w:p>
        </w:tc>
        <w:tc>
          <w:tcPr>
            <w:tcW w:w="1100" w:type="dxa"/>
            <w:tcMar>
              <w:top w:w="80" w:type="dxa"/>
              <w:left w:w="100" w:type="dxa"/>
              <w:bottom w:w="80" w:type="dxa"/>
              <w:right w:w="100" w:type="dxa"/>
            </w:tcMar>
          </w:tcPr>
          <w:p w14:paraId="000010A7" w14:textId="77777777" w:rsidR="0062357D" w:rsidRDefault="007E79DA">
            <w:r>
              <w:rPr>
                <w:sz w:val="19"/>
                <w:szCs w:val="19"/>
              </w:rPr>
              <w:t>All</w:t>
            </w:r>
          </w:p>
        </w:tc>
      </w:tr>
    </w:tbl>
    <w:p w14:paraId="000010A8" w14:textId="77777777" w:rsidR="0062357D" w:rsidRDefault="0062357D">
      <w:pPr>
        <w:spacing w:after="140"/>
      </w:pPr>
    </w:p>
    <w:p w14:paraId="000010A9" w14:textId="77777777" w:rsidR="0062357D" w:rsidRDefault="007E79DA">
      <w:pPr>
        <w:pStyle w:val="Heading2"/>
        <w:spacing w:before="280" w:after="120"/>
      </w:pPr>
      <w:r>
        <w:rPr>
          <w:b/>
          <w:bCs/>
          <w:color w:val="1E7A4C"/>
          <w:sz w:val="24"/>
          <w:szCs w:val="24"/>
        </w:rPr>
        <w:t>20.6 Derived / ML-Job Dataset Fields</w:t>
      </w:r>
    </w:p>
    <w:p w14:paraId="000010AA" w14:textId="77777777" w:rsidR="0062357D" w:rsidRDefault="007E79DA">
      <w:pPr>
        <w:spacing w:after="140"/>
      </w:pPr>
      <w:r>
        <w:rPr>
          <w:sz w:val="21"/>
          <w:szCs w:val="21"/>
        </w:rPr>
        <w:t>These fields are generated downstream from raw telemetry (§20.2–§20.5) by Stardust's analytics/ML layer, for forecasting, anomaly detection, and credit-grade normalization. Each maps back to a raw root code where applicable.</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500"/>
        <w:gridCol w:w="3200"/>
        <w:gridCol w:w="1300"/>
        <w:gridCol w:w="1600"/>
      </w:tblGrid>
      <w:tr w:rsidR="0062357D" w14:paraId="48024AEA" w14:textId="77777777">
        <w:trPr>
          <w:tblHeader/>
        </w:trPr>
        <w:tc>
          <w:tcPr>
            <w:tcW w:w="1000" w:type="dxa"/>
            <w:shd w:val="clear" w:color="auto" w:fill="1E7A4C"/>
            <w:tcMar>
              <w:top w:w="80" w:type="dxa"/>
              <w:left w:w="100" w:type="dxa"/>
              <w:bottom w:w="80" w:type="dxa"/>
              <w:right w:w="100" w:type="dxa"/>
            </w:tcMar>
          </w:tcPr>
          <w:p w14:paraId="000010AB" w14:textId="77777777" w:rsidR="0062357D" w:rsidRDefault="007E79DA">
            <w:r>
              <w:rPr>
                <w:b/>
                <w:bCs/>
                <w:color w:val="FFFFFF"/>
                <w:sz w:val="19"/>
                <w:szCs w:val="19"/>
              </w:rPr>
              <w:t>Code</w:t>
            </w:r>
          </w:p>
        </w:tc>
        <w:tc>
          <w:tcPr>
            <w:tcW w:w="2500" w:type="dxa"/>
            <w:shd w:val="clear" w:color="auto" w:fill="1E7A4C"/>
            <w:tcMar>
              <w:top w:w="80" w:type="dxa"/>
              <w:left w:w="100" w:type="dxa"/>
              <w:bottom w:w="80" w:type="dxa"/>
              <w:right w:w="100" w:type="dxa"/>
            </w:tcMar>
          </w:tcPr>
          <w:p w14:paraId="000010AC" w14:textId="77777777" w:rsidR="0062357D" w:rsidRDefault="007E79DA">
            <w:r>
              <w:rPr>
                <w:b/>
                <w:bCs/>
                <w:color w:val="FFFFFF"/>
                <w:sz w:val="19"/>
                <w:szCs w:val="19"/>
              </w:rPr>
              <w:t>Field Name</w:t>
            </w:r>
          </w:p>
        </w:tc>
        <w:tc>
          <w:tcPr>
            <w:tcW w:w="3200" w:type="dxa"/>
            <w:shd w:val="clear" w:color="auto" w:fill="1E7A4C"/>
            <w:tcMar>
              <w:top w:w="80" w:type="dxa"/>
              <w:left w:w="100" w:type="dxa"/>
              <w:bottom w:w="80" w:type="dxa"/>
              <w:right w:w="100" w:type="dxa"/>
            </w:tcMar>
          </w:tcPr>
          <w:p w14:paraId="000010AD" w14:textId="77777777" w:rsidR="0062357D" w:rsidRDefault="007E79DA">
            <w:r>
              <w:rPr>
                <w:b/>
                <w:bCs/>
                <w:color w:val="FFFFFF"/>
                <w:sz w:val="19"/>
                <w:szCs w:val="19"/>
              </w:rPr>
              <w:t>Definition</w:t>
            </w:r>
          </w:p>
        </w:tc>
        <w:tc>
          <w:tcPr>
            <w:tcW w:w="1300" w:type="dxa"/>
            <w:shd w:val="clear" w:color="auto" w:fill="1E7A4C"/>
            <w:tcMar>
              <w:top w:w="80" w:type="dxa"/>
              <w:left w:w="100" w:type="dxa"/>
              <w:bottom w:w="80" w:type="dxa"/>
              <w:right w:w="100" w:type="dxa"/>
            </w:tcMar>
          </w:tcPr>
          <w:p w14:paraId="000010AE" w14:textId="77777777" w:rsidR="0062357D" w:rsidRDefault="007E79DA">
            <w:r>
              <w:rPr>
                <w:b/>
                <w:bCs/>
                <w:color w:val="FFFFFF"/>
                <w:sz w:val="19"/>
                <w:szCs w:val="19"/>
              </w:rPr>
              <w:t>Unit</w:t>
            </w:r>
          </w:p>
        </w:tc>
        <w:tc>
          <w:tcPr>
            <w:tcW w:w="1600" w:type="dxa"/>
            <w:shd w:val="clear" w:color="auto" w:fill="1E7A4C"/>
            <w:tcMar>
              <w:top w:w="80" w:type="dxa"/>
              <w:left w:w="100" w:type="dxa"/>
              <w:bottom w:w="80" w:type="dxa"/>
              <w:right w:w="100" w:type="dxa"/>
            </w:tcMar>
          </w:tcPr>
          <w:p w14:paraId="000010AF" w14:textId="77777777" w:rsidR="0062357D" w:rsidRDefault="007E79DA">
            <w:r>
              <w:rPr>
                <w:b/>
                <w:bCs/>
                <w:color w:val="FFFFFF"/>
                <w:sz w:val="19"/>
                <w:szCs w:val="19"/>
              </w:rPr>
              <w:t>Derived From</w:t>
            </w:r>
          </w:p>
        </w:tc>
      </w:tr>
      <w:tr w:rsidR="0062357D" w14:paraId="1B00E08E" w14:textId="77777777">
        <w:tc>
          <w:tcPr>
            <w:tcW w:w="1000" w:type="dxa"/>
            <w:tcMar>
              <w:top w:w="80" w:type="dxa"/>
              <w:left w:w="100" w:type="dxa"/>
              <w:bottom w:w="80" w:type="dxa"/>
              <w:right w:w="100" w:type="dxa"/>
            </w:tcMar>
          </w:tcPr>
          <w:p w14:paraId="000010B0" w14:textId="77777777" w:rsidR="0062357D" w:rsidRDefault="007E79DA">
            <w:r>
              <w:rPr>
                <w:sz w:val="19"/>
                <w:szCs w:val="19"/>
              </w:rPr>
              <w:t>D-CEP</w:t>
            </w:r>
          </w:p>
        </w:tc>
        <w:tc>
          <w:tcPr>
            <w:tcW w:w="2500" w:type="dxa"/>
            <w:tcMar>
              <w:top w:w="80" w:type="dxa"/>
              <w:left w:w="100" w:type="dxa"/>
              <w:bottom w:w="80" w:type="dxa"/>
              <w:right w:w="100" w:type="dxa"/>
            </w:tcMar>
          </w:tcPr>
          <w:p w14:paraId="000010B1" w14:textId="77777777" w:rsidR="0062357D" w:rsidRDefault="007E79DA">
            <w:r>
              <w:rPr>
                <w:sz w:val="19"/>
                <w:szCs w:val="19"/>
              </w:rPr>
              <w:t>Modeled Capture Efficiency</w:t>
            </w:r>
          </w:p>
        </w:tc>
        <w:tc>
          <w:tcPr>
            <w:tcW w:w="3200" w:type="dxa"/>
            <w:tcMar>
              <w:top w:w="80" w:type="dxa"/>
              <w:left w:w="100" w:type="dxa"/>
              <w:bottom w:w="80" w:type="dxa"/>
              <w:right w:w="100" w:type="dxa"/>
            </w:tcMar>
          </w:tcPr>
          <w:p w14:paraId="000010B2" w14:textId="77777777" w:rsidR="0062357D" w:rsidRDefault="007E79DA">
            <w:r>
              <w:rPr>
                <w:sz w:val="19"/>
                <w:szCs w:val="19"/>
              </w:rPr>
              <w:t>ML-estimated efficiency where direct sensing is unavailable</w:t>
            </w:r>
          </w:p>
        </w:tc>
        <w:tc>
          <w:tcPr>
            <w:tcW w:w="1300" w:type="dxa"/>
            <w:tcMar>
              <w:top w:w="80" w:type="dxa"/>
              <w:left w:w="100" w:type="dxa"/>
              <w:bottom w:w="80" w:type="dxa"/>
              <w:right w:w="100" w:type="dxa"/>
            </w:tcMar>
          </w:tcPr>
          <w:p w14:paraId="000010B3" w14:textId="77777777" w:rsidR="0062357D" w:rsidRDefault="007E79DA">
            <w:r>
              <w:rPr>
                <w:sz w:val="19"/>
                <w:szCs w:val="19"/>
              </w:rPr>
              <w:t>%</w:t>
            </w:r>
          </w:p>
        </w:tc>
        <w:tc>
          <w:tcPr>
            <w:tcW w:w="1600" w:type="dxa"/>
            <w:tcMar>
              <w:top w:w="80" w:type="dxa"/>
              <w:left w:w="100" w:type="dxa"/>
              <w:bottom w:w="80" w:type="dxa"/>
              <w:right w:w="100" w:type="dxa"/>
            </w:tcMar>
          </w:tcPr>
          <w:p w14:paraId="000010B4" w14:textId="77777777" w:rsidR="0062357D" w:rsidRDefault="007E79DA">
            <w:r>
              <w:rPr>
                <w:sz w:val="19"/>
                <w:szCs w:val="19"/>
              </w:rPr>
              <w:t>CEP, ECT</w:t>
            </w:r>
          </w:p>
        </w:tc>
      </w:tr>
      <w:tr w:rsidR="0062357D" w14:paraId="0BB3707F" w14:textId="77777777">
        <w:tc>
          <w:tcPr>
            <w:tcW w:w="1000" w:type="dxa"/>
            <w:tcMar>
              <w:top w:w="80" w:type="dxa"/>
              <w:left w:w="100" w:type="dxa"/>
              <w:bottom w:w="80" w:type="dxa"/>
              <w:right w:w="100" w:type="dxa"/>
            </w:tcMar>
          </w:tcPr>
          <w:p w14:paraId="000010B5" w14:textId="77777777" w:rsidR="0062357D" w:rsidRDefault="007E79DA">
            <w:r>
              <w:rPr>
                <w:sz w:val="19"/>
                <w:szCs w:val="19"/>
              </w:rPr>
              <w:t>D-CCM</w:t>
            </w:r>
          </w:p>
        </w:tc>
        <w:tc>
          <w:tcPr>
            <w:tcW w:w="2500" w:type="dxa"/>
            <w:tcMar>
              <w:top w:w="80" w:type="dxa"/>
              <w:left w:w="100" w:type="dxa"/>
              <w:bottom w:w="80" w:type="dxa"/>
              <w:right w:w="100" w:type="dxa"/>
            </w:tcMar>
          </w:tcPr>
          <w:p w14:paraId="000010B6" w14:textId="77777777" w:rsidR="0062357D" w:rsidRDefault="007E79DA">
            <w:r>
              <w:rPr>
                <w:sz w:val="19"/>
                <w:szCs w:val="19"/>
              </w:rPr>
              <w:t>Projected Cumulative Mass</w:t>
            </w:r>
          </w:p>
        </w:tc>
        <w:tc>
          <w:tcPr>
            <w:tcW w:w="3200" w:type="dxa"/>
            <w:tcMar>
              <w:top w:w="80" w:type="dxa"/>
              <w:left w:w="100" w:type="dxa"/>
              <w:bottom w:w="80" w:type="dxa"/>
              <w:right w:w="100" w:type="dxa"/>
            </w:tcMar>
          </w:tcPr>
          <w:p w14:paraId="000010B7" w14:textId="77777777" w:rsidR="0062357D" w:rsidRDefault="007E79DA">
            <w:r>
              <w:rPr>
                <w:sz w:val="19"/>
                <w:szCs w:val="19"/>
              </w:rPr>
              <w:t>Forecasted captured mass for current crediting period</w:t>
            </w:r>
          </w:p>
        </w:tc>
        <w:tc>
          <w:tcPr>
            <w:tcW w:w="1300" w:type="dxa"/>
            <w:tcMar>
              <w:top w:w="80" w:type="dxa"/>
              <w:left w:w="100" w:type="dxa"/>
              <w:bottom w:w="80" w:type="dxa"/>
              <w:right w:w="100" w:type="dxa"/>
            </w:tcMar>
          </w:tcPr>
          <w:p w14:paraId="000010B8" w14:textId="77777777" w:rsidR="0062357D" w:rsidRDefault="007E79DA">
            <w:r>
              <w:rPr>
                <w:sz w:val="19"/>
                <w:szCs w:val="19"/>
              </w:rPr>
              <w:t>kg or t</w:t>
            </w:r>
          </w:p>
        </w:tc>
        <w:tc>
          <w:tcPr>
            <w:tcW w:w="1600" w:type="dxa"/>
            <w:tcMar>
              <w:top w:w="80" w:type="dxa"/>
              <w:left w:w="100" w:type="dxa"/>
              <w:bottom w:w="80" w:type="dxa"/>
              <w:right w:w="100" w:type="dxa"/>
            </w:tcMar>
          </w:tcPr>
          <w:p w14:paraId="000010B9" w14:textId="77777777" w:rsidR="0062357D" w:rsidRDefault="007E79DA">
            <w:r>
              <w:rPr>
                <w:sz w:val="19"/>
                <w:szCs w:val="19"/>
              </w:rPr>
              <w:t>CCM, CRI</w:t>
            </w:r>
          </w:p>
        </w:tc>
      </w:tr>
      <w:tr w:rsidR="0062357D" w14:paraId="7DEF617E" w14:textId="77777777">
        <w:tc>
          <w:tcPr>
            <w:tcW w:w="1000" w:type="dxa"/>
            <w:tcMar>
              <w:top w:w="80" w:type="dxa"/>
              <w:left w:w="100" w:type="dxa"/>
              <w:bottom w:w="80" w:type="dxa"/>
              <w:right w:w="100" w:type="dxa"/>
            </w:tcMar>
          </w:tcPr>
          <w:p w14:paraId="000010BA" w14:textId="77777777" w:rsidR="0062357D" w:rsidRDefault="007E79DA">
            <w:r>
              <w:rPr>
                <w:sz w:val="19"/>
                <w:szCs w:val="19"/>
              </w:rPr>
              <w:t>ADF</w:t>
            </w:r>
          </w:p>
        </w:tc>
        <w:tc>
          <w:tcPr>
            <w:tcW w:w="2500" w:type="dxa"/>
            <w:tcMar>
              <w:top w:w="80" w:type="dxa"/>
              <w:left w:w="100" w:type="dxa"/>
              <w:bottom w:w="80" w:type="dxa"/>
              <w:right w:w="100" w:type="dxa"/>
            </w:tcMar>
          </w:tcPr>
          <w:p w14:paraId="000010BB" w14:textId="77777777" w:rsidR="0062357D" w:rsidRDefault="007E79DA">
            <w:r>
              <w:rPr>
                <w:sz w:val="19"/>
                <w:szCs w:val="19"/>
              </w:rPr>
              <w:t>Anomaly Detection Flag</w:t>
            </w:r>
          </w:p>
        </w:tc>
        <w:tc>
          <w:tcPr>
            <w:tcW w:w="3200" w:type="dxa"/>
            <w:tcMar>
              <w:top w:w="80" w:type="dxa"/>
              <w:left w:w="100" w:type="dxa"/>
              <w:bottom w:w="80" w:type="dxa"/>
              <w:right w:w="100" w:type="dxa"/>
            </w:tcMar>
          </w:tcPr>
          <w:p w14:paraId="000010BC" w14:textId="77777777" w:rsidR="0062357D" w:rsidRDefault="007E79DA">
            <w:r>
              <w:rPr>
                <w:sz w:val="19"/>
                <w:szCs w:val="19"/>
              </w:rPr>
              <w:t>Flags telemetry readings outside expected operational bounds</w:t>
            </w:r>
          </w:p>
        </w:tc>
        <w:tc>
          <w:tcPr>
            <w:tcW w:w="1300" w:type="dxa"/>
            <w:tcMar>
              <w:top w:w="80" w:type="dxa"/>
              <w:left w:w="100" w:type="dxa"/>
              <w:bottom w:w="80" w:type="dxa"/>
              <w:right w:w="100" w:type="dxa"/>
            </w:tcMar>
          </w:tcPr>
          <w:p w14:paraId="000010BD" w14:textId="77777777" w:rsidR="0062357D" w:rsidRDefault="007E79DA">
            <w:r>
              <w:rPr>
                <w:sz w:val="19"/>
                <w:szCs w:val="19"/>
              </w:rPr>
              <w:t>bool + code</w:t>
            </w:r>
          </w:p>
        </w:tc>
        <w:tc>
          <w:tcPr>
            <w:tcW w:w="1600" w:type="dxa"/>
            <w:tcMar>
              <w:top w:w="80" w:type="dxa"/>
              <w:left w:w="100" w:type="dxa"/>
              <w:bottom w:w="80" w:type="dxa"/>
              <w:right w:w="100" w:type="dxa"/>
            </w:tcMar>
          </w:tcPr>
          <w:p w14:paraId="000010BE" w14:textId="77777777" w:rsidR="0062357D" w:rsidRDefault="007E79DA">
            <w:r>
              <w:rPr>
                <w:sz w:val="19"/>
                <w:szCs w:val="19"/>
              </w:rPr>
              <w:t>CRI, UDL, ECT</w:t>
            </w:r>
          </w:p>
        </w:tc>
      </w:tr>
      <w:tr w:rsidR="0062357D" w14:paraId="637C292A" w14:textId="77777777">
        <w:tc>
          <w:tcPr>
            <w:tcW w:w="1000" w:type="dxa"/>
            <w:tcMar>
              <w:top w:w="80" w:type="dxa"/>
              <w:left w:w="100" w:type="dxa"/>
              <w:bottom w:w="80" w:type="dxa"/>
              <w:right w:w="100" w:type="dxa"/>
            </w:tcMar>
          </w:tcPr>
          <w:p w14:paraId="000010BF" w14:textId="77777777" w:rsidR="0062357D" w:rsidRDefault="007E79DA">
            <w:r>
              <w:rPr>
                <w:sz w:val="19"/>
                <w:szCs w:val="19"/>
              </w:rPr>
              <w:t>DQS</w:t>
            </w:r>
          </w:p>
        </w:tc>
        <w:tc>
          <w:tcPr>
            <w:tcW w:w="2500" w:type="dxa"/>
            <w:tcMar>
              <w:top w:w="80" w:type="dxa"/>
              <w:left w:w="100" w:type="dxa"/>
              <w:bottom w:w="80" w:type="dxa"/>
              <w:right w:w="100" w:type="dxa"/>
            </w:tcMar>
          </w:tcPr>
          <w:p w14:paraId="000010C0" w14:textId="77777777" w:rsidR="0062357D" w:rsidRDefault="007E79DA">
            <w:r>
              <w:rPr>
                <w:sz w:val="19"/>
                <w:szCs w:val="19"/>
              </w:rPr>
              <w:t>Data Quality Score</w:t>
            </w:r>
          </w:p>
        </w:tc>
        <w:tc>
          <w:tcPr>
            <w:tcW w:w="3200" w:type="dxa"/>
            <w:tcMar>
              <w:top w:w="80" w:type="dxa"/>
              <w:left w:w="100" w:type="dxa"/>
              <w:bottom w:w="80" w:type="dxa"/>
              <w:right w:w="100" w:type="dxa"/>
            </w:tcMar>
          </w:tcPr>
          <w:p w14:paraId="000010C1" w14:textId="77777777" w:rsidR="0062357D" w:rsidRDefault="007E79DA">
            <w:r>
              <w:rPr>
                <w:sz w:val="19"/>
                <w:szCs w:val="19"/>
              </w:rPr>
              <w:t>Composite confidence score for a record's reliability</w:t>
            </w:r>
          </w:p>
        </w:tc>
        <w:tc>
          <w:tcPr>
            <w:tcW w:w="1300" w:type="dxa"/>
            <w:tcMar>
              <w:top w:w="80" w:type="dxa"/>
              <w:left w:w="100" w:type="dxa"/>
              <w:bottom w:w="80" w:type="dxa"/>
              <w:right w:w="100" w:type="dxa"/>
            </w:tcMar>
          </w:tcPr>
          <w:p w14:paraId="000010C2" w14:textId="77777777" w:rsidR="0062357D" w:rsidRDefault="007E79DA">
            <w:r>
              <w:rPr>
                <w:sz w:val="19"/>
                <w:szCs w:val="19"/>
              </w:rPr>
              <w:t>0–1 scale</w:t>
            </w:r>
          </w:p>
        </w:tc>
        <w:tc>
          <w:tcPr>
            <w:tcW w:w="1600" w:type="dxa"/>
            <w:tcMar>
              <w:top w:w="80" w:type="dxa"/>
              <w:left w:w="100" w:type="dxa"/>
              <w:bottom w:w="80" w:type="dxa"/>
              <w:right w:w="100" w:type="dxa"/>
            </w:tcMar>
          </w:tcPr>
          <w:p w14:paraId="000010C3" w14:textId="77777777" w:rsidR="0062357D" w:rsidRDefault="007E79DA">
            <w:r>
              <w:rPr>
                <w:sz w:val="19"/>
                <w:szCs w:val="19"/>
              </w:rPr>
              <w:t>DST, SCT, ADF</w:t>
            </w:r>
          </w:p>
        </w:tc>
      </w:tr>
      <w:tr w:rsidR="0062357D" w14:paraId="2D441CFB" w14:textId="77777777">
        <w:tc>
          <w:tcPr>
            <w:tcW w:w="1000" w:type="dxa"/>
            <w:tcMar>
              <w:top w:w="80" w:type="dxa"/>
              <w:left w:w="100" w:type="dxa"/>
              <w:bottom w:w="80" w:type="dxa"/>
              <w:right w:w="100" w:type="dxa"/>
            </w:tcMar>
          </w:tcPr>
          <w:p w14:paraId="000010C4" w14:textId="77777777" w:rsidR="0062357D" w:rsidRDefault="007E79DA">
            <w:r>
              <w:rPr>
                <w:sz w:val="19"/>
                <w:szCs w:val="19"/>
              </w:rPr>
              <w:t>MCI</w:t>
            </w:r>
          </w:p>
        </w:tc>
        <w:tc>
          <w:tcPr>
            <w:tcW w:w="2500" w:type="dxa"/>
            <w:tcMar>
              <w:top w:w="80" w:type="dxa"/>
              <w:left w:w="100" w:type="dxa"/>
              <w:bottom w:w="80" w:type="dxa"/>
              <w:right w:w="100" w:type="dxa"/>
            </w:tcMar>
          </w:tcPr>
          <w:p w14:paraId="000010C5" w14:textId="77777777" w:rsidR="0062357D" w:rsidRDefault="007E79DA">
            <w:r>
              <w:rPr>
                <w:sz w:val="19"/>
                <w:szCs w:val="19"/>
              </w:rPr>
              <w:t>Model Confidence Interval</w:t>
            </w:r>
          </w:p>
        </w:tc>
        <w:tc>
          <w:tcPr>
            <w:tcW w:w="3200" w:type="dxa"/>
            <w:tcMar>
              <w:top w:w="80" w:type="dxa"/>
              <w:left w:w="100" w:type="dxa"/>
              <w:bottom w:w="80" w:type="dxa"/>
              <w:right w:w="100" w:type="dxa"/>
            </w:tcMar>
          </w:tcPr>
          <w:p w14:paraId="000010C6" w14:textId="77777777" w:rsidR="0062357D" w:rsidRDefault="007E79DA">
            <w:r>
              <w:rPr>
                <w:sz w:val="19"/>
                <w:szCs w:val="19"/>
              </w:rPr>
              <w:t>Uncertainty band on any derived (D-) estimate</w:t>
            </w:r>
          </w:p>
        </w:tc>
        <w:tc>
          <w:tcPr>
            <w:tcW w:w="1300" w:type="dxa"/>
            <w:tcMar>
              <w:top w:w="80" w:type="dxa"/>
              <w:left w:w="100" w:type="dxa"/>
              <w:bottom w:w="80" w:type="dxa"/>
              <w:right w:w="100" w:type="dxa"/>
            </w:tcMar>
          </w:tcPr>
          <w:p w14:paraId="000010C7" w14:textId="77777777" w:rsidR="0062357D" w:rsidRDefault="007E79DA">
            <w:r>
              <w:rPr>
                <w:sz w:val="19"/>
                <w:szCs w:val="19"/>
              </w:rPr>
              <w:t>± unit of metric</w:t>
            </w:r>
          </w:p>
        </w:tc>
        <w:tc>
          <w:tcPr>
            <w:tcW w:w="1600" w:type="dxa"/>
            <w:tcMar>
              <w:top w:w="80" w:type="dxa"/>
              <w:left w:w="100" w:type="dxa"/>
              <w:bottom w:w="80" w:type="dxa"/>
              <w:right w:w="100" w:type="dxa"/>
            </w:tcMar>
          </w:tcPr>
          <w:p w14:paraId="000010C8" w14:textId="77777777" w:rsidR="0062357D" w:rsidRDefault="007E79DA">
            <w:r>
              <w:rPr>
                <w:sz w:val="19"/>
                <w:szCs w:val="19"/>
              </w:rPr>
              <w:t>All D- fields</w:t>
            </w:r>
          </w:p>
        </w:tc>
      </w:tr>
      <w:tr w:rsidR="0062357D" w14:paraId="2918922A" w14:textId="77777777">
        <w:tc>
          <w:tcPr>
            <w:tcW w:w="1000" w:type="dxa"/>
            <w:tcMar>
              <w:top w:w="80" w:type="dxa"/>
              <w:left w:w="100" w:type="dxa"/>
              <w:bottom w:w="80" w:type="dxa"/>
              <w:right w:w="100" w:type="dxa"/>
            </w:tcMar>
          </w:tcPr>
          <w:p w14:paraId="000010C9" w14:textId="77777777" w:rsidR="0062357D" w:rsidRDefault="007E79DA">
            <w:r>
              <w:rPr>
                <w:sz w:val="19"/>
                <w:szCs w:val="19"/>
              </w:rPr>
              <w:t>FVI</w:t>
            </w:r>
          </w:p>
        </w:tc>
        <w:tc>
          <w:tcPr>
            <w:tcW w:w="2500" w:type="dxa"/>
            <w:tcMar>
              <w:top w:w="80" w:type="dxa"/>
              <w:left w:w="100" w:type="dxa"/>
              <w:bottom w:w="80" w:type="dxa"/>
              <w:right w:w="100" w:type="dxa"/>
            </w:tcMar>
          </w:tcPr>
          <w:p w14:paraId="000010CA" w14:textId="77777777" w:rsidR="0062357D" w:rsidRDefault="007E79DA">
            <w:r>
              <w:rPr>
                <w:sz w:val="19"/>
                <w:szCs w:val="19"/>
              </w:rPr>
              <w:t>Feature Vector ID</w:t>
            </w:r>
          </w:p>
        </w:tc>
        <w:tc>
          <w:tcPr>
            <w:tcW w:w="3200" w:type="dxa"/>
            <w:tcMar>
              <w:top w:w="80" w:type="dxa"/>
              <w:left w:w="100" w:type="dxa"/>
              <w:bottom w:w="80" w:type="dxa"/>
              <w:right w:w="100" w:type="dxa"/>
            </w:tcMar>
          </w:tcPr>
          <w:p w14:paraId="000010CB" w14:textId="77777777" w:rsidR="0062357D" w:rsidRDefault="007E79DA">
            <w:r>
              <w:rPr>
                <w:sz w:val="19"/>
                <w:szCs w:val="19"/>
              </w:rPr>
              <w:t>Identifier for the ML feature set used to generate a derived record</w:t>
            </w:r>
          </w:p>
        </w:tc>
        <w:tc>
          <w:tcPr>
            <w:tcW w:w="1300" w:type="dxa"/>
            <w:tcMar>
              <w:top w:w="80" w:type="dxa"/>
              <w:left w:w="100" w:type="dxa"/>
              <w:bottom w:w="80" w:type="dxa"/>
              <w:right w:w="100" w:type="dxa"/>
            </w:tcMar>
          </w:tcPr>
          <w:p w14:paraId="000010CC" w14:textId="77777777" w:rsidR="0062357D" w:rsidRDefault="007E79DA">
            <w:r>
              <w:rPr>
                <w:sz w:val="19"/>
                <w:szCs w:val="19"/>
              </w:rPr>
              <w:t>ID string</w:t>
            </w:r>
          </w:p>
        </w:tc>
        <w:tc>
          <w:tcPr>
            <w:tcW w:w="1600" w:type="dxa"/>
            <w:tcMar>
              <w:top w:w="80" w:type="dxa"/>
              <w:left w:w="100" w:type="dxa"/>
              <w:bottom w:w="80" w:type="dxa"/>
              <w:right w:w="100" w:type="dxa"/>
            </w:tcMar>
          </w:tcPr>
          <w:p w14:paraId="000010CD" w14:textId="77777777" w:rsidR="0062357D" w:rsidRDefault="007E79DA">
            <w:r>
              <w:rPr>
                <w:sz w:val="19"/>
                <w:szCs w:val="19"/>
              </w:rPr>
              <w:t>All raw fields</w:t>
            </w:r>
          </w:p>
        </w:tc>
      </w:tr>
      <w:tr w:rsidR="0062357D" w14:paraId="2EAC2BF4" w14:textId="77777777">
        <w:tc>
          <w:tcPr>
            <w:tcW w:w="1000" w:type="dxa"/>
            <w:tcMar>
              <w:top w:w="80" w:type="dxa"/>
              <w:left w:w="100" w:type="dxa"/>
              <w:bottom w:w="80" w:type="dxa"/>
              <w:right w:w="100" w:type="dxa"/>
            </w:tcMar>
          </w:tcPr>
          <w:p w14:paraId="000010CE" w14:textId="77777777" w:rsidR="0062357D" w:rsidRDefault="007E79DA">
            <w:r>
              <w:rPr>
                <w:sz w:val="19"/>
                <w:szCs w:val="19"/>
              </w:rPr>
              <w:t>D-ESM</w:t>
            </w:r>
          </w:p>
        </w:tc>
        <w:tc>
          <w:tcPr>
            <w:tcW w:w="2500" w:type="dxa"/>
            <w:tcMar>
              <w:top w:w="80" w:type="dxa"/>
              <w:left w:w="100" w:type="dxa"/>
              <w:bottom w:w="80" w:type="dxa"/>
              <w:right w:w="100" w:type="dxa"/>
            </w:tcMar>
          </w:tcPr>
          <w:p w14:paraId="000010CF" w14:textId="77777777" w:rsidR="0062357D" w:rsidRDefault="007E79DA">
            <w:r>
              <w:rPr>
                <w:sz w:val="19"/>
                <w:szCs w:val="19"/>
              </w:rPr>
              <w:t>Net Carbon Accounting Adjustment</w:t>
            </w:r>
          </w:p>
        </w:tc>
        <w:tc>
          <w:tcPr>
            <w:tcW w:w="3200" w:type="dxa"/>
            <w:tcMar>
              <w:top w:w="80" w:type="dxa"/>
              <w:left w:w="100" w:type="dxa"/>
              <w:bottom w:w="80" w:type="dxa"/>
              <w:right w:w="100" w:type="dxa"/>
            </w:tcMar>
          </w:tcPr>
          <w:p w14:paraId="000010D0" w14:textId="77777777" w:rsidR="0062357D" w:rsidRDefault="007E79DA">
            <w:r>
              <w:rPr>
                <w:sz w:val="19"/>
                <w:szCs w:val="19"/>
              </w:rPr>
              <w:t>Adjusts captured-mass credit based on energy source mix</w:t>
            </w:r>
          </w:p>
        </w:tc>
        <w:tc>
          <w:tcPr>
            <w:tcW w:w="1300" w:type="dxa"/>
            <w:tcMar>
              <w:top w:w="80" w:type="dxa"/>
              <w:left w:w="100" w:type="dxa"/>
              <w:bottom w:w="80" w:type="dxa"/>
              <w:right w:w="100" w:type="dxa"/>
            </w:tcMar>
          </w:tcPr>
          <w:p w14:paraId="000010D1" w14:textId="77777777" w:rsidR="0062357D" w:rsidRDefault="007E79DA">
            <w:r>
              <w:rPr>
                <w:sz w:val="19"/>
                <w:szCs w:val="19"/>
              </w:rPr>
              <w:t>kg CO2-eq</w:t>
            </w:r>
          </w:p>
        </w:tc>
        <w:tc>
          <w:tcPr>
            <w:tcW w:w="1600" w:type="dxa"/>
            <w:tcMar>
              <w:top w:w="80" w:type="dxa"/>
              <w:left w:w="100" w:type="dxa"/>
              <w:bottom w:w="80" w:type="dxa"/>
              <w:right w:w="100" w:type="dxa"/>
            </w:tcMar>
          </w:tcPr>
          <w:p w14:paraId="000010D2" w14:textId="77777777" w:rsidR="0062357D" w:rsidRDefault="007E79DA">
            <w:r>
              <w:rPr>
                <w:sz w:val="19"/>
                <w:szCs w:val="19"/>
              </w:rPr>
              <w:t>ESM, CCM</w:t>
            </w:r>
          </w:p>
        </w:tc>
      </w:tr>
    </w:tbl>
    <w:p w14:paraId="000010D3" w14:textId="77777777" w:rsidR="0062357D" w:rsidRDefault="0062357D">
      <w:pPr>
        <w:spacing w:after="140"/>
      </w:pPr>
    </w:p>
    <w:p w14:paraId="000010D4" w14:textId="77777777" w:rsidR="0062357D" w:rsidRDefault="007E79DA">
      <w:pPr>
        <w:pStyle w:val="Heading2"/>
        <w:spacing w:before="280" w:after="120"/>
      </w:pPr>
      <w:r>
        <w:rPr>
          <w:b/>
          <w:bCs/>
          <w:color w:val="1E7A4C"/>
          <w:sz w:val="24"/>
          <w:szCs w:val="24"/>
        </w:rPr>
        <w:t>20.7 Spec Integration Notes</w:t>
      </w:r>
    </w:p>
    <w:p w14:paraId="000010D5" w14:textId="77777777" w:rsidR="0062357D" w:rsidRDefault="007E79DA">
      <w:pPr>
        <w:numPr>
          <w:ilvl w:val="0"/>
          <w:numId w:val="1"/>
        </w:numPr>
        <w:pBdr>
          <w:top w:val="nil"/>
          <w:left w:val="nil"/>
          <w:bottom w:val="nil"/>
          <w:right w:val="nil"/>
          <w:between w:val="nil"/>
        </w:pBdr>
        <w:spacing w:after="60"/>
      </w:pPr>
      <w:r>
        <w:rPr>
          <w:color w:val="000000"/>
          <w:sz w:val="21"/>
          <w:szCs w:val="21"/>
        </w:rPr>
        <w:t>Raw fields (§20.2–§20.5) should be the ones actually reported by Provider hardware/telemetry feeds; derived fields (§20.6) are computed by Stardust's own pipeline and should be clearly separated in schema/storage so credit-grade audits can distinguish measured vs. modeled data.</w:t>
      </w:r>
    </w:p>
    <w:p w14:paraId="000010D6" w14:textId="77777777" w:rsidR="0062357D" w:rsidRDefault="007E79DA">
      <w:pPr>
        <w:numPr>
          <w:ilvl w:val="0"/>
          <w:numId w:val="1"/>
        </w:numPr>
        <w:pBdr>
          <w:top w:val="nil"/>
          <w:left w:val="nil"/>
          <w:bottom w:val="nil"/>
          <w:right w:val="nil"/>
          <w:between w:val="nil"/>
        </w:pBdr>
        <w:spacing w:after="60"/>
      </w:pPr>
      <w:r>
        <w:rPr>
          <w:color w:val="000000"/>
          <w:sz w:val="21"/>
          <w:szCs w:val="21"/>
        </w:rPr>
        <w:t xml:space="preserve">A </w:t>
      </w:r>
      <w:proofErr w:type="spellStart"/>
      <w:r>
        <w:rPr>
          <w:color w:val="000000"/>
          <w:sz w:val="21"/>
          <w:szCs w:val="21"/>
        </w:rPr>
        <w:t>tech_type</w:t>
      </w:r>
      <w:proofErr w:type="spellEnd"/>
      <w:r>
        <w:rPr>
          <w:color w:val="000000"/>
          <w:sz w:val="21"/>
          <w:szCs w:val="21"/>
        </w:rPr>
        <w:t xml:space="preserve"> column (DAC/PSC/NBC/OBC) should be present on every raw record so downstream ML jobs can condition models per capture method rather than pooling incompatible data.</w:t>
      </w:r>
    </w:p>
    <w:p w14:paraId="000010D7" w14:textId="77777777" w:rsidR="0062357D" w:rsidRDefault="007E79DA">
      <w:pPr>
        <w:numPr>
          <w:ilvl w:val="0"/>
          <w:numId w:val="1"/>
        </w:numPr>
        <w:pBdr>
          <w:top w:val="nil"/>
          <w:left w:val="nil"/>
          <w:bottom w:val="nil"/>
          <w:right w:val="nil"/>
          <w:between w:val="nil"/>
        </w:pBdr>
        <w:spacing w:after="60"/>
      </w:pPr>
      <w:r>
        <w:rPr>
          <w:color w:val="000000"/>
          <w:sz w:val="21"/>
          <w:szCs w:val="21"/>
        </w:rPr>
        <w:t>NBC (nature-based) and OBC (ocean-based) fields will likely need their own supplemental sub-spec later, since most of this section assumes continuous mechanical/chemical telemetry rather than biological sampling or oceanographic modeling.</w:t>
      </w:r>
    </w:p>
    <w:p w14:paraId="7A000007" w14:textId="77777777" w:rsidR="0062357D" w:rsidRDefault="007E79DA">
      <w:pPr>
        <w:pStyle w:val="Heading1"/>
        <w:spacing w:before="360" w:after="160"/>
      </w:pPr>
      <w:r>
        <w:rPr>
          <w:b/>
          <w:bCs/>
          <w:color w:val="0F4A2E"/>
          <w:sz w:val="30"/>
          <w:szCs w:val="30"/>
        </w:rPr>
        <w:t>21. Right-Sizing and Efficiency Measurement and Scoring</w:t>
      </w:r>
    </w:p>
    <w:p w14:paraId="7A000008" w14:textId="77777777" w:rsidR="0062357D" w:rsidRDefault="007E79DA">
      <w:pPr>
        <w:spacing w:after="140"/>
      </w:pPr>
      <w:r>
        <w:rPr>
          <w:sz w:val="21"/>
          <w:szCs w:val="21"/>
        </w:rPr>
        <w:t>Because Stardust observes every AI call together with its model, tokens, cost, energy and timing, the telemetry stack can determine whether each workload runs on the right-sized model and infrastructure, and how much useful output each dollar, kilowatt-hour and kilogram of CO2e produces. This section specifies the signal fields, derived scores, scoring method and recommendations. Field codes follow the convention in §20: no prefix denotes raw telemetry, and a “D-” prefix denotes a derived or ML-generated fi</w:t>
      </w:r>
      <w:r>
        <w:rPr>
          <w:sz w:val="21"/>
          <w:szCs w:val="21"/>
        </w:rPr>
        <w:t>eld.</w:t>
      </w:r>
    </w:p>
    <w:p w14:paraId="7A000009" w14:textId="77777777" w:rsidR="0062357D" w:rsidRDefault="007E79DA">
      <w:pPr>
        <w:pStyle w:val="Heading2"/>
        <w:spacing w:before="280" w:after="120"/>
      </w:pPr>
      <w:r>
        <w:rPr>
          <w:b/>
          <w:bCs/>
          <w:color w:val="1E7A4C"/>
          <w:sz w:val="24"/>
          <w:szCs w:val="24"/>
        </w:rPr>
        <w:t>21.1 Purpose: Reduce First, Offset Second</w:t>
      </w:r>
    </w:p>
    <w:p w14:paraId="7A00000A" w14:textId="77777777" w:rsidR="0062357D" w:rsidRDefault="007E79DA">
      <w:pPr>
        <w:spacing w:after="140"/>
      </w:pPr>
      <w:r>
        <w:rPr>
          <w:sz w:val="21"/>
          <w:szCs w:val="21"/>
        </w:rPr>
        <w:t>Right-sizing cuts cost and emissions at the source; the carbon marketplace (§10, Figure 3) then offsets only the residual. This gives Subscribers a reduce-first, offset-second position that is more credible for ESG and CSRD-style disclosure than offsetting alone, and it makes Stardust a cost-saving tool for Subscribers rather than only a reporting tool.</w:t>
      </w:r>
    </w:p>
    <w:p w14:paraId="7A00000B" w14:textId="77777777" w:rsidR="0062357D" w:rsidRDefault="007E79DA">
      <w:pPr>
        <w:keepNext/>
        <w:spacing w:before="120" w:after="60"/>
        <w:jc w:val="center"/>
      </w:pPr>
      <w:r>
        <w:rPr>
          <w:noProof/>
        </w:rPr>
        <w:drawing>
          <wp:inline distT="0" distB="0" distL="0" distR="0" wp14:anchorId="20AE3FD1" wp14:editId="57D2F80F">
            <wp:extent cx="5852160" cy="2498036"/>
            <wp:effectExtent l="0" t="0" r="0" b="0"/>
            <wp:docPr id="4" name="Figure 4" descr="Right-sizing signals rolling up into scores an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12"/>
                    <a:stretch>
                      <a:fillRect/>
                    </a:stretch>
                  </pic:blipFill>
                  <pic:spPr>
                    <a:xfrm>
                      <a:off x="0" y="0"/>
                      <a:ext cx="5852160" cy="2498036"/>
                    </a:xfrm>
                    <a:prstGeom prst="rect">
                      <a:avLst/>
                    </a:prstGeom>
                  </pic:spPr>
                </pic:pic>
              </a:graphicData>
            </a:graphic>
          </wp:inline>
        </w:drawing>
      </w:r>
    </w:p>
    <w:p w14:paraId="7A00000C" w14:textId="77777777" w:rsidR="0062357D" w:rsidRDefault="007E79DA">
      <w:pPr>
        <w:spacing w:after="200"/>
        <w:jc w:val="center"/>
      </w:pPr>
      <w:r>
        <w:rPr>
          <w:i/>
          <w:iCs/>
          <w:color w:val="555555"/>
          <w:sz w:val="18"/>
          <w:szCs w:val="18"/>
        </w:rPr>
        <w:t>Figure 4. Right-sizing and efficiency scoring: four signal families (model fit, token efficiency, utilization, carbon timing) roll up into a Right-Size Score and Efficiency Index, which drive recommendations.</w:t>
      </w:r>
    </w:p>
    <w:p w14:paraId="7A00000D" w14:textId="77777777" w:rsidR="0062357D" w:rsidRDefault="007E79DA">
      <w:pPr>
        <w:pStyle w:val="Heading2"/>
        <w:spacing w:before="280" w:after="120"/>
      </w:pPr>
      <w:r>
        <w:rPr>
          <w:b/>
          <w:bCs/>
          <w:color w:val="1E7A4C"/>
          <w:sz w:val="24"/>
          <w:szCs w:val="24"/>
        </w:rPr>
        <w:t>21.2 Right-Sizing Signal Fields (Raw)</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1E1EE930" w14:textId="77777777">
        <w:trPr>
          <w:tblHeader/>
        </w:trPr>
        <w:tc>
          <w:tcPr>
            <w:tcW w:w="960" w:type="dxa"/>
            <w:shd w:val="clear" w:color="auto" w:fill="1E7A4C"/>
            <w:tcMar>
              <w:top w:w="80" w:type="dxa"/>
              <w:left w:w="100" w:type="dxa"/>
              <w:bottom w:w="80" w:type="dxa"/>
              <w:right w:w="100" w:type="dxa"/>
            </w:tcMar>
          </w:tcPr>
          <w:p w14:paraId="7A00000E"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7A00000F"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7A000010"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7A000011"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7A000012"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7A000013" w14:textId="77777777" w:rsidR="0062357D" w:rsidRDefault="007E79DA">
            <w:r>
              <w:rPr>
                <w:b/>
                <w:bCs/>
                <w:color w:val="FFFFFF"/>
                <w:sz w:val="19"/>
                <w:szCs w:val="19"/>
              </w:rPr>
              <w:t>Applies To</w:t>
            </w:r>
          </w:p>
        </w:tc>
      </w:tr>
      <w:tr w:rsidR="0062357D" w14:paraId="22E49D19" w14:textId="77777777">
        <w:trPr>
          <w:cantSplit/>
        </w:trPr>
        <w:tc>
          <w:tcPr>
            <w:tcW w:w="960" w:type="dxa"/>
            <w:tcMar>
              <w:top w:w="80" w:type="dxa"/>
              <w:left w:w="100" w:type="dxa"/>
              <w:bottom w:w="80" w:type="dxa"/>
              <w:right w:w="100" w:type="dxa"/>
            </w:tcMar>
          </w:tcPr>
          <w:p w14:paraId="7A000014" w14:textId="77777777" w:rsidR="0062357D" w:rsidRDefault="007E79DA">
            <w:r>
              <w:rPr>
                <w:sz w:val="19"/>
                <w:szCs w:val="19"/>
              </w:rPr>
              <w:t>MTR</w:t>
            </w:r>
          </w:p>
        </w:tc>
        <w:tc>
          <w:tcPr>
            <w:tcW w:w="2240" w:type="dxa"/>
            <w:tcMar>
              <w:top w:w="80" w:type="dxa"/>
              <w:left w:w="100" w:type="dxa"/>
              <w:bottom w:w="80" w:type="dxa"/>
              <w:right w:w="100" w:type="dxa"/>
            </w:tcMar>
          </w:tcPr>
          <w:p w14:paraId="7A000015" w14:textId="77777777" w:rsidR="0062357D" w:rsidRDefault="007E79DA">
            <w:r>
              <w:rPr>
                <w:sz w:val="19"/>
                <w:szCs w:val="19"/>
              </w:rPr>
              <w:t>Model Tier</w:t>
            </w:r>
          </w:p>
        </w:tc>
        <w:tc>
          <w:tcPr>
            <w:tcW w:w="2720" w:type="dxa"/>
            <w:tcMar>
              <w:top w:w="80" w:type="dxa"/>
              <w:left w:w="100" w:type="dxa"/>
              <w:bottom w:w="80" w:type="dxa"/>
              <w:right w:w="100" w:type="dxa"/>
            </w:tcMar>
          </w:tcPr>
          <w:p w14:paraId="7A000016" w14:textId="77777777" w:rsidR="0062357D" w:rsidRDefault="007E79DA">
            <w:r>
              <w:rPr>
                <w:sz w:val="19"/>
                <w:szCs w:val="19"/>
              </w:rPr>
              <w:t>Tier of the model serving the call (frontier, mid, small), from the provider/model lookup in §9.4</w:t>
            </w:r>
          </w:p>
        </w:tc>
        <w:tc>
          <w:tcPr>
            <w:tcW w:w="1280" w:type="dxa"/>
            <w:tcMar>
              <w:top w:w="80" w:type="dxa"/>
              <w:left w:w="100" w:type="dxa"/>
              <w:bottom w:w="80" w:type="dxa"/>
              <w:right w:w="100" w:type="dxa"/>
            </w:tcMar>
          </w:tcPr>
          <w:p w14:paraId="7A000017"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7A000018" w14:textId="77777777" w:rsidR="0062357D" w:rsidRDefault="007E79DA">
            <w:r>
              <w:rPr>
                <w:sz w:val="19"/>
                <w:szCs w:val="19"/>
              </w:rPr>
              <w:t>Per call</w:t>
            </w:r>
          </w:p>
        </w:tc>
        <w:tc>
          <w:tcPr>
            <w:tcW w:w="1120" w:type="dxa"/>
            <w:tcMar>
              <w:top w:w="80" w:type="dxa"/>
              <w:left w:w="100" w:type="dxa"/>
              <w:bottom w:w="80" w:type="dxa"/>
              <w:right w:w="100" w:type="dxa"/>
            </w:tcMar>
          </w:tcPr>
          <w:p w14:paraId="7A000019" w14:textId="77777777" w:rsidR="0062357D" w:rsidRDefault="007E79DA">
            <w:r>
              <w:rPr>
                <w:sz w:val="19"/>
                <w:szCs w:val="19"/>
              </w:rPr>
              <w:t>All</w:t>
            </w:r>
          </w:p>
        </w:tc>
      </w:tr>
      <w:tr w:rsidR="0062357D" w14:paraId="376B8693" w14:textId="77777777">
        <w:trPr>
          <w:cantSplit/>
        </w:trPr>
        <w:tc>
          <w:tcPr>
            <w:tcW w:w="960" w:type="dxa"/>
            <w:tcMar>
              <w:top w:w="80" w:type="dxa"/>
              <w:left w:w="100" w:type="dxa"/>
              <w:bottom w:w="80" w:type="dxa"/>
              <w:right w:w="100" w:type="dxa"/>
            </w:tcMar>
          </w:tcPr>
          <w:p w14:paraId="7A00001A" w14:textId="77777777" w:rsidR="0062357D" w:rsidRDefault="007E79DA">
            <w:r>
              <w:rPr>
                <w:sz w:val="19"/>
                <w:szCs w:val="19"/>
              </w:rPr>
              <w:t>MFP</w:t>
            </w:r>
          </w:p>
        </w:tc>
        <w:tc>
          <w:tcPr>
            <w:tcW w:w="2240" w:type="dxa"/>
            <w:tcMar>
              <w:top w:w="80" w:type="dxa"/>
              <w:left w:w="100" w:type="dxa"/>
              <w:bottom w:w="80" w:type="dxa"/>
              <w:right w:w="100" w:type="dxa"/>
            </w:tcMar>
          </w:tcPr>
          <w:p w14:paraId="7A00001B" w14:textId="77777777" w:rsidR="0062357D" w:rsidRDefault="007E79DA">
            <w:r>
              <w:rPr>
                <w:sz w:val="19"/>
                <w:szCs w:val="19"/>
              </w:rPr>
              <w:t>Model Fit Parity</w:t>
            </w:r>
          </w:p>
        </w:tc>
        <w:tc>
          <w:tcPr>
            <w:tcW w:w="2720" w:type="dxa"/>
            <w:tcMar>
              <w:top w:w="80" w:type="dxa"/>
              <w:left w:w="100" w:type="dxa"/>
              <w:bottom w:w="80" w:type="dxa"/>
              <w:right w:w="100" w:type="dxa"/>
            </w:tcMar>
          </w:tcPr>
          <w:p w14:paraId="7A00001C" w14:textId="77777777" w:rsidR="0062357D" w:rsidRDefault="007E79DA">
            <w:r>
              <w:rPr>
                <w:sz w:val="19"/>
                <w:szCs w:val="19"/>
              </w:rPr>
              <w:t>Output-quality parity when a sampled prompt is re-run on a smaller or cheaper model tier, vs. the production model</w:t>
            </w:r>
          </w:p>
        </w:tc>
        <w:tc>
          <w:tcPr>
            <w:tcW w:w="1280" w:type="dxa"/>
            <w:tcMar>
              <w:top w:w="80" w:type="dxa"/>
              <w:left w:w="100" w:type="dxa"/>
              <w:bottom w:w="80" w:type="dxa"/>
              <w:right w:w="100" w:type="dxa"/>
            </w:tcMar>
          </w:tcPr>
          <w:p w14:paraId="7A00001D" w14:textId="77777777" w:rsidR="0062357D" w:rsidRDefault="007E79DA">
            <w:r>
              <w:rPr>
                <w:sz w:val="19"/>
                <w:szCs w:val="19"/>
              </w:rPr>
              <w:t>ratio 0–1</w:t>
            </w:r>
          </w:p>
        </w:tc>
        <w:tc>
          <w:tcPr>
            <w:tcW w:w="1280" w:type="dxa"/>
            <w:tcMar>
              <w:top w:w="80" w:type="dxa"/>
              <w:left w:w="100" w:type="dxa"/>
              <w:bottom w:w="80" w:type="dxa"/>
              <w:right w:w="100" w:type="dxa"/>
            </w:tcMar>
          </w:tcPr>
          <w:p w14:paraId="7A00001E" w14:textId="77777777" w:rsidR="0062357D" w:rsidRDefault="007E79DA">
            <w:r>
              <w:rPr>
                <w:sz w:val="19"/>
                <w:szCs w:val="19"/>
              </w:rPr>
              <w:t>Daily (sampled)</w:t>
            </w:r>
          </w:p>
        </w:tc>
        <w:tc>
          <w:tcPr>
            <w:tcW w:w="1120" w:type="dxa"/>
            <w:tcMar>
              <w:top w:w="80" w:type="dxa"/>
              <w:left w:w="100" w:type="dxa"/>
              <w:bottom w:w="80" w:type="dxa"/>
              <w:right w:w="100" w:type="dxa"/>
            </w:tcMar>
          </w:tcPr>
          <w:p w14:paraId="7A00001F" w14:textId="77777777" w:rsidR="0062357D" w:rsidRDefault="007E79DA">
            <w:r>
              <w:rPr>
                <w:sz w:val="19"/>
                <w:szCs w:val="19"/>
              </w:rPr>
              <w:t>Chat, Infra</w:t>
            </w:r>
          </w:p>
        </w:tc>
      </w:tr>
      <w:tr w:rsidR="0062357D" w14:paraId="33167B9C" w14:textId="77777777">
        <w:trPr>
          <w:cantSplit/>
        </w:trPr>
        <w:tc>
          <w:tcPr>
            <w:tcW w:w="960" w:type="dxa"/>
            <w:tcMar>
              <w:top w:w="80" w:type="dxa"/>
              <w:left w:w="100" w:type="dxa"/>
              <w:bottom w:w="80" w:type="dxa"/>
              <w:right w:w="100" w:type="dxa"/>
            </w:tcMar>
          </w:tcPr>
          <w:p w14:paraId="7A000020" w14:textId="77777777" w:rsidR="0062357D" w:rsidRDefault="007E79DA">
            <w:r>
              <w:rPr>
                <w:sz w:val="19"/>
                <w:szCs w:val="19"/>
              </w:rPr>
              <w:t>TIO</w:t>
            </w:r>
          </w:p>
        </w:tc>
        <w:tc>
          <w:tcPr>
            <w:tcW w:w="2240" w:type="dxa"/>
            <w:tcMar>
              <w:top w:w="80" w:type="dxa"/>
              <w:left w:w="100" w:type="dxa"/>
              <w:bottom w:w="80" w:type="dxa"/>
              <w:right w:w="100" w:type="dxa"/>
            </w:tcMar>
          </w:tcPr>
          <w:p w14:paraId="7A000021" w14:textId="77777777" w:rsidR="0062357D" w:rsidRDefault="007E79DA">
            <w:r>
              <w:rPr>
                <w:sz w:val="19"/>
                <w:szCs w:val="19"/>
              </w:rPr>
              <w:t>Token In/Out Ratio</w:t>
            </w:r>
          </w:p>
        </w:tc>
        <w:tc>
          <w:tcPr>
            <w:tcW w:w="2720" w:type="dxa"/>
            <w:tcMar>
              <w:top w:w="80" w:type="dxa"/>
              <w:left w:w="100" w:type="dxa"/>
              <w:bottom w:w="80" w:type="dxa"/>
              <w:right w:w="100" w:type="dxa"/>
            </w:tcMar>
          </w:tcPr>
          <w:p w14:paraId="7A000022" w14:textId="77777777" w:rsidR="0062357D" w:rsidRDefault="007E79DA">
            <w:r>
              <w:rPr>
                <w:sz w:val="19"/>
                <w:szCs w:val="19"/>
              </w:rPr>
              <w:t>Input tokens divided by output tokens</w:t>
            </w:r>
          </w:p>
        </w:tc>
        <w:tc>
          <w:tcPr>
            <w:tcW w:w="1280" w:type="dxa"/>
            <w:tcMar>
              <w:top w:w="80" w:type="dxa"/>
              <w:left w:w="100" w:type="dxa"/>
              <w:bottom w:w="80" w:type="dxa"/>
              <w:right w:w="100" w:type="dxa"/>
            </w:tcMar>
          </w:tcPr>
          <w:p w14:paraId="7A000023" w14:textId="77777777" w:rsidR="0062357D" w:rsidRDefault="007E79DA">
            <w:r>
              <w:rPr>
                <w:sz w:val="19"/>
                <w:szCs w:val="19"/>
              </w:rPr>
              <w:t>ratio</w:t>
            </w:r>
          </w:p>
        </w:tc>
        <w:tc>
          <w:tcPr>
            <w:tcW w:w="1280" w:type="dxa"/>
            <w:tcMar>
              <w:top w:w="80" w:type="dxa"/>
              <w:left w:w="100" w:type="dxa"/>
              <w:bottom w:w="80" w:type="dxa"/>
              <w:right w:w="100" w:type="dxa"/>
            </w:tcMar>
          </w:tcPr>
          <w:p w14:paraId="7A000024" w14:textId="77777777" w:rsidR="0062357D" w:rsidRDefault="007E79DA">
            <w:r>
              <w:rPr>
                <w:sz w:val="19"/>
                <w:szCs w:val="19"/>
              </w:rPr>
              <w:t>Per call</w:t>
            </w:r>
          </w:p>
        </w:tc>
        <w:tc>
          <w:tcPr>
            <w:tcW w:w="1120" w:type="dxa"/>
            <w:tcMar>
              <w:top w:w="80" w:type="dxa"/>
              <w:left w:w="100" w:type="dxa"/>
              <w:bottom w:w="80" w:type="dxa"/>
              <w:right w:w="100" w:type="dxa"/>
            </w:tcMar>
          </w:tcPr>
          <w:p w14:paraId="7A000025" w14:textId="77777777" w:rsidR="0062357D" w:rsidRDefault="007E79DA">
            <w:r>
              <w:rPr>
                <w:sz w:val="19"/>
                <w:szCs w:val="19"/>
              </w:rPr>
              <w:t>All</w:t>
            </w:r>
          </w:p>
        </w:tc>
      </w:tr>
      <w:tr w:rsidR="0062357D" w14:paraId="0090F115" w14:textId="77777777">
        <w:trPr>
          <w:cantSplit/>
        </w:trPr>
        <w:tc>
          <w:tcPr>
            <w:tcW w:w="960" w:type="dxa"/>
            <w:tcMar>
              <w:top w:w="80" w:type="dxa"/>
              <w:left w:w="100" w:type="dxa"/>
              <w:bottom w:w="80" w:type="dxa"/>
              <w:right w:w="100" w:type="dxa"/>
            </w:tcMar>
          </w:tcPr>
          <w:p w14:paraId="7A000026" w14:textId="77777777" w:rsidR="0062357D" w:rsidRDefault="007E79DA">
            <w:r>
              <w:rPr>
                <w:sz w:val="19"/>
                <w:szCs w:val="19"/>
              </w:rPr>
              <w:t>CXB</w:t>
            </w:r>
          </w:p>
        </w:tc>
        <w:tc>
          <w:tcPr>
            <w:tcW w:w="2240" w:type="dxa"/>
            <w:tcMar>
              <w:top w:w="80" w:type="dxa"/>
              <w:left w:w="100" w:type="dxa"/>
              <w:bottom w:w="80" w:type="dxa"/>
              <w:right w:w="100" w:type="dxa"/>
            </w:tcMar>
          </w:tcPr>
          <w:p w14:paraId="7A000027" w14:textId="77777777" w:rsidR="0062357D" w:rsidRDefault="007E79DA">
            <w:r>
              <w:rPr>
                <w:sz w:val="19"/>
                <w:szCs w:val="19"/>
              </w:rPr>
              <w:t>Context Bloat</w:t>
            </w:r>
          </w:p>
        </w:tc>
        <w:tc>
          <w:tcPr>
            <w:tcW w:w="2720" w:type="dxa"/>
            <w:tcMar>
              <w:top w:w="80" w:type="dxa"/>
              <w:left w:w="100" w:type="dxa"/>
              <w:bottom w:w="80" w:type="dxa"/>
              <w:right w:w="100" w:type="dxa"/>
            </w:tcMar>
          </w:tcPr>
          <w:p w14:paraId="7A000028" w14:textId="77777777" w:rsidR="0062357D" w:rsidRDefault="007E79DA">
            <w:r>
              <w:rPr>
                <w:sz w:val="19"/>
                <w:szCs w:val="19"/>
              </w:rPr>
              <w:t>Share of input tokens that repeat unchanged system prompts or prior-turn context</w:t>
            </w:r>
          </w:p>
        </w:tc>
        <w:tc>
          <w:tcPr>
            <w:tcW w:w="1280" w:type="dxa"/>
            <w:tcMar>
              <w:top w:w="80" w:type="dxa"/>
              <w:left w:w="100" w:type="dxa"/>
              <w:bottom w:w="80" w:type="dxa"/>
              <w:right w:w="100" w:type="dxa"/>
            </w:tcMar>
          </w:tcPr>
          <w:p w14:paraId="7A000029" w14:textId="77777777" w:rsidR="0062357D" w:rsidRDefault="007E79DA">
            <w:r>
              <w:rPr>
                <w:sz w:val="19"/>
                <w:szCs w:val="19"/>
              </w:rPr>
              <w:t>%</w:t>
            </w:r>
          </w:p>
        </w:tc>
        <w:tc>
          <w:tcPr>
            <w:tcW w:w="1280" w:type="dxa"/>
            <w:tcMar>
              <w:top w:w="80" w:type="dxa"/>
              <w:left w:w="100" w:type="dxa"/>
              <w:bottom w:w="80" w:type="dxa"/>
              <w:right w:w="100" w:type="dxa"/>
            </w:tcMar>
          </w:tcPr>
          <w:p w14:paraId="7A00002A" w14:textId="77777777" w:rsidR="0062357D" w:rsidRDefault="007E79DA">
            <w:r>
              <w:rPr>
                <w:sz w:val="19"/>
                <w:szCs w:val="19"/>
              </w:rPr>
              <w:t>Per call</w:t>
            </w:r>
          </w:p>
        </w:tc>
        <w:tc>
          <w:tcPr>
            <w:tcW w:w="1120" w:type="dxa"/>
            <w:tcMar>
              <w:top w:w="80" w:type="dxa"/>
              <w:left w:w="100" w:type="dxa"/>
              <w:bottom w:w="80" w:type="dxa"/>
              <w:right w:w="100" w:type="dxa"/>
            </w:tcMar>
          </w:tcPr>
          <w:p w14:paraId="7A00002B" w14:textId="77777777" w:rsidR="0062357D" w:rsidRDefault="007E79DA">
            <w:r>
              <w:rPr>
                <w:sz w:val="19"/>
                <w:szCs w:val="19"/>
              </w:rPr>
              <w:t>All</w:t>
            </w:r>
          </w:p>
        </w:tc>
      </w:tr>
      <w:tr w:rsidR="0062357D" w14:paraId="537D6B33" w14:textId="77777777">
        <w:trPr>
          <w:cantSplit/>
        </w:trPr>
        <w:tc>
          <w:tcPr>
            <w:tcW w:w="960" w:type="dxa"/>
            <w:tcMar>
              <w:top w:w="80" w:type="dxa"/>
              <w:left w:w="100" w:type="dxa"/>
              <w:bottom w:w="80" w:type="dxa"/>
              <w:right w:w="100" w:type="dxa"/>
            </w:tcMar>
          </w:tcPr>
          <w:p w14:paraId="7A00002C" w14:textId="77777777" w:rsidR="0062357D" w:rsidRDefault="007E79DA">
            <w:r>
              <w:rPr>
                <w:sz w:val="19"/>
                <w:szCs w:val="19"/>
              </w:rPr>
              <w:t>CHR</w:t>
            </w:r>
          </w:p>
        </w:tc>
        <w:tc>
          <w:tcPr>
            <w:tcW w:w="2240" w:type="dxa"/>
            <w:tcMar>
              <w:top w:w="80" w:type="dxa"/>
              <w:left w:w="100" w:type="dxa"/>
              <w:bottom w:w="80" w:type="dxa"/>
              <w:right w:w="100" w:type="dxa"/>
            </w:tcMar>
          </w:tcPr>
          <w:p w14:paraId="7A00002D" w14:textId="77777777" w:rsidR="0062357D" w:rsidRDefault="007E79DA">
            <w:r>
              <w:rPr>
                <w:sz w:val="19"/>
                <w:szCs w:val="19"/>
              </w:rPr>
              <w:t>Cache Hit Rate</w:t>
            </w:r>
          </w:p>
        </w:tc>
        <w:tc>
          <w:tcPr>
            <w:tcW w:w="2720" w:type="dxa"/>
            <w:tcMar>
              <w:top w:w="80" w:type="dxa"/>
              <w:left w:w="100" w:type="dxa"/>
              <w:bottom w:w="80" w:type="dxa"/>
              <w:right w:w="100" w:type="dxa"/>
            </w:tcMar>
          </w:tcPr>
          <w:p w14:paraId="7A00002E" w14:textId="77777777" w:rsidR="0062357D" w:rsidRDefault="007E79DA">
            <w:r>
              <w:rPr>
                <w:sz w:val="19"/>
                <w:szCs w:val="19"/>
              </w:rPr>
              <w:t>Share of input tokens served from the provider’s prompt cache</w:t>
            </w:r>
          </w:p>
        </w:tc>
        <w:tc>
          <w:tcPr>
            <w:tcW w:w="1280" w:type="dxa"/>
            <w:tcMar>
              <w:top w:w="80" w:type="dxa"/>
              <w:left w:w="100" w:type="dxa"/>
              <w:bottom w:w="80" w:type="dxa"/>
              <w:right w:w="100" w:type="dxa"/>
            </w:tcMar>
          </w:tcPr>
          <w:p w14:paraId="7A00002F" w14:textId="77777777" w:rsidR="0062357D" w:rsidRDefault="007E79DA">
            <w:r>
              <w:rPr>
                <w:sz w:val="19"/>
                <w:szCs w:val="19"/>
              </w:rPr>
              <w:t>%</w:t>
            </w:r>
          </w:p>
        </w:tc>
        <w:tc>
          <w:tcPr>
            <w:tcW w:w="1280" w:type="dxa"/>
            <w:tcMar>
              <w:top w:w="80" w:type="dxa"/>
              <w:left w:w="100" w:type="dxa"/>
              <w:bottom w:w="80" w:type="dxa"/>
              <w:right w:w="100" w:type="dxa"/>
            </w:tcMar>
          </w:tcPr>
          <w:p w14:paraId="7A000030" w14:textId="77777777" w:rsidR="0062357D" w:rsidRDefault="007E79DA">
            <w:r>
              <w:rPr>
                <w:sz w:val="19"/>
                <w:szCs w:val="19"/>
              </w:rPr>
              <w:t>Per call / hourly</w:t>
            </w:r>
          </w:p>
        </w:tc>
        <w:tc>
          <w:tcPr>
            <w:tcW w:w="1120" w:type="dxa"/>
            <w:tcMar>
              <w:top w:w="80" w:type="dxa"/>
              <w:left w:w="100" w:type="dxa"/>
              <w:bottom w:w="80" w:type="dxa"/>
              <w:right w:w="100" w:type="dxa"/>
            </w:tcMar>
          </w:tcPr>
          <w:p w14:paraId="7A000031" w14:textId="77777777" w:rsidR="0062357D" w:rsidRDefault="007E79DA">
            <w:r>
              <w:rPr>
                <w:sz w:val="19"/>
                <w:szCs w:val="19"/>
              </w:rPr>
              <w:t>Chat, Infra</w:t>
            </w:r>
          </w:p>
        </w:tc>
      </w:tr>
      <w:tr w:rsidR="0062357D" w14:paraId="0D8662B1" w14:textId="77777777">
        <w:trPr>
          <w:cantSplit/>
        </w:trPr>
        <w:tc>
          <w:tcPr>
            <w:tcW w:w="960" w:type="dxa"/>
            <w:tcMar>
              <w:top w:w="80" w:type="dxa"/>
              <w:left w:w="100" w:type="dxa"/>
              <w:bottom w:w="80" w:type="dxa"/>
              <w:right w:w="100" w:type="dxa"/>
            </w:tcMar>
          </w:tcPr>
          <w:p w14:paraId="7A000032" w14:textId="77777777" w:rsidR="0062357D" w:rsidRDefault="007E79DA">
            <w:r>
              <w:rPr>
                <w:sz w:val="19"/>
                <w:szCs w:val="19"/>
              </w:rPr>
              <w:t>RTR</w:t>
            </w:r>
          </w:p>
        </w:tc>
        <w:tc>
          <w:tcPr>
            <w:tcW w:w="2240" w:type="dxa"/>
            <w:tcMar>
              <w:top w:w="80" w:type="dxa"/>
              <w:left w:w="100" w:type="dxa"/>
              <w:bottom w:w="80" w:type="dxa"/>
              <w:right w:w="100" w:type="dxa"/>
            </w:tcMar>
          </w:tcPr>
          <w:p w14:paraId="7A000033" w14:textId="77777777" w:rsidR="0062357D" w:rsidRDefault="007E79DA">
            <w:r>
              <w:rPr>
                <w:sz w:val="19"/>
                <w:szCs w:val="19"/>
              </w:rPr>
              <w:t>Retry Rate</w:t>
            </w:r>
          </w:p>
        </w:tc>
        <w:tc>
          <w:tcPr>
            <w:tcW w:w="2720" w:type="dxa"/>
            <w:tcMar>
              <w:top w:w="80" w:type="dxa"/>
              <w:left w:w="100" w:type="dxa"/>
              <w:bottom w:w="80" w:type="dxa"/>
              <w:right w:w="100" w:type="dxa"/>
            </w:tcMar>
          </w:tcPr>
          <w:p w14:paraId="7A000034" w14:textId="77777777" w:rsidR="0062357D" w:rsidRDefault="007E79DA">
            <w:r>
              <w:rPr>
                <w:sz w:val="19"/>
                <w:szCs w:val="19"/>
              </w:rPr>
              <w:t>Share of calls regenerated, retried, or discarded without use</w:t>
            </w:r>
          </w:p>
        </w:tc>
        <w:tc>
          <w:tcPr>
            <w:tcW w:w="1280" w:type="dxa"/>
            <w:tcMar>
              <w:top w:w="80" w:type="dxa"/>
              <w:left w:w="100" w:type="dxa"/>
              <w:bottom w:w="80" w:type="dxa"/>
              <w:right w:w="100" w:type="dxa"/>
            </w:tcMar>
          </w:tcPr>
          <w:p w14:paraId="7A000035" w14:textId="77777777" w:rsidR="0062357D" w:rsidRDefault="007E79DA">
            <w:r>
              <w:rPr>
                <w:sz w:val="19"/>
                <w:szCs w:val="19"/>
              </w:rPr>
              <w:t>%</w:t>
            </w:r>
          </w:p>
        </w:tc>
        <w:tc>
          <w:tcPr>
            <w:tcW w:w="1280" w:type="dxa"/>
            <w:tcMar>
              <w:top w:w="80" w:type="dxa"/>
              <w:left w:w="100" w:type="dxa"/>
              <w:bottom w:w="80" w:type="dxa"/>
              <w:right w:w="100" w:type="dxa"/>
            </w:tcMar>
          </w:tcPr>
          <w:p w14:paraId="7A000036" w14:textId="77777777" w:rsidR="0062357D" w:rsidRDefault="007E79DA">
            <w:r>
              <w:rPr>
                <w:sz w:val="19"/>
                <w:szCs w:val="19"/>
              </w:rPr>
              <w:t>Hourly</w:t>
            </w:r>
          </w:p>
        </w:tc>
        <w:tc>
          <w:tcPr>
            <w:tcW w:w="1120" w:type="dxa"/>
            <w:tcMar>
              <w:top w:w="80" w:type="dxa"/>
              <w:left w:w="100" w:type="dxa"/>
              <w:bottom w:w="80" w:type="dxa"/>
              <w:right w:w="100" w:type="dxa"/>
            </w:tcMar>
          </w:tcPr>
          <w:p w14:paraId="7A000037" w14:textId="77777777" w:rsidR="0062357D" w:rsidRDefault="007E79DA">
            <w:r>
              <w:rPr>
                <w:sz w:val="19"/>
                <w:szCs w:val="19"/>
              </w:rPr>
              <w:t>Chat, Browser</w:t>
            </w:r>
          </w:p>
        </w:tc>
      </w:tr>
      <w:tr w:rsidR="0062357D" w14:paraId="7784D319" w14:textId="77777777">
        <w:trPr>
          <w:cantSplit/>
        </w:trPr>
        <w:tc>
          <w:tcPr>
            <w:tcW w:w="960" w:type="dxa"/>
            <w:tcMar>
              <w:top w:w="80" w:type="dxa"/>
              <w:left w:w="100" w:type="dxa"/>
              <w:bottom w:w="80" w:type="dxa"/>
              <w:right w:w="100" w:type="dxa"/>
            </w:tcMar>
          </w:tcPr>
          <w:p w14:paraId="7A000038" w14:textId="77777777" w:rsidR="0062357D" w:rsidRDefault="007E79DA">
            <w:r>
              <w:rPr>
                <w:sz w:val="19"/>
                <w:szCs w:val="19"/>
              </w:rPr>
              <w:t>UOC</w:t>
            </w:r>
          </w:p>
        </w:tc>
        <w:tc>
          <w:tcPr>
            <w:tcW w:w="2240" w:type="dxa"/>
            <w:tcMar>
              <w:top w:w="80" w:type="dxa"/>
              <w:left w:w="100" w:type="dxa"/>
              <w:bottom w:w="80" w:type="dxa"/>
              <w:right w:w="100" w:type="dxa"/>
            </w:tcMar>
          </w:tcPr>
          <w:p w14:paraId="7A000039" w14:textId="77777777" w:rsidR="0062357D" w:rsidRDefault="007E79DA">
            <w:r>
              <w:rPr>
                <w:sz w:val="19"/>
                <w:szCs w:val="19"/>
              </w:rPr>
              <w:t>Useful Output Count</w:t>
            </w:r>
          </w:p>
        </w:tc>
        <w:tc>
          <w:tcPr>
            <w:tcW w:w="2720" w:type="dxa"/>
            <w:tcMar>
              <w:top w:w="80" w:type="dxa"/>
              <w:left w:w="100" w:type="dxa"/>
              <w:bottom w:w="80" w:type="dxa"/>
              <w:right w:w="100" w:type="dxa"/>
            </w:tcMar>
          </w:tcPr>
          <w:p w14:paraId="7A00003A" w14:textId="77777777" w:rsidR="0062357D" w:rsidRDefault="007E79DA">
            <w:r>
              <w:rPr>
                <w:sz w:val="19"/>
                <w:szCs w:val="19"/>
              </w:rPr>
              <w:t>Completed tasks or accepted responses (the denominator for efficiency)</w:t>
            </w:r>
          </w:p>
        </w:tc>
        <w:tc>
          <w:tcPr>
            <w:tcW w:w="1280" w:type="dxa"/>
            <w:tcMar>
              <w:top w:w="80" w:type="dxa"/>
              <w:left w:w="100" w:type="dxa"/>
              <w:bottom w:w="80" w:type="dxa"/>
              <w:right w:w="100" w:type="dxa"/>
            </w:tcMar>
          </w:tcPr>
          <w:p w14:paraId="7A00003B" w14:textId="77777777" w:rsidR="0062357D" w:rsidRDefault="007E79DA">
            <w:r>
              <w:rPr>
                <w:sz w:val="19"/>
                <w:szCs w:val="19"/>
              </w:rPr>
              <w:t>count</w:t>
            </w:r>
          </w:p>
        </w:tc>
        <w:tc>
          <w:tcPr>
            <w:tcW w:w="1280" w:type="dxa"/>
            <w:tcMar>
              <w:top w:w="80" w:type="dxa"/>
              <w:left w:w="100" w:type="dxa"/>
              <w:bottom w:w="80" w:type="dxa"/>
              <w:right w:w="100" w:type="dxa"/>
            </w:tcMar>
          </w:tcPr>
          <w:p w14:paraId="7A00003C" w14:textId="77777777" w:rsidR="0062357D" w:rsidRDefault="007E79DA">
            <w:r>
              <w:rPr>
                <w:sz w:val="19"/>
                <w:szCs w:val="19"/>
              </w:rPr>
              <w:t>Per session</w:t>
            </w:r>
          </w:p>
        </w:tc>
        <w:tc>
          <w:tcPr>
            <w:tcW w:w="1120" w:type="dxa"/>
            <w:tcMar>
              <w:top w:w="80" w:type="dxa"/>
              <w:left w:w="100" w:type="dxa"/>
              <w:bottom w:w="80" w:type="dxa"/>
              <w:right w:w="100" w:type="dxa"/>
            </w:tcMar>
          </w:tcPr>
          <w:p w14:paraId="7A00003D" w14:textId="77777777" w:rsidR="0062357D" w:rsidRDefault="007E79DA">
            <w:r>
              <w:rPr>
                <w:sz w:val="19"/>
                <w:szCs w:val="19"/>
              </w:rPr>
              <w:t>All</w:t>
            </w:r>
          </w:p>
        </w:tc>
      </w:tr>
      <w:tr w:rsidR="0062357D" w14:paraId="3DA36C21" w14:textId="77777777">
        <w:trPr>
          <w:cantSplit/>
        </w:trPr>
        <w:tc>
          <w:tcPr>
            <w:tcW w:w="960" w:type="dxa"/>
            <w:tcMar>
              <w:top w:w="80" w:type="dxa"/>
              <w:left w:w="100" w:type="dxa"/>
              <w:bottom w:w="80" w:type="dxa"/>
              <w:right w:w="100" w:type="dxa"/>
            </w:tcMar>
          </w:tcPr>
          <w:p w14:paraId="7A00003E" w14:textId="77777777" w:rsidR="0062357D" w:rsidRDefault="007E79DA">
            <w:r>
              <w:rPr>
                <w:sz w:val="19"/>
                <w:szCs w:val="19"/>
              </w:rPr>
              <w:t>GPU</w:t>
            </w:r>
          </w:p>
        </w:tc>
        <w:tc>
          <w:tcPr>
            <w:tcW w:w="2240" w:type="dxa"/>
            <w:tcMar>
              <w:top w:w="80" w:type="dxa"/>
              <w:left w:w="100" w:type="dxa"/>
              <w:bottom w:w="80" w:type="dxa"/>
              <w:right w:w="100" w:type="dxa"/>
            </w:tcMar>
          </w:tcPr>
          <w:p w14:paraId="7A00003F" w14:textId="77777777" w:rsidR="0062357D" w:rsidRDefault="007E79DA">
            <w:r>
              <w:rPr>
                <w:sz w:val="19"/>
                <w:szCs w:val="19"/>
              </w:rPr>
              <w:t>Accelerator Utilization</w:t>
            </w:r>
          </w:p>
        </w:tc>
        <w:tc>
          <w:tcPr>
            <w:tcW w:w="2720" w:type="dxa"/>
            <w:tcMar>
              <w:top w:w="80" w:type="dxa"/>
              <w:left w:w="100" w:type="dxa"/>
              <w:bottom w:w="80" w:type="dxa"/>
              <w:right w:w="100" w:type="dxa"/>
            </w:tcMar>
          </w:tcPr>
          <w:p w14:paraId="7A000040" w14:textId="77777777" w:rsidR="0062357D" w:rsidRDefault="007E79DA">
            <w:r>
              <w:rPr>
                <w:sz w:val="19"/>
                <w:szCs w:val="19"/>
              </w:rPr>
              <w:t>Mean GPU/accelerator utilization over the interval</w:t>
            </w:r>
          </w:p>
        </w:tc>
        <w:tc>
          <w:tcPr>
            <w:tcW w:w="1280" w:type="dxa"/>
            <w:tcMar>
              <w:top w:w="80" w:type="dxa"/>
              <w:left w:w="100" w:type="dxa"/>
              <w:bottom w:w="80" w:type="dxa"/>
              <w:right w:w="100" w:type="dxa"/>
            </w:tcMar>
          </w:tcPr>
          <w:p w14:paraId="7A000041" w14:textId="77777777" w:rsidR="0062357D" w:rsidRDefault="007E79DA">
            <w:r>
              <w:rPr>
                <w:sz w:val="19"/>
                <w:szCs w:val="19"/>
              </w:rPr>
              <w:t>%</w:t>
            </w:r>
          </w:p>
        </w:tc>
        <w:tc>
          <w:tcPr>
            <w:tcW w:w="1280" w:type="dxa"/>
            <w:tcMar>
              <w:top w:w="80" w:type="dxa"/>
              <w:left w:w="100" w:type="dxa"/>
              <w:bottom w:w="80" w:type="dxa"/>
              <w:right w:w="100" w:type="dxa"/>
            </w:tcMar>
          </w:tcPr>
          <w:p w14:paraId="7A000042" w14:textId="77777777" w:rsidR="0062357D" w:rsidRDefault="007E79DA">
            <w:r>
              <w:rPr>
                <w:sz w:val="19"/>
                <w:szCs w:val="19"/>
              </w:rPr>
              <w:t>1–5 min</w:t>
            </w:r>
          </w:p>
        </w:tc>
        <w:tc>
          <w:tcPr>
            <w:tcW w:w="1120" w:type="dxa"/>
            <w:tcMar>
              <w:top w:w="80" w:type="dxa"/>
              <w:left w:w="100" w:type="dxa"/>
              <w:bottom w:w="80" w:type="dxa"/>
              <w:right w:w="100" w:type="dxa"/>
            </w:tcMar>
          </w:tcPr>
          <w:p w14:paraId="7A000043" w14:textId="77777777" w:rsidR="0062357D" w:rsidRDefault="007E79DA">
            <w:r>
              <w:rPr>
                <w:sz w:val="19"/>
                <w:szCs w:val="19"/>
              </w:rPr>
              <w:t>Infra</w:t>
            </w:r>
          </w:p>
        </w:tc>
      </w:tr>
      <w:tr w:rsidR="0062357D" w14:paraId="4178062E" w14:textId="77777777">
        <w:trPr>
          <w:cantSplit/>
        </w:trPr>
        <w:tc>
          <w:tcPr>
            <w:tcW w:w="960" w:type="dxa"/>
            <w:tcMar>
              <w:top w:w="80" w:type="dxa"/>
              <w:left w:w="100" w:type="dxa"/>
              <w:bottom w:w="80" w:type="dxa"/>
              <w:right w:w="100" w:type="dxa"/>
            </w:tcMar>
          </w:tcPr>
          <w:p w14:paraId="7A000044" w14:textId="77777777" w:rsidR="0062357D" w:rsidRDefault="007E79DA">
            <w:r>
              <w:rPr>
                <w:sz w:val="19"/>
                <w:szCs w:val="19"/>
              </w:rPr>
              <w:t>IDC</w:t>
            </w:r>
          </w:p>
        </w:tc>
        <w:tc>
          <w:tcPr>
            <w:tcW w:w="2240" w:type="dxa"/>
            <w:tcMar>
              <w:top w:w="80" w:type="dxa"/>
              <w:left w:w="100" w:type="dxa"/>
              <w:bottom w:w="80" w:type="dxa"/>
              <w:right w:w="100" w:type="dxa"/>
            </w:tcMar>
          </w:tcPr>
          <w:p w14:paraId="7A000045" w14:textId="77777777" w:rsidR="0062357D" w:rsidRDefault="007E79DA">
            <w:r>
              <w:rPr>
                <w:sz w:val="19"/>
                <w:szCs w:val="19"/>
              </w:rPr>
              <w:t>Idle Provisioned Capacity</w:t>
            </w:r>
          </w:p>
        </w:tc>
        <w:tc>
          <w:tcPr>
            <w:tcW w:w="2720" w:type="dxa"/>
            <w:tcMar>
              <w:top w:w="80" w:type="dxa"/>
              <w:left w:w="100" w:type="dxa"/>
              <w:bottom w:w="80" w:type="dxa"/>
              <w:right w:w="100" w:type="dxa"/>
            </w:tcMar>
          </w:tcPr>
          <w:p w14:paraId="7A000046" w14:textId="77777777" w:rsidR="0062357D" w:rsidRDefault="007E79DA">
            <w:r>
              <w:rPr>
                <w:sz w:val="19"/>
                <w:szCs w:val="19"/>
              </w:rPr>
              <w:t>Provisioned but unused compute over the interval</w:t>
            </w:r>
          </w:p>
        </w:tc>
        <w:tc>
          <w:tcPr>
            <w:tcW w:w="1280" w:type="dxa"/>
            <w:tcMar>
              <w:top w:w="80" w:type="dxa"/>
              <w:left w:w="100" w:type="dxa"/>
              <w:bottom w:w="80" w:type="dxa"/>
              <w:right w:w="100" w:type="dxa"/>
            </w:tcMar>
          </w:tcPr>
          <w:p w14:paraId="7A000047" w14:textId="77777777" w:rsidR="0062357D" w:rsidRDefault="007E79DA">
            <w:r>
              <w:rPr>
                <w:sz w:val="19"/>
                <w:szCs w:val="19"/>
              </w:rPr>
              <w:t>GPU-</w:t>
            </w:r>
            <w:proofErr w:type="spellStart"/>
            <w:r>
              <w:rPr>
                <w:sz w:val="19"/>
                <w:szCs w:val="19"/>
              </w:rPr>
              <w:t>hr</w:t>
            </w:r>
            <w:proofErr w:type="spellEnd"/>
            <w:r>
              <w:rPr>
                <w:sz w:val="19"/>
                <w:szCs w:val="19"/>
              </w:rPr>
              <w:t xml:space="preserve"> / vCPU-</w:t>
            </w:r>
            <w:proofErr w:type="spellStart"/>
            <w:r>
              <w:rPr>
                <w:sz w:val="19"/>
                <w:szCs w:val="19"/>
              </w:rPr>
              <w:t>hr</w:t>
            </w:r>
            <w:proofErr w:type="spellEnd"/>
          </w:p>
        </w:tc>
        <w:tc>
          <w:tcPr>
            <w:tcW w:w="1280" w:type="dxa"/>
            <w:tcMar>
              <w:top w:w="80" w:type="dxa"/>
              <w:left w:w="100" w:type="dxa"/>
              <w:bottom w:w="80" w:type="dxa"/>
              <w:right w:w="100" w:type="dxa"/>
            </w:tcMar>
          </w:tcPr>
          <w:p w14:paraId="7A000048" w14:textId="77777777" w:rsidR="0062357D" w:rsidRDefault="007E79DA">
            <w:r>
              <w:rPr>
                <w:sz w:val="19"/>
                <w:szCs w:val="19"/>
              </w:rPr>
              <w:t>Hourly</w:t>
            </w:r>
          </w:p>
        </w:tc>
        <w:tc>
          <w:tcPr>
            <w:tcW w:w="1120" w:type="dxa"/>
            <w:tcMar>
              <w:top w:w="80" w:type="dxa"/>
              <w:left w:w="100" w:type="dxa"/>
              <w:bottom w:w="80" w:type="dxa"/>
              <w:right w:w="100" w:type="dxa"/>
            </w:tcMar>
          </w:tcPr>
          <w:p w14:paraId="7A000049" w14:textId="77777777" w:rsidR="0062357D" w:rsidRDefault="007E79DA">
            <w:r>
              <w:rPr>
                <w:sz w:val="19"/>
                <w:szCs w:val="19"/>
              </w:rPr>
              <w:t>Infra</w:t>
            </w:r>
          </w:p>
        </w:tc>
      </w:tr>
      <w:tr w:rsidR="0062357D" w14:paraId="3491E489" w14:textId="77777777">
        <w:trPr>
          <w:cantSplit/>
        </w:trPr>
        <w:tc>
          <w:tcPr>
            <w:tcW w:w="960" w:type="dxa"/>
            <w:tcMar>
              <w:top w:w="80" w:type="dxa"/>
              <w:left w:w="100" w:type="dxa"/>
              <w:bottom w:w="80" w:type="dxa"/>
              <w:right w:w="100" w:type="dxa"/>
            </w:tcMar>
          </w:tcPr>
          <w:p w14:paraId="7A00004A" w14:textId="77777777" w:rsidR="0062357D" w:rsidRDefault="007E79DA">
            <w:r>
              <w:rPr>
                <w:sz w:val="19"/>
                <w:szCs w:val="19"/>
              </w:rPr>
              <w:t>BTC</w:t>
            </w:r>
          </w:p>
        </w:tc>
        <w:tc>
          <w:tcPr>
            <w:tcW w:w="2240" w:type="dxa"/>
            <w:tcMar>
              <w:top w:w="80" w:type="dxa"/>
              <w:left w:w="100" w:type="dxa"/>
              <w:bottom w:w="80" w:type="dxa"/>
              <w:right w:w="100" w:type="dxa"/>
            </w:tcMar>
          </w:tcPr>
          <w:p w14:paraId="7A00004B" w14:textId="77777777" w:rsidR="0062357D" w:rsidRDefault="007E79DA">
            <w:proofErr w:type="spellStart"/>
            <w:r>
              <w:rPr>
                <w:sz w:val="19"/>
                <w:szCs w:val="19"/>
              </w:rPr>
              <w:t>Batchable</w:t>
            </w:r>
            <w:proofErr w:type="spellEnd"/>
            <w:r>
              <w:rPr>
                <w:sz w:val="19"/>
                <w:szCs w:val="19"/>
              </w:rPr>
              <w:t xml:space="preserve"> Real-Time Calls</w:t>
            </w:r>
          </w:p>
        </w:tc>
        <w:tc>
          <w:tcPr>
            <w:tcW w:w="2720" w:type="dxa"/>
            <w:tcMar>
              <w:top w:w="80" w:type="dxa"/>
              <w:left w:w="100" w:type="dxa"/>
              <w:bottom w:w="80" w:type="dxa"/>
              <w:right w:w="100" w:type="dxa"/>
            </w:tcMar>
          </w:tcPr>
          <w:p w14:paraId="7A00004C" w14:textId="77777777" w:rsidR="0062357D" w:rsidRDefault="007E79DA">
            <w:r>
              <w:rPr>
                <w:sz w:val="19"/>
                <w:szCs w:val="19"/>
              </w:rPr>
              <w:t>Latency-tolerant calls executed synchronously instead of batched</w:t>
            </w:r>
          </w:p>
        </w:tc>
        <w:tc>
          <w:tcPr>
            <w:tcW w:w="1280" w:type="dxa"/>
            <w:tcMar>
              <w:top w:w="80" w:type="dxa"/>
              <w:left w:w="100" w:type="dxa"/>
              <w:bottom w:w="80" w:type="dxa"/>
              <w:right w:w="100" w:type="dxa"/>
            </w:tcMar>
          </w:tcPr>
          <w:p w14:paraId="7A00004D" w14:textId="77777777" w:rsidR="0062357D" w:rsidRDefault="007E79DA">
            <w:r>
              <w:rPr>
                <w:sz w:val="19"/>
                <w:szCs w:val="19"/>
              </w:rPr>
              <w:t>% of calls</w:t>
            </w:r>
          </w:p>
        </w:tc>
        <w:tc>
          <w:tcPr>
            <w:tcW w:w="1280" w:type="dxa"/>
            <w:tcMar>
              <w:top w:w="80" w:type="dxa"/>
              <w:left w:w="100" w:type="dxa"/>
              <w:bottom w:w="80" w:type="dxa"/>
              <w:right w:w="100" w:type="dxa"/>
            </w:tcMar>
          </w:tcPr>
          <w:p w14:paraId="7A00004E" w14:textId="77777777" w:rsidR="0062357D" w:rsidRDefault="007E79DA">
            <w:r>
              <w:rPr>
                <w:sz w:val="19"/>
                <w:szCs w:val="19"/>
              </w:rPr>
              <w:t>Daily</w:t>
            </w:r>
          </w:p>
        </w:tc>
        <w:tc>
          <w:tcPr>
            <w:tcW w:w="1120" w:type="dxa"/>
            <w:tcMar>
              <w:top w:w="80" w:type="dxa"/>
              <w:left w:w="100" w:type="dxa"/>
              <w:bottom w:w="80" w:type="dxa"/>
              <w:right w:w="100" w:type="dxa"/>
            </w:tcMar>
          </w:tcPr>
          <w:p w14:paraId="7A00004F" w14:textId="77777777" w:rsidR="0062357D" w:rsidRDefault="007E79DA">
            <w:r>
              <w:rPr>
                <w:sz w:val="19"/>
                <w:szCs w:val="19"/>
              </w:rPr>
              <w:t>Infra</w:t>
            </w:r>
          </w:p>
        </w:tc>
      </w:tr>
      <w:tr w:rsidR="0062357D" w14:paraId="5BF91CBB" w14:textId="77777777">
        <w:trPr>
          <w:cantSplit/>
        </w:trPr>
        <w:tc>
          <w:tcPr>
            <w:tcW w:w="960" w:type="dxa"/>
            <w:tcMar>
              <w:top w:w="80" w:type="dxa"/>
              <w:left w:w="100" w:type="dxa"/>
              <w:bottom w:w="80" w:type="dxa"/>
              <w:right w:w="100" w:type="dxa"/>
            </w:tcMar>
          </w:tcPr>
          <w:p w14:paraId="7A000050" w14:textId="77777777" w:rsidR="0062357D" w:rsidRDefault="007E79DA">
            <w:r>
              <w:rPr>
                <w:sz w:val="19"/>
                <w:szCs w:val="19"/>
              </w:rPr>
              <w:t>GCI</w:t>
            </w:r>
          </w:p>
        </w:tc>
        <w:tc>
          <w:tcPr>
            <w:tcW w:w="2240" w:type="dxa"/>
            <w:tcMar>
              <w:top w:w="80" w:type="dxa"/>
              <w:left w:w="100" w:type="dxa"/>
              <w:bottom w:w="80" w:type="dxa"/>
              <w:right w:w="100" w:type="dxa"/>
            </w:tcMar>
          </w:tcPr>
          <w:p w14:paraId="7A000051" w14:textId="77777777" w:rsidR="0062357D" w:rsidRDefault="007E79DA">
            <w:r>
              <w:rPr>
                <w:sz w:val="19"/>
                <w:szCs w:val="19"/>
              </w:rPr>
              <w:t>Grid Carbon Intensity at Run</w:t>
            </w:r>
          </w:p>
        </w:tc>
        <w:tc>
          <w:tcPr>
            <w:tcW w:w="2720" w:type="dxa"/>
            <w:tcMar>
              <w:top w:w="80" w:type="dxa"/>
              <w:left w:w="100" w:type="dxa"/>
              <w:bottom w:w="80" w:type="dxa"/>
              <w:right w:w="100" w:type="dxa"/>
            </w:tcMar>
          </w:tcPr>
          <w:p w14:paraId="7A000052" w14:textId="77777777" w:rsidR="0062357D" w:rsidRDefault="007E79DA">
            <w:r>
              <w:rPr>
                <w:sz w:val="19"/>
                <w:szCs w:val="19"/>
              </w:rPr>
              <w:t>Carbon intensity of the grid for the region and hour the call ran (§8.6)</w:t>
            </w:r>
          </w:p>
        </w:tc>
        <w:tc>
          <w:tcPr>
            <w:tcW w:w="1280" w:type="dxa"/>
            <w:tcMar>
              <w:top w:w="80" w:type="dxa"/>
              <w:left w:w="100" w:type="dxa"/>
              <w:bottom w:w="80" w:type="dxa"/>
              <w:right w:w="100" w:type="dxa"/>
            </w:tcMar>
          </w:tcPr>
          <w:p w14:paraId="7A000053" w14:textId="77777777" w:rsidR="0062357D" w:rsidRDefault="007E79DA">
            <w:r>
              <w:rPr>
                <w:sz w:val="19"/>
                <w:szCs w:val="19"/>
              </w:rPr>
              <w:t>gCO2e/kWh</w:t>
            </w:r>
          </w:p>
        </w:tc>
        <w:tc>
          <w:tcPr>
            <w:tcW w:w="1280" w:type="dxa"/>
            <w:tcMar>
              <w:top w:w="80" w:type="dxa"/>
              <w:left w:w="100" w:type="dxa"/>
              <w:bottom w:w="80" w:type="dxa"/>
              <w:right w:w="100" w:type="dxa"/>
            </w:tcMar>
          </w:tcPr>
          <w:p w14:paraId="7A000054" w14:textId="77777777" w:rsidR="0062357D" w:rsidRDefault="007E79DA">
            <w:r>
              <w:rPr>
                <w:sz w:val="19"/>
                <w:szCs w:val="19"/>
              </w:rPr>
              <w:t>Per call</w:t>
            </w:r>
          </w:p>
        </w:tc>
        <w:tc>
          <w:tcPr>
            <w:tcW w:w="1120" w:type="dxa"/>
            <w:tcMar>
              <w:top w:w="80" w:type="dxa"/>
              <w:left w:w="100" w:type="dxa"/>
              <w:bottom w:w="80" w:type="dxa"/>
              <w:right w:w="100" w:type="dxa"/>
            </w:tcMar>
          </w:tcPr>
          <w:p w14:paraId="7A000055" w14:textId="77777777" w:rsidR="0062357D" w:rsidRDefault="007E79DA">
            <w:r>
              <w:rPr>
                <w:sz w:val="19"/>
                <w:szCs w:val="19"/>
              </w:rPr>
              <w:t>All</w:t>
            </w:r>
          </w:p>
        </w:tc>
      </w:tr>
      <w:tr w:rsidR="0062357D" w14:paraId="7ED01E47" w14:textId="77777777">
        <w:trPr>
          <w:cantSplit/>
        </w:trPr>
        <w:tc>
          <w:tcPr>
            <w:tcW w:w="960" w:type="dxa"/>
            <w:tcMar>
              <w:top w:w="80" w:type="dxa"/>
              <w:left w:w="100" w:type="dxa"/>
              <w:bottom w:w="80" w:type="dxa"/>
              <w:right w:w="100" w:type="dxa"/>
            </w:tcMar>
          </w:tcPr>
          <w:p w14:paraId="7A000056" w14:textId="77777777" w:rsidR="0062357D" w:rsidRDefault="007E79DA">
            <w:r>
              <w:rPr>
                <w:sz w:val="19"/>
                <w:szCs w:val="19"/>
              </w:rPr>
              <w:t>CWD</w:t>
            </w:r>
          </w:p>
        </w:tc>
        <w:tc>
          <w:tcPr>
            <w:tcW w:w="2240" w:type="dxa"/>
            <w:tcMar>
              <w:top w:w="80" w:type="dxa"/>
              <w:left w:w="100" w:type="dxa"/>
              <w:bottom w:w="80" w:type="dxa"/>
              <w:right w:w="100" w:type="dxa"/>
            </w:tcMar>
          </w:tcPr>
          <w:p w14:paraId="7A000057" w14:textId="77777777" w:rsidR="0062357D" w:rsidRDefault="007E79DA">
            <w:r>
              <w:rPr>
                <w:sz w:val="19"/>
                <w:szCs w:val="19"/>
              </w:rPr>
              <w:t>Cleanest Window Delta</w:t>
            </w:r>
          </w:p>
        </w:tc>
        <w:tc>
          <w:tcPr>
            <w:tcW w:w="2720" w:type="dxa"/>
            <w:tcMar>
              <w:top w:w="80" w:type="dxa"/>
              <w:left w:w="100" w:type="dxa"/>
              <w:bottom w:w="80" w:type="dxa"/>
              <w:right w:w="100" w:type="dxa"/>
            </w:tcMar>
          </w:tcPr>
          <w:p w14:paraId="7A000058" w14:textId="77777777" w:rsidR="0062357D" w:rsidRDefault="007E79DA">
            <w:r>
              <w:rPr>
                <w:sz w:val="19"/>
                <w:szCs w:val="19"/>
              </w:rPr>
              <w:t>Difference between GCI at run time and the lowest GCI available within the job’s allowed window</w:t>
            </w:r>
          </w:p>
        </w:tc>
        <w:tc>
          <w:tcPr>
            <w:tcW w:w="1280" w:type="dxa"/>
            <w:tcMar>
              <w:top w:w="80" w:type="dxa"/>
              <w:left w:w="100" w:type="dxa"/>
              <w:bottom w:w="80" w:type="dxa"/>
              <w:right w:w="100" w:type="dxa"/>
            </w:tcMar>
          </w:tcPr>
          <w:p w14:paraId="7A000059" w14:textId="77777777" w:rsidR="0062357D" w:rsidRDefault="007E79DA">
            <w:r>
              <w:rPr>
                <w:sz w:val="19"/>
                <w:szCs w:val="19"/>
              </w:rPr>
              <w:t>gCO2e/kWh</w:t>
            </w:r>
          </w:p>
        </w:tc>
        <w:tc>
          <w:tcPr>
            <w:tcW w:w="1280" w:type="dxa"/>
            <w:tcMar>
              <w:top w:w="80" w:type="dxa"/>
              <w:left w:w="100" w:type="dxa"/>
              <w:bottom w:w="80" w:type="dxa"/>
              <w:right w:w="100" w:type="dxa"/>
            </w:tcMar>
          </w:tcPr>
          <w:p w14:paraId="7A00005A" w14:textId="77777777" w:rsidR="0062357D" w:rsidRDefault="007E79DA">
            <w:r>
              <w:rPr>
                <w:sz w:val="19"/>
                <w:szCs w:val="19"/>
              </w:rPr>
              <w:t>Per job</w:t>
            </w:r>
          </w:p>
        </w:tc>
        <w:tc>
          <w:tcPr>
            <w:tcW w:w="1120" w:type="dxa"/>
            <w:tcMar>
              <w:top w:w="80" w:type="dxa"/>
              <w:left w:w="100" w:type="dxa"/>
              <w:bottom w:w="80" w:type="dxa"/>
              <w:right w:w="100" w:type="dxa"/>
            </w:tcMar>
          </w:tcPr>
          <w:p w14:paraId="7A00005B" w14:textId="77777777" w:rsidR="0062357D" w:rsidRDefault="007E79DA">
            <w:r>
              <w:rPr>
                <w:sz w:val="19"/>
                <w:szCs w:val="19"/>
              </w:rPr>
              <w:t>Infra</w:t>
            </w:r>
          </w:p>
        </w:tc>
      </w:tr>
    </w:tbl>
    <w:p w14:paraId="7A00005C" w14:textId="77777777" w:rsidR="0062357D" w:rsidRDefault="0062357D">
      <w:pPr>
        <w:spacing w:after="120"/>
      </w:pPr>
    </w:p>
    <w:p w14:paraId="7A00005D" w14:textId="77777777" w:rsidR="0062357D" w:rsidRDefault="007E79DA">
      <w:pPr>
        <w:pStyle w:val="Heading2"/>
        <w:spacing w:before="280" w:after="120"/>
      </w:pPr>
      <w:r>
        <w:rPr>
          <w:b/>
          <w:bCs/>
          <w:color w:val="1E7A4C"/>
          <w:sz w:val="24"/>
          <w:szCs w:val="24"/>
        </w:rPr>
        <w:t>21.3 Derived Scores and Indexes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11267CA9" w14:textId="77777777">
        <w:trPr>
          <w:tblHeader/>
        </w:trPr>
        <w:tc>
          <w:tcPr>
            <w:tcW w:w="960" w:type="dxa"/>
            <w:shd w:val="clear" w:color="auto" w:fill="1E7A4C"/>
            <w:tcMar>
              <w:top w:w="80" w:type="dxa"/>
              <w:left w:w="100" w:type="dxa"/>
              <w:bottom w:w="80" w:type="dxa"/>
              <w:right w:w="100" w:type="dxa"/>
            </w:tcMar>
          </w:tcPr>
          <w:p w14:paraId="7A00005E"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7A00005F"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7A000060"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7A000061"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7A000062"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7A000063" w14:textId="77777777" w:rsidR="0062357D" w:rsidRDefault="007E79DA">
            <w:r>
              <w:rPr>
                <w:b/>
                <w:bCs/>
                <w:color w:val="FFFFFF"/>
                <w:sz w:val="19"/>
                <w:szCs w:val="19"/>
              </w:rPr>
              <w:t>Scope</w:t>
            </w:r>
          </w:p>
        </w:tc>
      </w:tr>
      <w:tr w:rsidR="0062357D" w14:paraId="0C892468" w14:textId="77777777">
        <w:trPr>
          <w:cantSplit/>
        </w:trPr>
        <w:tc>
          <w:tcPr>
            <w:tcW w:w="960" w:type="dxa"/>
            <w:tcMar>
              <w:top w:w="80" w:type="dxa"/>
              <w:left w:w="100" w:type="dxa"/>
              <w:bottom w:w="80" w:type="dxa"/>
              <w:right w:w="100" w:type="dxa"/>
            </w:tcMar>
          </w:tcPr>
          <w:p w14:paraId="7A000064" w14:textId="77777777" w:rsidR="0062357D" w:rsidRDefault="007E79DA">
            <w:r>
              <w:rPr>
                <w:sz w:val="19"/>
                <w:szCs w:val="19"/>
              </w:rPr>
              <w:t>D-MFS</w:t>
            </w:r>
          </w:p>
        </w:tc>
        <w:tc>
          <w:tcPr>
            <w:tcW w:w="2240" w:type="dxa"/>
            <w:tcMar>
              <w:top w:w="80" w:type="dxa"/>
              <w:left w:w="100" w:type="dxa"/>
              <w:bottom w:w="80" w:type="dxa"/>
              <w:right w:w="100" w:type="dxa"/>
            </w:tcMar>
          </w:tcPr>
          <w:p w14:paraId="7A000065" w14:textId="77777777" w:rsidR="0062357D" w:rsidRDefault="007E79DA">
            <w:r>
              <w:rPr>
                <w:sz w:val="19"/>
                <w:szCs w:val="19"/>
              </w:rPr>
              <w:t>Model Fit Sub-score</w:t>
            </w:r>
          </w:p>
        </w:tc>
        <w:tc>
          <w:tcPr>
            <w:tcW w:w="2720" w:type="dxa"/>
            <w:tcMar>
              <w:top w:w="80" w:type="dxa"/>
              <w:left w:w="100" w:type="dxa"/>
              <w:bottom w:w="80" w:type="dxa"/>
              <w:right w:w="100" w:type="dxa"/>
            </w:tcMar>
          </w:tcPr>
          <w:p w14:paraId="7A000066" w14:textId="77777777" w:rsidR="0062357D" w:rsidRDefault="007E79DA">
            <w:r>
              <w:rPr>
                <w:sz w:val="19"/>
                <w:szCs w:val="19"/>
              </w:rPr>
              <w:t>Normalized from MFP and MTR; 100 = smallest adequate model in use</w:t>
            </w:r>
          </w:p>
        </w:tc>
        <w:tc>
          <w:tcPr>
            <w:tcW w:w="1280" w:type="dxa"/>
            <w:tcMar>
              <w:top w:w="80" w:type="dxa"/>
              <w:left w:w="100" w:type="dxa"/>
              <w:bottom w:w="80" w:type="dxa"/>
              <w:right w:w="100" w:type="dxa"/>
            </w:tcMar>
          </w:tcPr>
          <w:p w14:paraId="7A000067" w14:textId="77777777" w:rsidR="0062357D" w:rsidRDefault="007E79DA">
            <w:r>
              <w:rPr>
                <w:sz w:val="19"/>
                <w:szCs w:val="19"/>
              </w:rPr>
              <w:t>0–100</w:t>
            </w:r>
          </w:p>
        </w:tc>
        <w:tc>
          <w:tcPr>
            <w:tcW w:w="1280" w:type="dxa"/>
            <w:tcMar>
              <w:top w:w="80" w:type="dxa"/>
              <w:left w:w="100" w:type="dxa"/>
              <w:bottom w:w="80" w:type="dxa"/>
              <w:right w:w="100" w:type="dxa"/>
            </w:tcMar>
          </w:tcPr>
          <w:p w14:paraId="7A000068" w14:textId="77777777" w:rsidR="0062357D" w:rsidRDefault="007E79DA">
            <w:r>
              <w:rPr>
                <w:sz w:val="19"/>
                <w:szCs w:val="19"/>
              </w:rPr>
              <w:t>Daily</w:t>
            </w:r>
          </w:p>
        </w:tc>
        <w:tc>
          <w:tcPr>
            <w:tcW w:w="1120" w:type="dxa"/>
            <w:tcMar>
              <w:top w:w="80" w:type="dxa"/>
              <w:left w:w="100" w:type="dxa"/>
              <w:bottom w:w="80" w:type="dxa"/>
              <w:right w:w="100" w:type="dxa"/>
            </w:tcMar>
          </w:tcPr>
          <w:p w14:paraId="7A000069" w14:textId="77777777" w:rsidR="0062357D" w:rsidRDefault="007E79DA">
            <w:r>
              <w:rPr>
                <w:sz w:val="19"/>
                <w:szCs w:val="19"/>
              </w:rPr>
              <w:t>Workload</w:t>
            </w:r>
          </w:p>
        </w:tc>
      </w:tr>
      <w:tr w:rsidR="0062357D" w14:paraId="0446686D" w14:textId="77777777">
        <w:trPr>
          <w:cantSplit/>
        </w:trPr>
        <w:tc>
          <w:tcPr>
            <w:tcW w:w="960" w:type="dxa"/>
            <w:tcMar>
              <w:top w:w="80" w:type="dxa"/>
              <w:left w:w="100" w:type="dxa"/>
              <w:bottom w:w="80" w:type="dxa"/>
              <w:right w:w="100" w:type="dxa"/>
            </w:tcMar>
          </w:tcPr>
          <w:p w14:paraId="7A00006A" w14:textId="77777777" w:rsidR="0062357D" w:rsidRDefault="007E79DA">
            <w:r>
              <w:rPr>
                <w:sz w:val="19"/>
                <w:szCs w:val="19"/>
              </w:rPr>
              <w:t>D-TES</w:t>
            </w:r>
          </w:p>
        </w:tc>
        <w:tc>
          <w:tcPr>
            <w:tcW w:w="2240" w:type="dxa"/>
            <w:tcMar>
              <w:top w:w="80" w:type="dxa"/>
              <w:left w:w="100" w:type="dxa"/>
              <w:bottom w:w="80" w:type="dxa"/>
              <w:right w:w="100" w:type="dxa"/>
            </w:tcMar>
          </w:tcPr>
          <w:p w14:paraId="7A00006B" w14:textId="77777777" w:rsidR="0062357D" w:rsidRDefault="007E79DA">
            <w:r>
              <w:rPr>
                <w:sz w:val="19"/>
                <w:szCs w:val="19"/>
              </w:rPr>
              <w:t>Token Efficiency Sub-score</w:t>
            </w:r>
          </w:p>
        </w:tc>
        <w:tc>
          <w:tcPr>
            <w:tcW w:w="2720" w:type="dxa"/>
            <w:tcMar>
              <w:top w:w="80" w:type="dxa"/>
              <w:left w:w="100" w:type="dxa"/>
              <w:bottom w:w="80" w:type="dxa"/>
              <w:right w:w="100" w:type="dxa"/>
            </w:tcMar>
          </w:tcPr>
          <w:p w14:paraId="7A00006C" w14:textId="77777777" w:rsidR="0062357D" w:rsidRDefault="007E79DA">
            <w:r>
              <w:rPr>
                <w:sz w:val="19"/>
                <w:szCs w:val="19"/>
              </w:rPr>
              <w:t>Normalized from TIO, CXB, CHR and RTR</w:t>
            </w:r>
          </w:p>
        </w:tc>
        <w:tc>
          <w:tcPr>
            <w:tcW w:w="1280" w:type="dxa"/>
            <w:tcMar>
              <w:top w:w="80" w:type="dxa"/>
              <w:left w:w="100" w:type="dxa"/>
              <w:bottom w:w="80" w:type="dxa"/>
              <w:right w:w="100" w:type="dxa"/>
            </w:tcMar>
          </w:tcPr>
          <w:p w14:paraId="7A00006D" w14:textId="77777777" w:rsidR="0062357D" w:rsidRDefault="007E79DA">
            <w:r>
              <w:rPr>
                <w:sz w:val="19"/>
                <w:szCs w:val="19"/>
              </w:rPr>
              <w:t>0–100</w:t>
            </w:r>
          </w:p>
        </w:tc>
        <w:tc>
          <w:tcPr>
            <w:tcW w:w="1280" w:type="dxa"/>
            <w:tcMar>
              <w:top w:w="80" w:type="dxa"/>
              <w:left w:w="100" w:type="dxa"/>
              <w:bottom w:w="80" w:type="dxa"/>
              <w:right w:w="100" w:type="dxa"/>
            </w:tcMar>
          </w:tcPr>
          <w:p w14:paraId="7A00006E" w14:textId="77777777" w:rsidR="0062357D" w:rsidRDefault="007E79DA">
            <w:r>
              <w:rPr>
                <w:sz w:val="19"/>
                <w:szCs w:val="19"/>
              </w:rPr>
              <w:t>Daily</w:t>
            </w:r>
          </w:p>
        </w:tc>
        <w:tc>
          <w:tcPr>
            <w:tcW w:w="1120" w:type="dxa"/>
            <w:tcMar>
              <w:top w:w="80" w:type="dxa"/>
              <w:left w:w="100" w:type="dxa"/>
              <w:bottom w:w="80" w:type="dxa"/>
              <w:right w:w="100" w:type="dxa"/>
            </w:tcMar>
          </w:tcPr>
          <w:p w14:paraId="7A00006F" w14:textId="77777777" w:rsidR="0062357D" w:rsidRDefault="007E79DA">
            <w:r>
              <w:rPr>
                <w:sz w:val="19"/>
                <w:szCs w:val="19"/>
              </w:rPr>
              <w:t>Workload</w:t>
            </w:r>
          </w:p>
        </w:tc>
      </w:tr>
      <w:tr w:rsidR="0062357D" w14:paraId="1C20CB62" w14:textId="77777777">
        <w:trPr>
          <w:cantSplit/>
        </w:trPr>
        <w:tc>
          <w:tcPr>
            <w:tcW w:w="960" w:type="dxa"/>
            <w:tcMar>
              <w:top w:w="80" w:type="dxa"/>
              <w:left w:w="100" w:type="dxa"/>
              <w:bottom w:w="80" w:type="dxa"/>
              <w:right w:w="100" w:type="dxa"/>
            </w:tcMar>
          </w:tcPr>
          <w:p w14:paraId="7A000070" w14:textId="77777777" w:rsidR="0062357D" w:rsidRDefault="007E79DA">
            <w:r>
              <w:rPr>
                <w:sz w:val="19"/>
                <w:szCs w:val="19"/>
              </w:rPr>
              <w:t>D-UTS</w:t>
            </w:r>
          </w:p>
        </w:tc>
        <w:tc>
          <w:tcPr>
            <w:tcW w:w="2240" w:type="dxa"/>
            <w:tcMar>
              <w:top w:w="80" w:type="dxa"/>
              <w:left w:w="100" w:type="dxa"/>
              <w:bottom w:w="80" w:type="dxa"/>
              <w:right w:w="100" w:type="dxa"/>
            </w:tcMar>
          </w:tcPr>
          <w:p w14:paraId="7A000071" w14:textId="77777777" w:rsidR="0062357D" w:rsidRDefault="007E79DA">
            <w:r>
              <w:rPr>
                <w:sz w:val="19"/>
                <w:szCs w:val="19"/>
              </w:rPr>
              <w:t>Utilization Sub-score</w:t>
            </w:r>
          </w:p>
        </w:tc>
        <w:tc>
          <w:tcPr>
            <w:tcW w:w="2720" w:type="dxa"/>
            <w:tcMar>
              <w:top w:w="80" w:type="dxa"/>
              <w:left w:w="100" w:type="dxa"/>
              <w:bottom w:w="80" w:type="dxa"/>
              <w:right w:w="100" w:type="dxa"/>
            </w:tcMar>
          </w:tcPr>
          <w:p w14:paraId="7A000072" w14:textId="77777777" w:rsidR="0062357D" w:rsidRDefault="007E79DA">
            <w:r>
              <w:rPr>
                <w:sz w:val="19"/>
                <w:szCs w:val="19"/>
              </w:rPr>
              <w:t>Normalized from GPU, IDC and BTC</w:t>
            </w:r>
          </w:p>
        </w:tc>
        <w:tc>
          <w:tcPr>
            <w:tcW w:w="1280" w:type="dxa"/>
            <w:tcMar>
              <w:top w:w="80" w:type="dxa"/>
              <w:left w:w="100" w:type="dxa"/>
              <w:bottom w:w="80" w:type="dxa"/>
              <w:right w:w="100" w:type="dxa"/>
            </w:tcMar>
          </w:tcPr>
          <w:p w14:paraId="7A000073" w14:textId="77777777" w:rsidR="0062357D" w:rsidRDefault="007E79DA">
            <w:r>
              <w:rPr>
                <w:sz w:val="19"/>
                <w:szCs w:val="19"/>
              </w:rPr>
              <w:t>0–100</w:t>
            </w:r>
          </w:p>
        </w:tc>
        <w:tc>
          <w:tcPr>
            <w:tcW w:w="1280" w:type="dxa"/>
            <w:tcMar>
              <w:top w:w="80" w:type="dxa"/>
              <w:left w:w="100" w:type="dxa"/>
              <w:bottom w:w="80" w:type="dxa"/>
              <w:right w:w="100" w:type="dxa"/>
            </w:tcMar>
          </w:tcPr>
          <w:p w14:paraId="7A000074" w14:textId="77777777" w:rsidR="0062357D" w:rsidRDefault="007E79DA">
            <w:r>
              <w:rPr>
                <w:sz w:val="19"/>
                <w:szCs w:val="19"/>
              </w:rPr>
              <w:t>Daily</w:t>
            </w:r>
          </w:p>
        </w:tc>
        <w:tc>
          <w:tcPr>
            <w:tcW w:w="1120" w:type="dxa"/>
            <w:tcMar>
              <w:top w:w="80" w:type="dxa"/>
              <w:left w:w="100" w:type="dxa"/>
              <w:bottom w:w="80" w:type="dxa"/>
              <w:right w:w="100" w:type="dxa"/>
            </w:tcMar>
          </w:tcPr>
          <w:p w14:paraId="7A000075" w14:textId="77777777" w:rsidR="0062357D" w:rsidRDefault="007E79DA">
            <w:r>
              <w:rPr>
                <w:sz w:val="19"/>
                <w:szCs w:val="19"/>
              </w:rPr>
              <w:t>Infra workloads</w:t>
            </w:r>
          </w:p>
        </w:tc>
      </w:tr>
      <w:tr w:rsidR="0062357D" w14:paraId="31272167" w14:textId="77777777">
        <w:trPr>
          <w:cantSplit/>
        </w:trPr>
        <w:tc>
          <w:tcPr>
            <w:tcW w:w="960" w:type="dxa"/>
            <w:tcMar>
              <w:top w:w="80" w:type="dxa"/>
              <w:left w:w="100" w:type="dxa"/>
              <w:bottom w:w="80" w:type="dxa"/>
              <w:right w:w="100" w:type="dxa"/>
            </w:tcMar>
          </w:tcPr>
          <w:p w14:paraId="7A000076" w14:textId="77777777" w:rsidR="0062357D" w:rsidRDefault="007E79DA">
            <w:r>
              <w:rPr>
                <w:sz w:val="19"/>
                <w:szCs w:val="19"/>
              </w:rPr>
              <w:t>D-CTS</w:t>
            </w:r>
          </w:p>
        </w:tc>
        <w:tc>
          <w:tcPr>
            <w:tcW w:w="2240" w:type="dxa"/>
            <w:tcMar>
              <w:top w:w="80" w:type="dxa"/>
              <w:left w:w="100" w:type="dxa"/>
              <w:bottom w:w="80" w:type="dxa"/>
              <w:right w:w="100" w:type="dxa"/>
            </w:tcMar>
          </w:tcPr>
          <w:p w14:paraId="7A000077" w14:textId="77777777" w:rsidR="0062357D" w:rsidRDefault="007E79DA">
            <w:r>
              <w:rPr>
                <w:sz w:val="19"/>
                <w:szCs w:val="19"/>
              </w:rPr>
              <w:t>Carbon Timing Sub-score</w:t>
            </w:r>
          </w:p>
        </w:tc>
        <w:tc>
          <w:tcPr>
            <w:tcW w:w="2720" w:type="dxa"/>
            <w:tcMar>
              <w:top w:w="80" w:type="dxa"/>
              <w:left w:w="100" w:type="dxa"/>
              <w:bottom w:w="80" w:type="dxa"/>
              <w:right w:w="100" w:type="dxa"/>
            </w:tcMar>
          </w:tcPr>
          <w:p w14:paraId="7A000078" w14:textId="77777777" w:rsidR="0062357D" w:rsidRDefault="007E79DA">
            <w:r>
              <w:rPr>
                <w:sz w:val="19"/>
                <w:szCs w:val="19"/>
              </w:rPr>
              <w:t>Normalized from GCI and CWD</w:t>
            </w:r>
          </w:p>
        </w:tc>
        <w:tc>
          <w:tcPr>
            <w:tcW w:w="1280" w:type="dxa"/>
            <w:tcMar>
              <w:top w:w="80" w:type="dxa"/>
              <w:left w:w="100" w:type="dxa"/>
              <w:bottom w:w="80" w:type="dxa"/>
              <w:right w:w="100" w:type="dxa"/>
            </w:tcMar>
          </w:tcPr>
          <w:p w14:paraId="7A000079" w14:textId="77777777" w:rsidR="0062357D" w:rsidRDefault="007E79DA">
            <w:r>
              <w:rPr>
                <w:sz w:val="19"/>
                <w:szCs w:val="19"/>
              </w:rPr>
              <w:t>0–100</w:t>
            </w:r>
          </w:p>
        </w:tc>
        <w:tc>
          <w:tcPr>
            <w:tcW w:w="1280" w:type="dxa"/>
            <w:tcMar>
              <w:top w:w="80" w:type="dxa"/>
              <w:left w:w="100" w:type="dxa"/>
              <w:bottom w:w="80" w:type="dxa"/>
              <w:right w:w="100" w:type="dxa"/>
            </w:tcMar>
          </w:tcPr>
          <w:p w14:paraId="7A00007A" w14:textId="77777777" w:rsidR="0062357D" w:rsidRDefault="007E79DA">
            <w:r>
              <w:rPr>
                <w:sz w:val="19"/>
                <w:szCs w:val="19"/>
              </w:rPr>
              <w:t>Daily</w:t>
            </w:r>
          </w:p>
        </w:tc>
        <w:tc>
          <w:tcPr>
            <w:tcW w:w="1120" w:type="dxa"/>
            <w:tcMar>
              <w:top w:w="80" w:type="dxa"/>
              <w:left w:w="100" w:type="dxa"/>
              <w:bottom w:w="80" w:type="dxa"/>
              <w:right w:w="100" w:type="dxa"/>
            </w:tcMar>
          </w:tcPr>
          <w:p w14:paraId="7A00007B" w14:textId="77777777" w:rsidR="0062357D" w:rsidRDefault="007E79DA">
            <w:r>
              <w:rPr>
                <w:sz w:val="19"/>
                <w:szCs w:val="19"/>
              </w:rPr>
              <w:t>Workload</w:t>
            </w:r>
          </w:p>
        </w:tc>
      </w:tr>
      <w:tr w:rsidR="0062357D" w14:paraId="45394C1A" w14:textId="77777777">
        <w:trPr>
          <w:cantSplit/>
        </w:trPr>
        <w:tc>
          <w:tcPr>
            <w:tcW w:w="960" w:type="dxa"/>
            <w:tcMar>
              <w:top w:w="80" w:type="dxa"/>
              <w:left w:w="100" w:type="dxa"/>
              <w:bottom w:w="80" w:type="dxa"/>
              <w:right w:w="100" w:type="dxa"/>
            </w:tcMar>
          </w:tcPr>
          <w:p w14:paraId="7A00007C" w14:textId="77777777" w:rsidR="0062357D" w:rsidRDefault="007E79DA">
            <w:r>
              <w:rPr>
                <w:sz w:val="19"/>
                <w:szCs w:val="19"/>
              </w:rPr>
              <w:t>D-RSS</w:t>
            </w:r>
          </w:p>
        </w:tc>
        <w:tc>
          <w:tcPr>
            <w:tcW w:w="2240" w:type="dxa"/>
            <w:tcMar>
              <w:top w:w="80" w:type="dxa"/>
              <w:left w:w="100" w:type="dxa"/>
              <w:bottom w:w="80" w:type="dxa"/>
              <w:right w:w="100" w:type="dxa"/>
            </w:tcMar>
          </w:tcPr>
          <w:p w14:paraId="7A00007D" w14:textId="77777777" w:rsidR="0062357D" w:rsidRDefault="007E79DA">
            <w:r>
              <w:rPr>
                <w:sz w:val="19"/>
                <w:szCs w:val="19"/>
              </w:rPr>
              <w:t>Right-Size Score</w:t>
            </w:r>
          </w:p>
        </w:tc>
        <w:tc>
          <w:tcPr>
            <w:tcW w:w="2720" w:type="dxa"/>
            <w:tcMar>
              <w:top w:w="80" w:type="dxa"/>
              <w:left w:w="100" w:type="dxa"/>
              <w:bottom w:w="80" w:type="dxa"/>
              <w:right w:w="100" w:type="dxa"/>
            </w:tcMar>
          </w:tcPr>
          <w:p w14:paraId="7A00007E" w14:textId="77777777" w:rsidR="0062357D" w:rsidRDefault="007E79DA">
            <w:r>
              <w:rPr>
                <w:sz w:val="19"/>
                <w:szCs w:val="19"/>
              </w:rPr>
              <w:t>Weighted composite of the four sub-scores (§21.4)</w:t>
            </w:r>
          </w:p>
        </w:tc>
        <w:tc>
          <w:tcPr>
            <w:tcW w:w="1280" w:type="dxa"/>
            <w:tcMar>
              <w:top w:w="80" w:type="dxa"/>
              <w:left w:w="100" w:type="dxa"/>
              <w:bottom w:w="80" w:type="dxa"/>
              <w:right w:w="100" w:type="dxa"/>
            </w:tcMar>
          </w:tcPr>
          <w:p w14:paraId="7A00007F" w14:textId="77777777" w:rsidR="0062357D" w:rsidRDefault="007E79DA">
            <w:r>
              <w:rPr>
                <w:sz w:val="19"/>
                <w:szCs w:val="19"/>
              </w:rPr>
              <w:t>0–100</w:t>
            </w:r>
          </w:p>
        </w:tc>
        <w:tc>
          <w:tcPr>
            <w:tcW w:w="1280" w:type="dxa"/>
            <w:tcMar>
              <w:top w:w="80" w:type="dxa"/>
              <w:left w:w="100" w:type="dxa"/>
              <w:bottom w:w="80" w:type="dxa"/>
              <w:right w:w="100" w:type="dxa"/>
            </w:tcMar>
          </w:tcPr>
          <w:p w14:paraId="7A000080" w14:textId="77777777" w:rsidR="0062357D" w:rsidRDefault="007E79DA">
            <w:r>
              <w:rPr>
                <w:sz w:val="19"/>
                <w:szCs w:val="19"/>
              </w:rPr>
              <w:t>Daily / rolling 30-day</w:t>
            </w:r>
          </w:p>
        </w:tc>
        <w:tc>
          <w:tcPr>
            <w:tcW w:w="1120" w:type="dxa"/>
            <w:tcMar>
              <w:top w:w="80" w:type="dxa"/>
              <w:left w:w="100" w:type="dxa"/>
              <w:bottom w:w="80" w:type="dxa"/>
              <w:right w:w="100" w:type="dxa"/>
            </w:tcMar>
          </w:tcPr>
          <w:p w14:paraId="7A000081" w14:textId="77777777" w:rsidR="0062357D" w:rsidRDefault="007E79DA">
            <w:r>
              <w:rPr>
                <w:sz w:val="19"/>
                <w:szCs w:val="19"/>
              </w:rPr>
              <w:t>Workload, team, org</w:t>
            </w:r>
          </w:p>
        </w:tc>
      </w:tr>
      <w:tr w:rsidR="0062357D" w14:paraId="42295990" w14:textId="77777777">
        <w:trPr>
          <w:cantSplit/>
        </w:trPr>
        <w:tc>
          <w:tcPr>
            <w:tcW w:w="960" w:type="dxa"/>
            <w:tcMar>
              <w:top w:w="80" w:type="dxa"/>
              <w:left w:w="100" w:type="dxa"/>
              <w:bottom w:w="80" w:type="dxa"/>
              <w:right w:w="100" w:type="dxa"/>
            </w:tcMar>
          </w:tcPr>
          <w:p w14:paraId="7A000082" w14:textId="77777777" w:rsidR="0062357D" w:rsidRDefault="007E79DA">
            <w:r>
              <w:rPr>
                <w:sz w:val="19"/>
                <w:szCs w:val="19"/>
              </w:rPr>
              <w:t>D-EIC</w:t>
            </w:r>
          </w:p>
        </w:tc>
        <w:tc>
          <w:tcPr>
            <w:tcW w:w="2240" w:type="dxa"/>
            <w:tcMar>
              <w:top w:w="80" w:type="dxa"/>
              <w:left w:w="100" w:type="dxa"/>
              <w:bottom w:w="80" w:type="dxa"/>
              <w:right w:w="100" w:type="dxa"/>
            </w:tcMar>
          </w:tcPr>
          <w:p w14:paraId="7A000083" w14:textId="77777777" w:rsidR="0062357D" w:rsidRDefault="007E79DA">
            <w:r>
              <w:rPr>
                <w:sz w:val="19"/>
                <w:szCs w:val="19"/>
              </w:rPr>
              <w:t>Efficiency Index (Cost)</w:t>
            </w:r>
          </w:p>
        </w:tc>
        <w:tc>
          <w:tcPr>
            <w:tcW w:w="2720" w:type="dxa"/>
            <w:tcMar>
              <w:top w:w="80" w:type="dxa"/>
              <w:left w:w="100" w:type="dxa"/>
              <w:bottom w:w="80" w:type="dxa"/>
              <w:right w:w="100" w:type="dxa"/>
            </w:tcMar>
          </w:tcPr>
          <w:p w14:paraId="7A000084" w14:textId="77777777" w:rsidR="0062357D" w:rsidRDefault="007E79DA">
            <w:r>
              <w:rPr>
                <w:sz w:val="19"/>
                <w:szCs w:val="19"/>
              </w:rPr>
              <w:t>Useful outputs (UOC) per dollar of AI spend</w:t>
            </w:r>
          </w:p>
        </w:tc>
        <w:tc>
          <w:tcPr>
            <w:tcW w:w="1280" w:type="dxa"/>
            <w:tcMar>
              <w:top w:w="80" w:type="dxa"/>
              <w:left w:w="100" w:type="dxa"/>
              <w:bottom w:w="80" w:type="dxa"/>
              <w:right w:w="100" w:type="dxa"/>
            </w:tcMar>
          </w:tcPr>
          <w:p w14:paraId="7A000085" w14:textId="77777777" w:rsidR="0062357D" w:rsidRDefault="007E79DA">
            <w:r>
              <w:rPr>
                <w:sz w:val="19"/>
                <w:szCs w:val="19"/>
              </w:rPr>
              <w:t>UOC/$</w:t>
            </w:r>
          </w:p>
        </w:tc>
        <w:tc>
          <w:tcPr>
            <w:tcW w:w="1280" w:type="dxa"/>
            <w:tcMar>
              <w:top w:w="80" w:type="dxa"/>
              <w:left w:w="100" w:type="dxa"/>
              <w:bottom w:w="80" w:type="dxa"/>
              <w:right w:w="100" w:type="dxa"/>
            </w:tcMar>
          </w:tcPr>
          <w:p w14:paraId="7A000086" w14:textId="77777777" w:rsidR="0062357D" w:rsidRDefault="007E79DA">
            <w:r>
              <w:rPr>
                <w:sz w:val="19"/>
                <w:szCs w:val="19"/>
              </w:rPr>
              <w:t>Daily</w:t>
            </w:r>
          </w:p>
        </w:tc>
        <w:tc>
          <w:tcPr>
            <w:tcW w:w="1120" w:type="dxa"/>
            <w:tcMar>
              <w:top w:w="80" w:type="dxa"/>
              <w:left w:w="100" w:type="dxa"/>
              <w:bottom w:w="80" w:type="dxa"/>
              <w:right w:w="100" w:type="dxa"/>
            </w:tcMar>
          </w:tcPr>
          <w:p w14:paraId="7A000087" w14:textId="77777777" w:rsidR="0062357D" w:rsidRDefault="007E79DA">
            <w:r>
              <w:rPr>
                <w:sz w:val="19"/>
                <w:szCs w:val="19"/>
              </w:rPr>
              <w:t>Workload, org</w:t>
            </w:r>
          </w:p>
        </w:tc>
      </w:tr>
      <w:tr w:rsidR="0062357D" w14:paraId="475DB42A" w14:textId="77777777">
        <w:trPr>
          <w:cantSplit/>
        </w:trPr>
        <w:tc>
          <w:tcPr>
            <w:tcW w:w="960" w:type="dxa"/>
            <w:tcMar>
              <w:top w:w="80" w:type="dxa"/>
              <w:left w:w="100" w:type="dxa"/>
              <w:bottom w:w="80" w:type="dxa"/>
              <w:right w:w="100" w:type="dxa"/>
            </w:tcMar>
          </w:tcPr>
          <w:p w14:paraId="7A000088" w14:textId="77777777" w:rsidR="0062357D" w:rsidRDefault="007E79DA">
            <w:r>
              <w:rPr>
                <w:sz w:val="19"/>
                <w:szCs w:val="19"/>
              </w:rPr>
              <w:t>D-EIE</w:t>
            </w:r>
          </w:p>
        </w:tc>
        <w:tc>
          <w:tcPr>
            <w:tcW w:w="2240" w:type="dxa"/>
            <w:tcMar>
              <w:top w:w="80" w:type="dxa"/>
              <w:left w:w="100" w:type="dxa"/>
              <w:bottom w:w="80" w:type="dxa"/>
              <w:right w:w="100" w:type="dxa"/>
            </w:tcMar>
          </w:tcPr>
          <w:p w14:paraId="7A000089" w14:textId="77777777" w:rsidR="0062357D" w:rsidRDefault="007E79DA">
            <w:r>
              <w:rPr>
                <w:sz w:val="19"/>
                <w:szCs w:val="19"/>
              </w:rPr>
              <w:t>Efficiency Index (Energy)</w:t>
            </w:r>
          </w:p>
        </w:tc>
        <w:tc>
          <w:tcPr>
            <w:tcW w:w="2720" w:type="dxa"/>
            <w:tcMar>
              <w:top w:w="80" w:type="dxa"/>
              <w:left w:w="100" w:type="dxa"/>
              <w:bottom w:w="80" w:type="dxa"/>
              <w:right w:w="100" w:type="dxa"/>
            </w:tcMar>
          </w:tcPr>
          <w:p w14:paraId="7A00008A" w14:textId="77777777" w:rsidR="0062357D" w:rsidRDefault="007E79DA">
            <w:r>
              <w:rPr>
                <w:sz w:val="19"/>
                <w:szCs w:val="19"/>
              </w:rPr>
              <w:t>Useful outputs per kWh</w:t>
            </w:r>
          </w:p>
        </w:tc>
        <w:tc>
          <w:tcPr>
            <w:tcW w:w="1280" w:type="dxa"/>
            <w:tcMar>
              <w:top w:w="80" w:type="dxa"/>
              <w:left w:w="100" w:type="dxa"/>
              <w:bottom w:w="80" w:type="dxa"/>
              <w:right w:w="100" w:type="dxa"/>
            </w:tcMar>
          </w:tcPr>
          <w:p w14:paraId="7A00008B" w14:textId="77777777" w:rsidR="0062357D" w:rsidRDefault="007E79DA">
            <w:r>
              <w:rPr>
                <w:sz w:val="19"/>
                <w:szCs w:val="19"/>
              </w:rPr>
              <w:t>UOC/kWh</w:t>
            </w:r>
          </w:p>
        </w:tc>
        <w:tc>
          <w:tcPr>
            <w:tcW w:w="1280" w:type="dxa"/>
            <w:tcMar>
              <w:top w:w="80" w:type="dxa"/>
              <w:left w:w="100" w:type="dxa"/>
              <w:bottom w:w="80" w:type="dxa"/>
              <w:right w:w="100" w:type="dxa"/>
            </w:tcMar>
          </w:tcPr>
          <w:p w14:paraId="7A00008C" w14:textId="77777777" w:rsidR="0062357D" w:rsidRDefault="007E79DA">
            <w:r>
              <w:rPr>
                <w:sz w:val="19"/>
                <w:szCs w:val="19"/>
              </w:rPr>
              <w:t>Daily</w:t>
            </w:r>
          </w:p>
        </w:tc>
        <w:tc>
          <w:tcPr>
            <w:tcW w:w="1120" w:type="dxa"/>
            <w:tcMar>
              <w:top w:w="80" w:type="dxa"/>
              <w:left w:w="100" w:type="dxa"/>
              <w:bottom w:w="80" w:type="dxa"/>
              <w:right w:w="100" w:type="dxa"/>
            </w:tcMar>
          </w:tcPr>
          <w:p w14:paraId="7A00008D" w14:textId="77777777" w:rsidR="0062357D" w:rsidRDefault="007E79DA">
            <w:r>
              <w:rPr>
                <w:sz w:val="19"/>
                <w:szCs w:val="19"/>
              </w:rPr>
              <w:t>Workload, org</w:t>
            </w:r>
          </w:p>
        </w:tc>
      </w:tr>
      <w:tr w:rsidR="0062357D" w14:paraId="70D59AB4" w14:textId="77777777">
        <w:trPr>
          <w:cantSplit/>
        </w:trPr>
        <w:tc>
          <w:tcPr>
            <w:tcW w:w="960" w:type="dxa"/>
            <w:tcMar>
              <w:top w:w="80" w:type="dxa"/>
              <w:left w:w="100" w:type="dxa"/>
              <w:bottom w:w="80" w:type="dxa"/>
              <w:right w:w="100" w:type="dxa"/>
            </w:tcMar>
          </w:tcPr>
          <w:p w14:paraId="7A00008E" w14:textId="77777777" w:rsidR="0062357D" w:rsidRDefault="007E79DA">
            <w:r>
              <w:rPr>
                <w:sz w:val="19"/>
                <w:szCs w:val="19"/>
              </w:rPr>
              <w:t>D-EIG</w:t>
            </w:r>
          </w:p>
        </w:tc>
        <w:tc>
          <w:tcPr>
            <w:tcW w:w="2240" w:type="dxa"/>
            <w:tcMar>
              <w:top w:w="80" w:type="dxa"/>
              <w:left w:w="100" w:type="dxa"/>
              <w:bottom w:w="80" w:type="dxa"/>
              <w:right w:w="100" w:type="dxa"/>
            </w:tcMar>
          </w:tcPr>
          <w:p w14:paraId="7A00008F" w14:textId="77777777" w:rsidR="0062357D" w:rsidRDefault="007E79DA">
            <w:r>
              <w:rPr>
                <w:sz w:val="19"/>
                <w:szCs w:val="19"/>
              </w:rPr>
              <w:t>Efficiency Index (Carbon)</w:t>
            </w:r>
          </w:p>
        </w:tc>
        <w:tc>
          <w:tcPr>
            <w:tcW w:w="2720" w:type="dxa"/>
            <w:tcMar>
              <w:top w:w="80" w:type="dxa"/>
              <w:left w:w="100" w:type="dxa"/>
              <w:bottom w:w="80" w:type="dxa"/>
              <w:right w:w="100" w:type="dxa"/>
            </w:tcMar>
          </w:tcPr>
          <w:p w14:paraId="7A000090" w14:textId="77777777" w:rsidR="0062357D" w:rsidRDefault="007E79DA">
            <w:r>
              <w:rPr>
                <w:sz w:val="19"/>
                <w:szCs w:val="19"/>
              </w:rPr>
              <w:t>Useful outputs per kg CO2e</w:t>
            </w:r>
          </w:p>
        </w:tc>
        <w:tc>
          <w:tcPr>
            <w:tcW w:w="1280" w:type="dxa"/>
            <w:tcMar>
              <w:top w:w="80" w:type="dxa"/>
              <w:left w:w="100" w:type="dxa"/>
              <w:bottom w:w="80" w:type="dxa"/>
              <w:right w:w="100" w:type="dxa"/>
            </w:tcMar>
          </w:tcPr>
          <w:p w14:paraId="7A000091" w14:textId="77777777" w:rsidR="0062357D" w:rsidRDefault="007E79DA">
            <w:r>
              <w:rPr>
                <w:sz w:val="19"/>
                <w:szCs w:val="19"/>
              </w:rPr>
              <w:t>UOC/kgCO2e</w:t>
            </w:r>
          </w:p>
        </w:tc>
        <w:tc>
          <w:tcPr>
            <w:tcW w:w="1280" w:type="dxa"/>
            <w:tcMar>
              <w:top w:w="80" w:type="dxa"/>
              <w:left w:w="100" w:type="dxa"/>
              <w:bottom w:w="80" w:type="dxa"/>
              <w:right w:w="100" w:type="dxa"/>
            </w:tcMar>
          </w:tcPr>
          <w:p w14:paraId="7A000092" w14:textId="77777777" w:rsidR="0062357D" w:rsidRDefault="007E79DA">
            <w:r>
              <w:rPr>
                <w:sz w:val="19"/>
                <w:szCs w:val="19"/>
              </w:rPr>
              <w:t>Daily</w:t>
            </w:r>
          </w:p>
        </w:tc>
        <w:tc>
          <w:tcPr>
            <w:tcW w:w="1120" w:type="dxa"/>
            <w:tcMar>
              <w:top w:w="80" w:type="dxa"/>
              <w:left w:w="100" w:type="dxa"/>
              <w:bottom w:w="80" w:type="dxa"/>
              <w:right w:w="100" w:type="dxa"/>
            </w:tcMar>
          </w:tcPr>
          <w:p w14:paraId="7A000093" w14:textId="77777777" w:rsidR="0062357D" w:rsidRDefault="007E79DA">
            <w:r>
              <w:rPr>
                <w:sz w:val="19"/>
                <w:szCs w:val="19"/>
              </w:rPr>
              <w:t>Workload, org</w:t>
            </w:r>
          </w:p>
        </w:tc>
      </w:tr>
      <w:tr w:rsidR="0062357D" w14:paraId="4D9CD75D" w14:textId="77777777">
        <w:trPr>
          <w:cantSplit/>
        </w:trPr>
        <w:tc>
          <w:tcPr>
            <w:tcW w:w="960" w:type="dxa"/>
            <w:tcMar>
              <w:top w:w="80" w:type="dxa"/>
              <w:left w:w="100" w:type="dxa"/>
              <w:bottom w:w="80" w:type="dxa"/>
              <w:right w:w="100" w:type="dxa"/>
            </w:tcMar>
          </w:tcPr>
          <w:p w14:paraId="7A000094" w14:textId="77777777" w:rsidR="0062357D" w:rsidRDefault="007E79DA">
            <w:r>
              <w:rPr>
                <w:sz w:val="19"/>
                <w:szCs w:val="19"/>
              </w:rPr>
              <w:t>D-SAV</w:t>
            </w:r>
          </w:p>
        </w:tc>
        <w:tc>
          <w:tcPr>
            <w:tcW w:w="2240" w:type="dxa"/>
            <w:tcMar>
              <w:top w:w="80" w:type="dxa"/>
              <w:left w:w="100" w:type="dxa"/>
              <w:bottom w:w="80" w:type="dxa"/>
              <w:right w:w="100" w:type="dxa"/>
            </w:tcMar>
          </w:tcPr>
          <w:p w14:paraId="7A000095" w14:textId="77777777" w:rsidR="0062357D" w:rsidRDefault="007E79DA">
            <w:r>
              <w:rPr>
                <w:sz w:val="19"/>
                <w:szCs w:val="19"/>
              </w:rPr>
              <w:t>Estimated Savings</w:t>
            </w:r>
          </w:p>
        </w:tc>
        <w:tc>
          <w:tcPr>
            <w:tcW w:w="2720" w:type="dxa"/>
            <w:tcMar>
              <w:top w:w="80" w:type="dxa"/>
              <w:left w:w="100" w:type="dxa"/>
              <w:bottom w:w="80" w:type="dxa"/>
              <w:right w:w="100" w:type="dxa"/>
            </w:tcMar>
          </w:tcPr>
          <w:p w14:paraId="7A000096" w14:textId="77777777" w:rsidR="0062357D" w:rsidRDefault="007E79DA">
            <w:r>
              <w:rPr>
                <w:sz w:val="19"/>
                <w:szCs w:val="19"/>
              </w:rPr>
              <w:t>Projected monthly $, kWh and kg CO2e reduction if open recommendations are applied</w:t>
            </w:r>
          </w:p>
        </w:tc>
        <w:tc>
          <w:tcPr>
            <w:tcW w:w="1280" w:type="dxa"/>
            <w:tcMar>
              <w:top w:w="80" w:type="dxa"/>
              <w:left w:w="100" w:type="dxa"/>
              <w:bottom w:w="80" w:type="dxa"/>
              <w:right w:w="100" w:type="dxa"/>
            </w:tcMar>
          </w:tcPr>
          <w:p w14:paraId="7A000097" w14:textId="77777777" w:rsidR="0062357D" w:rsidRDefault="007E79DA">
            <w:r>
              <w:rPr>
                <w:sz w:val="19"/>
                <w:szCs w:val="19"/>
              </w:rPr>
              <w:t>$, kWh, kgCO2e</w:t>
            </w:r>
          </w:p>
        </w:tc>
        <w:tc>
          <w:tcPr>
            <w:tcW w:w="1280" w:type="dxa"/>
            <w:tcMar>
              <w:top w:w="80" w:type="dxa"/>
              <w:left w:w="100" w:type="dxa"/>
              <w:bottom w:w="80" w:type="dxa"/>
              <w:right w:w="100" w:type="dxa"/>
            </w:tcMar>
          </w:tcPr>
          <w:p w14:paraId="7A000098" w14:textId="77777777" w:rsidR="0062357D" w:rsidRDefault="007E79DA">
            <w:r>
              <w:rPr>
                <w:sz w:val="19"/>
                <w:szCs w:val="19"/>
              </w:rPr>
              <w:t>Daily</w:t>
            </w:r>
          </w:p>
        </w:tc>
        <w:tc>
          <w:tcPr>
            <w:tcW w:w="1120" w:type="dxa"/>
            <w:tcMar>
              <w:top w:w="80" w:type="dxa"/>
              <w:left w:w="100" w:type="dxa"/>
              <w:bottom w:w="80" w:type="dxa"/>
              <w:right w:w="100" w:type="dxa"/>
            </w:tcMar>
          </w:tcPr>
          <w:p w14:paraId="7A000099" w14:textId="77777777" w:rsidR="0062357D" w:rsidRDefault="007E79DA">
            <w:r>
              <w:rPr>
                <w:sz w:val="19"/>
                <w:szCs w:val="19"/>
              </w:rPr>
              <w:t>Workload, org</w:t>
            </w:r>
          </w:p>
        </w:tc>
      </w:tr>
    </w:tbl>
    <w:p w14:paraId="7A00009A" w14:textId="77777777" w:rsidR="0062357D" w:rsidRDefault="0062357D">
      <w:pPr>
        <w:spacing w:after="120"/>
      </w:pPr>
    </w:p>
    <w:p w14:paraId="7A00009B" w14:textId="77777777" w:rsidR="0062357D" w:rsidRDefault="007E79DA">
      <w:pPr>
        <w:pStyle w:val="Heading2"/>
        <w:spacing w:before="280" w:after="120"/>
      </w:pPr>
      <w:r>
        <w:rPr>
          <w:b/>
          <w:bCs/>
          <w:color w:val="1E7A4C"/>
          <w:sz w:val="24"/>
          <w:szCs w:val="24"/>
        </w:rPr>
        <w:t>21.4 Scoring Method</w:t>
      </w:r>
    </w:p>
    <w:p w14:paraId="7A00009C" w14:textId="77777777" w:rsidR="0062357D" w:rsidRDefault="007E79DA">
      <w:pPr>
        <w:numPr>
          <w:ilvl w:val="0"/>
          <w:numId w:val="1"/>
        </w:numPr>
        <w:spacing w:after="60"/>
      </w:pPr>
      <w:r>
        <w:rPr>
          <w:b/>
          <w:bCs/>
          <w:sz w:val="21"/>
          <w:szCs w:val="21"/>
        </w:rPr>
        <w:t>Normalization.</w:t>
      </w:r>
      <w:r>
        <w:rPr>
          <w:sz w:val="21"/>
          <w:szCs w:val="21"/>
        </w:rPr>
        <w:t xml:space="preserve"> Each sub-score is scaled 0–100, where 100 means no measurable waste against the reference for that workload class.</w:t>
      </w:r>
    </w:p>
    <w:p w14:paraId="7A00009D" w14:textId="77777777" w:rsidR="0062357D" w:rsidRDefault="007E79DA">
      <w:pPr>
        <w:numPr>
          <w:ilvl w:val="0"/>
          <w:numId w:val="1"/>
        </w:numPr>
        <w:spacing w:after="60"/>
      </w:pPr>
      <w:r>
        <w:rPr>
          <w:b/>
          <w:bCs/>
          <w:sz w:val="21"/>
          <w:szCs w:val="21"/>
        </w:rPr>
        <w:t>Default weights.</w:t>
      </w:r>
      <w:r>
        <w:rPr>
          <w:sz w:val="21"/>
          <w:szCs w:val="21"/>
        </w:rPr>
        <w:t xml:space="preserve"> D-RSS = 40% D-MFS + 25% D-TES + 20% D-UTS + 15% D-CTS. For chat- and browser-only workloads with no infrastructure telemetry, the D-UTS weight is redistributed proportionally across the other three. Weights are versioned configuration under the governance rules in §8.4.</w:t>
      </w:r>
    </w:p>
    <w:p w14:paraId="7A00009E" w14:textId="77777777" w:rsidR="0062357D" w:rsidRDefault="007E79DA">
      <w:pPr>
        <w:numPr>
          <w:ilvl w:val="0"/>
          <w:numId w:val="1"/>
        </w:numPr>
        <w:spacing w:after="60"/>
      </w:pPr>
      <w:r>
        <w:rPr>
          <w:b/>
          <w:bCs/>
          <w:sz w:val="21"/>
          <w:szCs w:val="21"/>
        </w:rPr>
        <w:t>Model fit testing.</w:t>
      </w:r>
      <w:r>
        <w:rPr>
          <w:sz w:val="21"/>
          <w:szCs w:val="21"/>
        </w:rPr>
        <w:t xml:space="preserve"> MFP is measured by shadow-testing a small sample of prompts (default 1–2%) on a smaller model tier. Shadow testing runs only with explicit Subscriber opt-in and under the privacy controls in §14.1; the default parity threshold for “adequate” is 0.95.</w:t>
      </w:r>
    </w:p>
    <w:p w14:paraId="7A00009F" w14:textId="77777777" w:rsidR="0062357D" w:rsidRDefault="007E79DA">
      <w:pPr>
        <w:numPr>
          <w:ilvl w:val="0"/>
          <w:numId w:val="1"/>
        </w:numPr>
        <w:spacing w:after="60"/>
      </w:pPr>
      <w:r>
        <w:rPr>
          <w:b/>
          <w:bCs/>
          <w:sz w:val="21"/>
          <w:szCs w:val="21"/>
        </w:rPr>
        <w:t>Confidence.</w:t>
      </w:r>
      <w:r>
        <w:rPr>
          <w:sz w:val="21"/>
          <w:szCs w:val="21"/>
        </w:rPr>
        <w:t xml:space="preserve"> Every score carries the measured / modeled / estimated tag from §8.1–§8.3, inherited from its weakest input, so dashboards never present a modeled score as measured.</w:t>
      </w:r>
    </w:p>
    <w:p w14:paraId="7A0000A0" w14:textId="77777777" w:rsidR="0062357D" w:rsidRDefault="007E79DA">
      <w:pPr>
        <w:numPr>
          <w:ilvl w:val="0"/>
          <w:numId w:val="1"/>
        </w:numPr>
        <w:spacing w:after="60"/>
      </w:pPr>
      <w:r>
        <w:rPr>
          <w:b/>
          <w:bCs/>
          <w:sz w:val="21"/>
          <w:szCs w:val="21"/>
        </w:rPr>
        <w:t>Bands.</w:t>
      </w:r>
      <w:r>
        <w:rPr>
          <w:sz w:val="21"/>
          <w:szCs w:val="21"/>
        </w:rPr>
        <w:t xml:space="preserve"> 85–100 Right-sized; 60–84 Opportunity; below 60 Oversized or wasteful.</w:t>
      </w:r>
    </w:p>
    <w:p w14:paraId="7A0000A1" w14:textId="77777777" w:rsidR="0062357D" w:rsidRDefault="007E79DA">
      <w:pPr>
        <w:pStyle w:val="Heading2"/>
        <w:spacing w:before="280" w:after="120"/>
      </w:pPr>
      <w:r>
        <w:rPr>
          <w:b/>
          <w:bCs/>
          <w:color w:val="1E7A4C"/>
          <w:sz w:val="24"/>
          <w:szCs w:val="24"/>
        </w:rPr>
        <w:t>21.5 Recommendations Engine</w:t>
      </w:r>
    </w:p>
    <w:p w14:paraId="7A0000A2" w14:textId="77777777" w:rsidR="0062357D" w:rsidRDefault="007E79DA">
      <w:pPr>
        <w:spacing w:after="140"/>
      </w:pPr>
      <w:r>
        <w:rPr>
          <w:sz w:val="21"/>
          <w:szCs w:val="21"/>
        </w:rPr>
        <w:t>Each workload scoring below the Right-sized band receives ranked recommendations, each with its own D-SAV estimate:</w:t>
      </w:r>
    </w:p>
    <w:p w14:paraId="7A0000A3" w14:textId="77777777" w:rsidR="0062357D" w:rsidRDefault="007E79DA">
      <w:pPr>
        <w:numPr>
          <w:ilvl w:val="0"/>
          <w:numId w:val="1"/>
        </w:numPr>
        <w:spacing w:after="60"/>
      </w:pPr>
      <w:r>
        <w:rPr>
          <w:b/>
          <w:bCs/>
          <w:sz w:val="21"/>
          <w:szCs w:val="21"/>
        </w:rPr>
        <w:t>Downshift model</w:t>
      </w:r>
      <w:r>
        <w:rPr>
          <w:sz w:val="21"/>
          <w:szCs w:val="21"/>
        </w:rPr>
        <w:t xml:space="preserve"> where MFP meets the parity threshold on a smaller tier.</w:t>
      </w:r>
    </w:p>
    <w:p w14:paraId="7A0000A4" w14:textId="77777777" w:rsidR="0062357D" w:rsidRDefault="007E79DA">
      <w:pPr>
        <w:numPr>
          <w:ilvl w:val="0"/>
          <w:numId w:val="1"/>
        </w:numPr>
        <w:spacing w:after="60"/>
      </w:pPr>
      <w:r>
        <w:rPr>
          <w:b/>
          <w:bCs/>
          <w:sz w:val="21"/>
          <w:szCs w:val="21"/>
        </w:rPr>
        <w:t>Trim context</w:t>
      </w:r>
      <w:r>
        <w:rPr>
          <w:sz w:val="21"/>
          <w:szCs w:val="21"/>
        </w:rPr>
        <w:t xml:space="preserve"> where CXB is high, e.g., </w:t>
      </w:r>
      <w:proofErr w:type="spellStart"/>
      <w:r>
        <w:rPr>
          <w:sz w:val="21"/>
          <w:szCs w:val="21"/>
        </w:rPr>
        <w:t>deduplicating</w:t>
      </w:r>
      <w:proofErr w:type="spellEnd"/>
      <w:r>
        <w:rPr>
          <w:sz w:val="21"/>
          <w:szCs w:val="21"/>
        </w:rPr>
        <w:t xml:space="preserve"> system prompts or summarizing history.</w:t>
      </w:r>
    </w:p>
    <w:p w14:paraId="7A0000A5" w14:textId="77777777" w:rsidR="0062357D" w:rsidRDefault="007E79DA">
      <w:pPr>
        <w:numPr>
          <w:ilvl w:val="0"/>
          <w:numId w:val="1"/>
        </w:numPr>
        <w:spacing w:after="60"/>
      </w:pPr>
      <w:r>
        <w:rPr>
          <w:b/>
          <w:bCs/>
          <w:sz w:val="21"/>
          <w:szCs w:val="21"/>
        </w:rPr>
        <w:t>Enable or improve prompt caching</w:t>
      </w:r>
      <w:r>
        <w:rPr>
          <w:sz w:val="21"/>
          <w:szCs w:val="21"/>
        </w:rPr>
        <w:t xml:space="preserve"> where CHR is low relative to repeated context.</w:t>
      </w:r>
    </w:p>
    <w:p w14:paraId="7A0000A6" w14:textId="77777777" w:rsidR="0062357D" w:rsidRDefault="007E79DA">
      <w:pPr>
        <w:numPr>
          <w:ilvl w:val="0"/>
          <w:numId w:val="1"/>
        </w:numPr>
        <w:spacing w:after="60"/>
      </w:pPr>
      <w:r>
        <w:rPr>
          <w:b/>
          <w:bCs/>
          <w:sz w:val="21"/>
          <w:szCs w:val="21"/>
        </w:rPr>
        <w:t>Batch</w:t>
      </w:r>
      <w:r>
        <w:rPr>
          <w:sz w:val="21"/>
          <w:szCs w:val="21"/>
        </w:rPr>
        <w:t xml:space="preserve"> latency-tolerant work flagged by BTC.</w:t>
      </w:r>
    </w:p>
    <w:p w14:paraId="7A0000A7" w14:textId="77777777" w:rsidR="0062357D" w:rsidRDefault="007E79DA">
      <w:pPr>
        <w:numPr>
          <w:ilvl w:val="0"/>
          <w:numId w:val="1"/>
        </w:numPr>
        <w:spacing w:after="60"/>
      </w:pPr>
      <w:r>
        <w:rPr>
          <w:b/>
          <w:bCs/>
          <w:sz w:val="21"/>
          <w:szCs w:val="21"/>
        </w:rPr>
        <w:t>Shift time or region</w:t>
      </w:r>
      <w:r>
        <w:rPr>
          <w:sz w:val="21"/>
          <w:szCs w:val="21"/>
        </w:rPr>
        <w:t xml:space="preserve"> where CWD shows a materially cleaner window within the job’s allowed latency.</w:t>
      </w:r>
    </w:p>
    <w:p w14:paraId="7A0000A8" w14:textId="77777777" w:rsidR="0062357D" w:rsidRDefault="007E79DA">
      <w:pPr>
        <w:numPr>
          <w:ilvl w:val="0"/>
          <w:numId w:val="1"/>
        </w:numPr>
        <w:spacing w:after="60"/>
      </w:pPr>
      <w:r>
        <w:rPr>
          <w:b/>
          <w:bCs/>
          <w:sz w:val="21"/>
          <w:szCs w:val="21"/>
        </w:rPr>
        <w:t>Release idle capacity</w:t>
      </w:r>
      <w:r>
        <w:rPr>
          <w:sz w:val="21"/>
          <w:szCs w:val="21"/>
        </w:rPr>
        <w:t xml:space="preserve"> flagged by IDC.</w:t>
      </w:r>
    </w:p>
    <w:p w14:paraId="7A0000A9" w14:textId="77777777" w:rsidR="0062357D" w:rsidRDefault="007E79DA">
      <w:pPr>
        <w:pStyle w:val="Heading2"/>
        <w:spacing w:before="280" w:after="120"/>
      </w:pPr>
      <w:r>
        <w:rPr>
          <w:b/>
          <w:bCs/>
          <w:color w:val="1E7A4C"/>
          <w:sz w:val="24"/>
          <w:szCs w:val="24"/>
        </w:rPr>
        <w:t>21.6 Integration Notes</w:t>
      </w:r>
    </w:p>
    <w:p w14:paraId="7A0000AA" w14:textId="77777777" w:rsidR="0062357D" w:rsidRDefault="007E79DA">
      <w:pPr>
        <w:numPr>
          <w:ilvl w:val="0"/>
          <w:numId w:val="1"/>
        </w:numPr>
        <w:spacing w:after="60"/>
      </w:pPr>
      <w:r>
        <w:rPr>
          <w:sz w:val="21"/>
          <w:szCs w:val="21"/>
        </w:rPr>
        <w:t>D-RSS and the efficiency indexes surface in the dashboard views (§6.3); an optional right-size band may be appended to the alphanumeric indicator (§5) in a future revision.</w:t>
      </w:r>
    </w:p>
    <w:p w14:paraId="7A0000AB" w14:textId="77777777" w:rsidR="0062357D" w:rsidRDefault="007E79DA">
      <w:pPr>
        <w:numPr>
          <w:ilvl w:val="0"/>
          <w:numId w:val="1"/>
        </w:numPr>
        <w:spacing w:after="60"/>
      </w:pPr>
      <w:r>
        <w:rPr>
          <w:sz w:val="21"/>
          <w:szCs w:val="21"/>
        </w:rPr>
        <w:t>Return-on-Impact reporting treats reductions achieved via recommendations separately from credits retired through the marketplace, so Subscribers can report both.</w:t>
      </w:r>
    </w:p>
    <w:p w14:paraId="7A0000AC" w14:textId="77777777" w:rsidR="0062357D" w:rsidRDefault="007E79DA">
      <w:pPr>
        <w:numPr>
          <w:ilvl w:val="0"/>
          <w:numId w:val="1"/>
        </w:numPr>
        <w:spacing w:after="60"/>
      </w:pPr>
      <w:r>
        <w:rPr>
          <w:sz w:val="21"/>
          <w:szCs w:val="21"/>
        </w:rPr>
        <w:t xml:space="preserve">Anonymized, aggregated efficiency indexes by model and provider feed </w:t>
      </w:r>
      <w:proofErr w:type="spellStart"/>
      <w:r>
        <w:rPr>
          <w:sz w:val="21"/>
          <w:szCs w:val="21"/>
        </w:rPr>
        <w:t>AIforE’s</w:t>
      </w:r>
      <w:proofErr w:type="spellEnd"/>
      <w:r>
        <w:rPr>
          <w:sz w:val="21"/>
          <w:szCs w:val="21"/>
        </w:rPr>
        <w:t xml:space="preserve"> public benchmarks (Figure 2).</w:t>
      </w:r>
    </w:p>
    <w:p w14:paraId="7A0000AD" w14:textId="77777777" w:rsidR="0062357D" w:rsidRDefault="007E79DA">
      <w:pPr>
        <w:numPr>
          <w:ilvl w:val="0"/>
          <w:numId w:val="1"/>
        </w:numPr>
        <w:spacing w:after="60"/>
      </w:pPr>
      <w:r>
        <w:rPr>
          <w:sz w:val="21"/>
          <w:szCs w:val="21"/>
        </w:rPr>
        <w:t xml:space="preserve">Proposed </w:t>
      </w:r>
      <w:proofErr w:type="spellStart"/>
      <w:r>
        <w:rPr>
          <w:sz w:val="21"/>
          <w:szCs w:val="21"/>
        </w:rPr>
        <w:t>OpenTelemetry</w:t>
      </w:r>
      <w:proofErr w:type="spellEnd"/>
      <w:r>
        <w:rPr>
          <w:sz w:val="21"/>
          <w:szCs w:val="21"/>
        </w:rPr>
        <w:t xml:space="preserve"> attributes for these fields should use a </w:t>
      </w:r>
      <w:proofErr w:type="spellStart"/>
      <w:r>
        <w:rPr>
          <w:sz w:val="21"/>
          <w:szCs w:val="21"/>
        </w:rPr>
        <w:t>stardust.efficiency</w:t>
      </w:r>
      <w:proofErr w:type="spellEnd"/>
      <w:r>
        <w:rPr>
          <w:sz w:val="21"/>
          <w:szCs w:val="21"/>
        </w:rPr>
        <w:t>.* namespace, consistent with the harmonization approach in §11.</w:t>
      </w:r>
    </w:p>
    <w:p w14:paraId="7D00000E" w14:textId="77777777" w:rsidR="0062357D" w:rsidRDefault="007E79DA">
      <w:pPr>
        <w:pStyle w:val="Heading1"/>
        <w:spacing w:before="360" w:after="160"/>
      </w:pPr>
      <w:r>
        <w:rPr>
          <w:b/>
          <w:bCs/>
          <w:color w:val="0F4A2E"/>
          <w:sz w:val="30"/>
          <w:szCs w:val="30"/>
        </w:rPr>
        <w:t>22. Multi-Attribute Impact Credits: Renewable Energy, Water, Heat Recovery, and Recycling</w:t>
      </w:r>
    </w:p>
    <w:p w14:paraId="7D00000F" w14:textId="77777777" w:rsidR="0062357D" w:rsidRDefault="007E79DA">
      <w:pPr>
        <w:spacing w:after="140"/>
      </w:pPr>
      <w:r>
        <w:rPr>
          <w:sz w:val="21"/>
          <w:szCs w:val="21"/>
        </w:rPr>
        <w:t>Carbon is one dimension of impact. Stardust measures a Subscriber’s footprint across carbon, electricity, water, heat and materials, and Providers that generate renewable electricity, restore, recycle or remediate water, recover waste heat, or recycle materials produce the positive counterpart. This section extends the Provider/Subscriber model (§10) so each footprint dimension is matched with the recognized credit instrument for that dimension, and specifies how Stardust connects to the registries and mark</w:t>
      </w:r>
      <w:r>
        <w:rPr>
          <w:sz w:val="21"/>
          <w:szCs w:val="21"/>
        </w:rPr>
        <w:t>ets where those credits are issued, traded and retired.</w:t>
      </w:r>
    </w:p>
    <w:p w14:paraId="7D000010" w14:textId="77777777" w:rsidR="0062357D" w:rsidRDefault="007E79DA">
      <w:pPr>
        <w:pStyle w:val="Heading2"/>
        <w:spacing w:before="280" w:after="120"/>
      </w:pPr>
      <w:r>
        <w:rPr>
          <w:b/>
          <w:bCs/>
          <w:color w:val="1E7A4C"/>
          <w:sz w:val="24"/>
          <w:szCs w:val="24"/>
        </w:rPr>
        <w:t>22.1 Design Principles</w:t>
      </w:r>
    </w:p>
    <w:p w14:paraId="7D000011" w14:textId="77777777" w:rsidR="0062357D" w:rsidRDefault="007E79DA">
      <w:pPr>
        <w:numPr>
          <w:ilvl w:val="0"/>
          <w:numId w:val="1"/>
        </w:numPr>
        <w:spacing w:after="60"/>
      </w:pPr>
      <w:r>
        <w:rPr>
          <w:b/>
          <w:bCs/>
          <w:sz w:val="21"/>
          <w:szCs w:val="21"/>
        </w:rPr>
        <w:t>Like for like.</w:t>
      </w:r>
      <w:r>
        <w:rPr>
          <w:sz w:val="21"/>
          <w:szCs w:val="21"/>
        </w:rPr>
        <w:t xml:space="preserve"> Each footprint dimension is matched only with credits of the same dimension. A water credit never cancels carbon, and a REC is a Scope 2 electricity claim, not a carbon offset.</w:t>
      </w:r>
    </w:p>
    <w:p w14:paraId="7D000012" w14:textId="77777777" w:rsidR="0062357D" w:rsidRDefault="007E79DA">
      <w:pPr>
        <w:numPr>
          <w:ilvl w:val="0"/>
          <w:numId w:val="1"/>
        </w:numPr>
        <w:spacing w:after="60"/>
      </w:pPr>
      <w:r>
        <w:rPr>
          <w:b/>
          <w:bCs/>
          <w:sz w:val="21"/>
          <w:szCs w:val="21"/>
        </w:rPr>
        <w:t>Register, don’t issue.</w:t>
      </w:r>
      <w:r>
        <w:rPr>
          <w:sz w:val="21"/>
          <w:szCs w:val="21"/>
        </w:rPr>
        <w:t xml:space="preserve"> Stardust supplies measurement and MRV data; recognized programs and registries verify and issue. Stardust never mints its own credits.</w:t>
      </w:r>
    </w:p>
    <w:p w14:paraId="7D000013" w14:textId="77777777" w:rsidR="0062357D" w:rsidRDefault="007E79DA">
      <w:pPr>
        <w:numPr>
          <w:ilvl w:val="0"/>
          <w:numId w:val="1"/>
        </w:numPr>
        <w:spacing w:after="60"/>
      </w:pPr>
      <w:r>
        <w:rPr>
          <w:b/>
          <w:bCs/>
          <w:sz w:val="21"/>
          <w:szCs w:val="21"/>
        </w:rPr>
        <w:t>One benefit, one claim.</w:t>
      </w:r>
      <w:r>
        <w:rPr>
          <w:sz w:val="21"/>
          <w:szCs w:val="21"/>
        </w:rPr>
        <w:t xml:space="preserve"> Each serial is retired once, for one beneficiary and one claim period. The same benefit cannot be sold as two instruments (for example, one MWh as both a REC and a carbon credit) unless the program explicitly allows it.</w:t>
      </w:r>
    </w:p>
    <w:p w14:paraId="7D000014" w14:textId="77777777" w:rsidR="0062357D" w:rsidRDefault="007E79DA">
      <w:pPr>
        <w:numPr>
          <w:ilvl w:val="0"/>
          <w:numId w:val="1"/>
        </w:numPr>
        <w:spacing w:after="60"/>
      </w:pPr>
      <w:r>
        <w:rPr>
          <w:b/>
          <w:bCs/>
          <w:sz w:val="21"/>
          <w:szCs w:val="21"/>
        </w:rPr>
        <w:t>Match in time and place.</w:t>
      </w:r>
      <w:r>
        <w:rPr>
          <w:sz w:val="21"/>
          <w:szCs w:val="21"/>
        </w:rPr>
        <w:t xml:space="preserve"> Electricity is matched within a market boundary and, where possible, by the hour; water within the same or a stressed watershed; heat to a named local recipient.</w:t>
      </w:r>
    </w:p>
    <w:p w14:paraId="7D000015" w14:textId="77777777" w:rsidR="0062357D" w:rsidRDefault="007E79DA">
      <w:pPr>
        <w:numPr>
          <w:ilvl w:val="0"/>
          <w:numId w:val="1"/>
        </w:numPr>
        <w:spacing w:after="60"/>
      </w:pPr>
      <w:r>
        <w:rPr>
          <w:b/>
          <w:bCs/>
          <w:sz w:val="21"/>
          <w:szCs w:val="21"/>
        </w:rPr>
        <w:t>Same confidence discipline.</w:t>
      </w:r>
      <w:r>
        <w:rPr>
          <w:sz w:val="21"/>
          <w:szCs w:val="21"/>
        </w:rPr>
        <w:t xml:space="preserve"> The Provider confidence tiers in §10.2.1 apply to every category.</w:t>
      </w:r>
    </w:p>
    <w:p w14:paraId="7D000016" w14:textId="77777777" w:rsidR="0062357D" w:rsidRDefault="007E79DA">
      <w:pPr>
        <w:pStyle w:val="Heading2"/>
        <w:spacing w:before="280" w:after="120"/>
      </w:pPr>
      <w:r>
        <w:rPr>
          <w:b/>
          <w:bCs/>
          <w:color w:val="1E7A4C"/>
          <w:sz w:val="24"/>
          <w:szCs w:val="24"/>
        </w:rPr>
        <w:t>22.2 Footprint-to-Credit Mapping</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600"/>
        <w:gridCol w:w="1600"/>
        <w:gridCol w:w="2900"/>
        <w:gridCol w:w="1000"/>
        <w:gridCol w:w="1400"/>
      </w:tblGrid>
      <w:tr w:rsidR="0062357D" w14:paraId="14FEDAE3" w14:textId="77777777">
        <w:trPr>
          <w:tblHeader/>
        </w:trPr>
        <w:tc>
          <w:tcPr>
            <w:tcW w:w="1100" w:type="dxa"/>
            <w:shd w:val="clear" w:color="auto" w:fill="1E7A4C"/>
            <w:tcMar>
              <w:top w:w="80" w:type="dxa"/>
              <w:left w:w="100" w:type="dxa"/>
              <w:bottom w:w="80" w:type="dxa"/>
              <w:right w:w="100" w:type="dxa"/>
            </w:tcMar>
          </w:tcPr>
          <w:p w14:paraId="7D000017" w14:textId="77777777" w:rsidR="0062357D" w:rsidRDefault="007E79DA">
            <w:r>
              <w:rPr>
                <w:b/>
                <w:bCs/>
                <w:color w:val="FFFFFF"/>
                <w:sz w:val="19"/>
                <w:szCs w:val="19"/>
              </w:rPr>
              <w:t>Dimension</w:t>
            </w:r>
          </w:p>
        </w:tc>
        <w:tc>
          <w:tcPr>
            <w:tcW w:w="1600" w:type="dxa"/>
            <w:shd w:val="clear" w:color="auto" w:fill="1E7A4C"/>
            <w:tcMar>
              <w:top w:w="80" w:type="dxa"/>
              <w:left w:w="100" w:type="dxa"/>
              <w:bottom w:w="80" w:type="dxa"/>
              <w:right w:w="100" w:type="dxa"/>
            </w:tcMar>
          </w:tcPr>
          <w:p w14:paraId="7D000018" w14:textId="77777777" w:rsidR="0062357D" w:rsidRDefault="007E79DA">
            <w:r>
              <w:rPr>
                <w:b/>
                <w:bCs/>
                <w:color w:val="FFFFFF"/>
                <w:sz w:val="19"/>
                <w:szCs w:val="19"/>
              </w:rPr>
              <w:t>Subscriber footprint</w:t>
            </w:r>
          </w:p>
        </w:tc>
        <w:tc>
          <w:tcPr>
            <w:tcW w:w="1600" w:type="dxa"/>
            <w:shd w:val="clear" w:color="auto" w:fill="1E7A4C"/>
            <w:tcMar>
              <w:top w:w="80" w:type="dxa"/>
              <w:left w:w="100" w:type="dxa"/>
              <w:bottom w:w="80" w:type="dxa"/>
              <w:right w:w="100" w:type="dxa"/>
            </w:tcMar>
          </w:tcPr>
          <w:p w14:paraId="7D000019" w14:textId="77777777" w:rsidR="0062357D" w:rsidRDefault="007E79DA">
            <w:r>
              <w:rPr>
                <w:b/>
                <w:bCs/>
                <w:color w:val="FFFFFF"/>
                <w:sz w:val="19"/>
                <w:szCs w:val="19"/>
              </w:rPr>
              <w:t>Provider benefit</w:t>
            </w:r>
          </w:p>
        </w:tc>
        <w:tc>
          <w:tcPr>
            <w:tcW w:w="2900" w:type="dxa"/>
            <w:shd w:val="clear" w:color="auto" w:fill="1E7A4C"/>
            <w:tcMar>
              <w:top w:w="80" w:type="dxa"/>
              <w:left w:w="100" w:type="dxa"/>
              <w:bottom w:w="80" w:type="dxa"/>
              <w:right w:w="100" w:type="dxa"/>
            </w:tcMar>
          </w:tcPr>
          <w:p w14:paraId="7D00001A" w14:textId="77777777" w:rsidR="0062357D" w:rsidRDefault="007E79DA">
            <w:r>
              <w:rPr>
                <w:b/>
                <w:bCs/>
                <w:color w:val="FFFFFF"/>
                <w:sz w:val="19"/>
                <w:szCs w:val="19"/>
              </w:rPr>
              <w:t>Credit instruments and programs</w:t>
            </w:r>
          </w:p>
        </w:tc>
        <w:tc>
          <w:tcPr>
            <w:tcW w:w="1000" w:type="dxa"/>
            <w:shd w:val="clear" w:color="auto" w:fill="1E7A4C"/>
            <w:tcMar>
              <w:top w:w="80" w:type="dxa"/>
              <w:left w:w="100" w:type="dxa"/>
              <w:bottom w:w="80" w:type="dxa"/>
              <w:right w:w="100" w:type="dxa"/>
            </w:tcMar>
          </w:tcPr>
          <w:p w14:paraId="7D00001B" w14:textId="77777777" w:rsidR="0062357D" w:rsidRDefault="007E79DA">
            <w:r>
              <w:rPr>
                <w:b/>
                <w:bCs/>
                <w:color w:val="FFFFFF"/>
                <w:sz w:val="19"/>
                <w:szCs w:val="19"/>
              </w:rPr>
              <w:t>Unit</w:t>
            </w:r>
          </w:p>
        </w:tc>
        <w:tc>
          <w:tcPr>
            <w:tcW w:w="1400" w:type="dxa"/>
            <w:shd w:val="clear" w:color="auto" w:fill="1E7A4C"/>
            <w:tcMar>
              <w:top w:w="80" w:type="dxa"/>
              <w:left w:w="100" w:type="dxa"/>
              <w:bottom w:w="80" w:type="dxa"/>
              <w:right w:w="100" w:type="dxa"/>
            </w:tcMar>
          </w:tcPr>
          <w:p w14:paraId="7D00001C" w14:textId="77777777" w:rsidR="0062357D" w:rsidRDefault="007E79DA">
            <w:r>
              <w:rPr>
                <w:b/>
                <w:bCs/>
                <w:color w:val="FFFFFF"/>
                <w:sz w:val="19"/>
                <w:szCs w:val="19"/>
              </w:rPr>
              <w:t>Maturity</w:t>
            </w:r>
          </w:p>
        </w:tc>
      </w:tr>
      <w:tr w:rsidR="0062357D" w14:paraId="101FF09D" w14:textId="77777777">
        <w:trPr>
          <w:cantSplit/>
        </w:trPr>
        <w:tc>
          <w:tcPr>
            <w:tcW w:w="1100" w:type="dxa"/>
            <w:tcMar>
              <w:top w:w="80" w:type="dxa"/>
              <w:left w:w="100" w:type="dxa"/>
              <w:bottom w:w="80" w:type="dxa"/>
              <w:right w:w="100" w:type="dxa"/>
            </w:tcMar>
          </w:tcPr>
          <w:p w14:paraId="7D00001D" w14:textId="77777777" w:rsidR="0062357D" w:rsidRDefault="007E79DA">
            <w:r>
              <w:rPr>
                <w:sz w:val="19"/>
                <w:szCs w:val="19"/>
              </w:rPr>
              <w:t>Carbon</w:t>
            </w:r>
          </w:p>
        </w:tc>
        <w:tc>
          <w:tcPr>
            <w:tcW w:w="1600" w:type="dxa"/>
            <w:tcMar>
              <w:top w:w="80" w:type="dxa"/>
              <w:left w:w="100" w:type="dxa"/>
              <w:bottom w:w="80" w:type="dxa"/>
              <w:right w:w="100" w:type="dxa"/>
            </w:tcMar>
          </w:tcPr>
          <w:p w14:paraId="7D00001E" w14:textId="77777777" w:rsidR="0062357D" w:rsidRDefault="007E79DA">
            <w:r>
              <w:rPr>
                <w:sz w:val="19"/>
                <w:szCs w:val="19"/>
              </w:rPr>
              <w:t>CO2e, full lifecycle (§8.8)</w:t>
            </w:r>
          </w:p>
        </w:tc>
        <w:tc>
          <w:tcPr>
            <w:tcW w:w="1600" w:type="dxa"/>
            <w:tcMar>
              <w:top w:w="80" w:type="dxa"/>
              <w:left w:w="100" w:type="dxa"/>
              <w:bottom w:w="80" w:type="dxa"/>
              <w:right w:w="100" w:type="dxa"/>
            </w:tcMar>
          </w:tcPr>
          <w:p w14:paraId="7D00001F" w14:textId="77777777" w:rsidR="0062357D" w:rsidRDefault="007E79DA">
            <w:r>
              <w:rPr>
                <w:sz w:val="19"/>
                <w:szCs w:val="19"/>
              </w:rPr>
              <w:t>Removal or avoidance of greenhouse gases</w:t>
            </w:r>
          </w:p>
        </w:tc>
        <w:tc>
          <w:tcPr>
            <w:tcW w:w="2900" w:type="dxa"/>
            <w:tcMar>
              <w:top w:w="80" w:type="dxa"/>
              <w:left w:w="100" w:type="dxa"/>
              <w:bottom w:w="80" w:type="dxa"/>
              <w:right w:w="100" w:type="dxa"/>
            </w:tcMar>
          </w:tcPr>
          <w:p w14:paraId="7D000020" w14:textId="77777777" w:rsidR="0062357D" w:rsidRDefault="007E79DA">
            <w:r>
              <w:rPr>
                <w:sz w:val="19"/>
                <w:szCs w:val="19"/>
              </w:rPr>
              <w:t xml:space="preserve">Carbon credits: </w:t>
            </w:r>
            <w:proofErr w:type="spellStart"/>
            <w:r>
              <w:rPr>
                <w:sz w:val="19"/>
                <w:szCs w:val="19"/>
              </w:rPr>
              <w:t>Verra</w:t>
            </w:r>
            <w:proofErr w:type="spellEnd"/>
            <w:r>
              <w:rPr>
                <w:sz w:val="19"/>
                <w:szCs w:val="19"/>
              </w:rPr>
              <w:t xml:space="preserve"> VCS, Gold Standard, ACR, CAR; </w:t>
            </w:r>
            <w:proofErr w:type="spellStart"/>
            <w:r>
              <w:rPr>
                <w:sz w:val="19"/>
                <w:szCs w:val="19"/>
              </w:rPr>
              <w:t>Puro.earth</w:t>
            </w:r>
            <w:proofErr w:type="spellEnd"/>
            <w:r>
              <w:rPr>
                <w:sz w:val="19"/>
                <w:szCs w:val="19"/>
              </w:rPr>
              <w:t xml:space="preserve"> and others for engineered removals</w:t>
            </w:r>
          </w:p>
        </w:tc>
        <w:tc>
          <w:tcPr>
            <w:tcW w:w="1000" w:type="dxa"/>
            <w:tcMar>
              <w:top w:w="80" w:type="dxa"/>
              <w:left w:w="100" w:type="dxa"/>
              <w:bottom w:w="80" w:type="dxa"/>
              <w:right w:w="100" w:type="dxa"/>
            </w:tcMar>
          </w:tcPr>
          <w:p w14:paraId="7D000021" w14:textId="77777777" w:rsidR="0062357D" w:rsidRDefault="007E79DA">
            <w:r>
              <w:rPr>
                <w:sz w:val="19"/>
                <w:szCs w:val="19"/>
              </w:rPr>
              <w:t>tCO2e</w:t>
            </w:r>
          </w:p>
        </w:tc>
        <w:tc>
          <w:tcPr>
            <w:tcW w:w="1400" w:type="dxa"/>
            <w:tcMar>
              <w:top w:w="80" w:type="dxa"/>
              <w:left w:w="100" w:type="dxa"/>
              <w:bottom w:w="80" w:type="dxa"/>
              <w:right w:w="100" w:type="dxa"/>
            </w:tcMar>
          </w:tcPr>
          <w:p w14:paraId="7D000022" w14:textId="77777777" w:rsidR="0062357D" w:rsidRDefault="007E79DA">
            <w:r>
              <w:rPr>
                <w:sz w:val="19"/>
                <w:szCs w:val="19"/>
              </w:rPr>
              <w:t>Mature</w:t>
            </w:r>
          </w:p>
        </w:tc>
      </w:tr>
      <w:tr w:rsidR="0062357D" w14:paraId="345E68B7" w14:textId="77777777">
        <w:trPr>
          <w:cantSplit/>
        </w:trPr>
        <w:tc>
          <w:tcPr>
            <w:tcW w:w="1100" w:type="dxa"/>
            <w:tcMar>
              <w:top w:w="80" w:type="dxa"/>
              <w:left w:w="100" w:type="dxa"/>
              <w:bottom w:w="80" w:type="dxa"/>
              <w:right w:w="100" w:type="dxa"/>
            </w:tcMar>
          </w:tcPr>
          <w:p w14:paraId="7D000023" w14:textId="77777777" w:rsidR="0062357D" w:rsidRDefault="007E79DA">
            <w:r>
              <w:rPr>
                <w:sz w:val="19"/>
                <w:szCs w:val="19"/>
              </w:rPr>
              <w:t>Electricity</w:t>
            </w:r>
          </w:p>
        </w:tc>
        <w:tc>
          <w:tcPr>
            <w:tcW w:w="1600" w:type="dxa"/>
            <w:tcMar>
              <w:top w:w="80" w:type="dxa"/>
              <w:left w:w="100" w:type="dxa"/>
              <w:bottom w:w="80" w:type="dxa"/>
              <w:right w:w="100" w:type="dxa"/>
            </w:tcMar>
          </w:tcPr>
          <w:p w14:paraId="7D000024" w14:textId="77777777" w:rsidR="0062357D" w:rsidRDefault="007E79DA">
            <w:r>
              <w:rPr>
                <w:sz w:val="19"/>
                <w:szCs w:val="19"/>
              </w:rPr>
              <w:t>kWh consumed, by hour and grid region</w:t>
            </w:r>
          </w:p>
        </w:tc>
        <w:tc>
          <w:tcPr>
            <w:tcW w:w="1600" w:type="dxa"/>
            <w:tcMar>
              <w:top w:w="80" w:type="dxa"/>
              <w:left w:w="100" w:type="dxa"/>
              <w:bottom w:w="80" w:type="dxa"/>
              <w:right w:w="100" w:type="dxa"/>
            </w:tcMar>
          </w:tcPr>
          <w:p w14:paraId="7D000025" w14:textId="77777777" w:rsidR="0062357D" w:rsidRDefault="007E79DA">
            <w:r>
              <w:rPr>
                <w:sz w:val="19"/>
                <w:szCs w:val="19"/>
              </w:rPr>
              <w:t>Renewable electricity generation</w:t>
            </w:r>
          </w:p>
        </w:tc>
        <w:tc>
          <w:tcPr>
            <w:tcW w:w="2900" w:type="dxa"/>
            <w:tcMar>
              <w:top w:w="80" w:type="dxa"/>
              <w:left w:w="100" w:type="dxa"/>
              <w:bottom w:w="80" w:type="dxa"/>
              <w:right w:w="100" w:type="dxa"/>
            </w:tcMar>
          </w:tcPr>
          <w:p w14:paraId="7D000026" w14:textId="77777777" w:rsidR="0062357D" w:rsidRDefault="007E79DA">
            <w:r>
              <w:rPr>
                <w:sz w:val="19"/>
                <w:szCs w:val="19"/>
              </w:rPr>
              <w:t>Energy Attribute Certificates: RECs (US regional tracking systems such as M-RETS, PJM-GATS, WREGIS), Guarantees of Origin (EU), I-RECs (elsewhere); Granular Certificates (</w:t>
            </w:r>
            <w:proofErr w:type="spellStart"/>
            <w:r>
              <w:rPr>
                <w:sz w:val="19"/>
                <w:szCs w:val="19"/>
              </w:rPr>
              <w:t>EnergyTag</w:t>
            </w:r>
            <w:proofErr w:type="spellEnd"/>
            <w:r>
              <w:rPr>
                <w:sz w:val="19"/>
                <w:szCs w:val="19"/>
              </w:rPr>
              <w:t>) for hourly matching</w:t>
            </w:r>
          </w:p>
        </w:tc>
        <w:tc>
          <w:tcPr>
            <w:tcW w:w="1000" w:type="dxa"/>
            <w:tcMar>
              <w:top w:w="80" w:type="dxa"/>
              <w:left w:w="100" w:type="dxa"/>
              <w:bottom w:w="80" w:type="dxa"/>
              <w:right w:w="100" w:type="dxa"/>
            </w:tcMar>
          </w:tcPr>
          <w:p w14:paraId="7D000027" w14:textId="77777777" w:rsidR="0062357D" w:rsidRDefault="007E79DA">
            <w:r>
              <w:rPr>
                <w:sz w:val="19"/>
                <w:szCs w:val="19"/>
              </w:rPr>
              <w:t>MWh</w:t>
            </w:r>
          </w:p>
        </w:tc>
        <w:tc>
          <w:tcPr>
            <w:tcW w:w="1400" w:type="dxa"/>
            <w:tcMar>
              <w:top w:w="80" w:type="dxa"/>
              <w:left w:w="100" w:type="dxa"/>
              <w:bottom w:w="80" w:type="dxa"/>
              <w:right w:w="100" w:type="dxa"/>
            </w:tcMar>
          </w:tcPr>
          <w:p w14:paraId="7D000028" w14:textId="77777777" w:rsidR="0062357D" w:rsidRDefault="007E79DA">
            <w:r>
              <w:rPr>
                <w:sz w:val="19"/>
                <w:szCs w:val="19"/>
              </w:rPr>
              <w:t>Mature (annual); emerging (hourly)</w:t>
            </w:r>
          </w:p>
        </w:tc>
      </w:tr>
      <w:tr w:rsidR="0062357D" w14:paraId="24E3F85E" w14:textId="77777777">
        <w:trPr>
          <w:cantSplit/>
        </w:trPr>
        <w:tc>
          <w:tcPr>
            <w:tcW w:w="1100" w:type="dxa"/>
            <w:tcMar>
              <w:top w:w="80" w:type="dxa"/>
              <w:left w:w="100" w:type="dxa"/>
              <w:bottom w:w="80" w:type="dxa"/>
              <w:right w:w="100" w:type="dxa"/>
            </w:tcMar>
          </w:tcPr>
          <w:p w14:paraId="7D000029" w14:textId="77777777" w:rsidR="0062357D" w:rsidRDefault="007E79DA">
            <w:r>
              <w:rPr>
                <w:sz w:val="19"/>
                <w:szCs w:val="19"/>
              </w:rPr>
              <w:t>Water</w:t>
            </w:r>
          </w:p>
        </w:tc>
        <w:tc>
          <w:tcPr>
            <w:tcW w:w="1600" w:type="dxa"/>
            <w:tcMar>
              <w:top w:w="80" w:type="dxa"/>
              <w:left w:w="100" w:type="dxa"/>
              <w:bottom w:w="80" w:type="dxa"/>
              <w:right w:w="100" w:type="dxa"/>
            </w:tcMar>
          </w:tcPr>
          <w:p w14:paraId="7D00002A" w14:textId="77777777" w:rsidR="0062357D" w:rsidRDefault="007E79DA">
            <w:r>
              <w:rPr>
                <w:sz w:val="19"/>
                <w:szCs w:val="19"/>
              </w:rPr>
              <w:t>Liters consumed (WUE, §4.3)</w:t>
            </w:r>
          </w:p>
        </w:tc>
        <w:tc>
          <w:tcPr>
            <w:tcW w:w="1600" w:type="dxa"/>
            <w:tcMar>
              <w:top w:w="80" w:type="dxa"/>
              <w:left w:w="100" w:type="dxa"/>
              <w:bottom w:w="80" w:type="dxa"/>
              <w:right w:w="100" w:type="dxa"/>
            </w:tcMar>
          </w:tcPr>
          <w:p w14:paraId="7D00002B" w14:textId="77777777" w:rsidR="0062357D" w:rsidRDefault="007E79DA">
            <w:r>
              <w:rPr>
                <w:sz w:val="19"/>
                <w:szCs w:val="19"/>
              </w:rPr>
              <w:t>Water restored to watersheds, recycled, or remediated</w:t>
            </w:r>
          </w:p>
        </w:tc>
        <w:tc>
          <w:tcPr>
            <w:tcW w:w="2900" w:type="dxa"/>
            <w:tcMar>
              <w:top w:w="80" w:type="dxa"/>
              <w:left w:w="100" w:type="dxa"/>
              <w:bottom w:w="80" w:type="dxa"/>
              <w:right w:w="100" w:type="dxa"/>
            </w:tcMar>
          </w:tcPr>
          <w:p w14:paraId="7D00002C" w14:textId="77777777" w:rsidR="0062357D" w:rsidRDefault="007E79DA">
            <w:r>
              <w:rPr>
                <w:sz w:val="19"/>
                <w:szCs w:val="19"/>
              </w:rPr>
              <w:t>Water Restoration Certificates (BEF, 1 certificate = 1,000 gallons); volumetric benefits accounted under WRI Volumetric Water Benefit Accounting</w:t>
            </w:r>
          </w:p>
        </w:tc>
        <w:tc>
          <w:tcPr>
            <w:tcW w:w="1000" w:type="dxa"/>
            <w:tcMar>
              <w:top w:w="80" w:type="dxa"/>
              <w:left w:w="100" w:type="dxa"/>
              <w:bottom w:w="80" w:type="dxa"/>
              <w:right w:w="100" w:type="dxa"/>
            </w:tcMar>
          </w:tcPr>
          <w:p w14:paraId="7D00002D" w14:textId="77777777" w:rsidR="0062357D" w:rsidRDefault="007E79DA">
            <w:r>
              <w:rPr>
                <w:sz w:val="19"/>
                <w:szCs w:val="19"/>
              </w:rPr>
              <w:t>1,000 gal / m3</w:t>
            </w:r>
          </w:p>
        </w:tc>
        <w:tc>
          <w:tcPr>
            <w:tcW w:w="1400" w:type="dxa"/>
            <w:tcMar>
              <w:top w:w="80" w:type="dxa"/>
              <w:left w:w="100" w:type="dxa"/>
              <w:bottom w:w="80" w:type="dxa"/>
              <w:right w:w="100" w:type="dxa"/>
            </w:tcMar>
          </w:tcPr>
          <w:p w14:paraId="7D00002E" w14:textId="77777777" w:rsidR="0062357D" w:rsidRDefault="007E79DA">
            <w:r>
              <w:rPr>
                <w:sz w:val="19"/>
                <w:szCs w:val="19"/>
              </w:rPr>
              <w:t>Emerging</w:t>
            </w:r>
          </w:p>
        </w:tc>
      </w:tr>
      <w:tr w:rsidR="0062357D" w14:paraId="58BBF75A" w14:textId="77777777">
        <w:trPr>
          <w:cantSplit/>
        </w:trPr>
        <w:tc>
          <w:tcPr>
            <w:tcW w:w="1100" w:type="dxa"/>
            <w:tcMar>
              <w:top w:w="80" w:type="dxa"/>
              <w:left w:w="100" w:type="dxa"/>
              <w:bottom w:w="80" w:type="dxa"/>
              <w:right w:w="100" w:type="dxa"/>
            </w:tcMar>
          </w:tcPr>
          <w:p w14:paraId="7D00002F" w14:textId="77777777" w:rsidR="0062357D" w:rsidRDefault="007E79DA">
            <w:r>
              <w:rPr>
                <w:sz w:val="19"/>
                <w:szCs w:val="19"/>
              </w:rPr>
              <w:t>Heat</w:t>
            </w:r>
          </w:p>
        </w:tc>
        <w:tc>
          <w:tcPr>
            <w:tcW w:w="1600" w:type="dxa"/>
            <w:tcMar>
              <w:top w:w="80" w:type="dxa"/>
              <w:left w:w="100" w:type="dxa"/>
              <w:bottom w:w="80" w:type="dxa"/>
              <w:right w:w="100" w:type="dxa"/>
            </w:tcMar>
          </w:tcPr>
          <w:p w14:paraId="7D000030" w14:textId="77777777" w:rsidR="0062357D" w:rsidRDefault="007E79DA">
            <w:r>
              <w:rPr>
                <w:sz w:val="19"/>
                <w:szCs w:val="19"/>
              </w:rPr>
              <w:t>Waste heat rejected (kWh thermal)</w:t>
            </w:r>
          </w:p>
        </w:tc>
        <w:tc>
          <w:tcPr>
            <w:tcW w:w="1600" w:type="dxa"/>
            <w:tcMar>
              <w:top w:w="80" w:type="dxa"/>
              <w:left w:w="100" w:type="dxa"/>
              <w:bottom w:w="80" w:type="dxa"/>
              <w:right w:w="100" w:type="dxa"/>
            </w:tcMar>
          </w:tcPr>
          <w:p w14:paraId="7D000031" w14:textId="77777777" w:rsidR="0062357D" w:rsidRDefault="007E79DA">
            <w:r>
              <w:rPr>
                <w:sz w:val="19"/>
                <w:szCs w:val="19"/>
              </w:rPr>
              <w:t>Waste heat delivered for reuse outside the facility</w:t>
            </w:r>
          </w:p>
        </w:tc>
        <w:tc>
          <w:tcPr>
            <w:tcW w:w="2900" w:type="dxa"/>
            <w:tcMar>
              <w:top w:w="80" w:type="dxa"/>
              <w:left w:w="100" w:type="dxa"/>
              <w:bottom w:w="80" w:type="dxa"/>
              <w:right w:w="100" w:type="dxa"/>
            </w:tcMar>
          </w:tcPr>
          <w:p w14:paraId="7D000032" w14:textId="77777777" w:rsidR="0062357D" w:rsidRDefault="007E79DA">
            <w:r>
              <w:rPr>
                <w:sz w:val="19"/>
                <w:szCs w:val="19"/>
              </w:rPr>
              <w:t>Energy-efficiency (white) certificates where they exist, e.g., France CEE, Italy TEE; carbon credits for displaced fossil heating under waste-energy-recovery methodologies; ERF (ISO/IEC 30134-6) as the measurement basis</w:t>
            </w:r>
          </w:p>
        </w:tc>
        <w:tc>
          <w:tcPr>
            <w:tcW w:w="1000" w:type="dxa"/>
            <w:tcMar>
              <w:top w:w="80" w:type="dxa"/>
              <w:left w:w="100" w:type="dxa"/>
              <w:bottom w:w="80" w:type="dxa"/>
              <w:right w:w="100" w:type="dxa"/>
            </w:tcMar>
          </w:tcPr>
          <w:p w14:paraId="7D000033" w14:textId="77777777" w:rsidR="0062357D" w:rsidRDefault="007E79DA">
            <w:r>
              <w:rPr>
                <w:sz w:val="19"/>
                <w:szCs w:val="19"/>
              </w:rPr>
              <w:t>MWh-</w:t>
            </w:r>
            <w:proofErr w:type="spellStart"/>
            <w:r>
              <w:rPr>
                <w:sz w:val="19"/>
                <w:szCs w:val="19"/>
              </w:rPr>
              <w:t>th</w:t>
            </w:r>
            <w:proofErr w:type="spellEnd"/>
            <w:r>
              <w:rPr>
                <w:sz w:val="19"/>
                <w:szCs w:val="19"/>
              </w:rPr>
              <w:t xml:space="preserve"> / tCO2e</w:t>
            </w:r>
          </w:p>
        </w:tc>
        <w:tc>
          <w:tcPr>
            <w:tcW w:w="1400" w:type="dxa"/>
            <w:tcMar>
              <w:top w:w="80" w:type="dxa"/>
              <w:left w:w="100" w:type="dxa"/>
              <w:bottom w:w="80" w:type="dxa"/>
              <w:right w:w="100" w:type="dxa"/>
            </w:tcMar>
          </w:tcPr>
          <w:p w14:paraId="7D000034" w14:textId="77777777" w:rsidR="0062357D" w:rsidRDefault="007E79DA">
            <w:r>
              <w:rPr>
                <w:sz w:val="19"/>
                <w:szCs w:val="19"/>
              </w:rPr>
              <w:t>Emerging; jurisdiction-specific</w:t>
            </w:r>
          </w:p>
        </w:tc>
      </w:tr>
      <w:tr w:rsidR="0062357D" w14:paraId="3E0D234B" w14:textId="77777777">
        <w:trPr>
          <w:cantSplit/>
        </w:trPr>
        <w:tc>
          <w:tcPr>
            <w:tcW w:w="1100" w:type="dxa"/>
            <w:tcMar>
              <w:top w:w="80" w:type="dxa"/>
              <w:left w:w="100" w:type="dxa"/>
              <w:bottom w:w="80" w:type="dxa"/>
              <w:right w:w="100" w:type="dxa"/>
            </w:tcMar>
          </w:tcPr>
          <w:p w14:paraId="7D000035" w14:textId="77777777" w:rsidR="0062357D" w:rsidRDefault="007E79DA">
            <w:r>
              <w:rPr>
                <w:sz w:val="19"/>
                <w:szCs w:val="19"/>
              </w:rPr>
              <w:t>Materials</w:t>
            </w:r>
          </w:p>
        </w:tc>
        <w:tc>
          <w:tcPr>
            <w:tcW w:w="1600" w:type="dxa"/>
            <w:tcMar>
              <w:top w:w="80" w:type="dxa"/>
              <w:left w:w="100" w:type="dxa"/>
              <w:bottom w:w="80" w:type="dxa"/>
              <w:right w:w="100" w:type="dxa"/>
            </w:tcMar>
          </w:tcPr>
          <w:p w14:paraId="7D000036" w14:textId="77777777" w:rsidR="0062357D" w:rsidRDefault="007E79DA">
            <w:r>
              <w:rPr>
                <w:sz w:val="19"/>
                <w:szCs w:val="19"/>
              </w:rPr>
              <w:t>Embodied hardware (§8.8), e-waste kg</w:t>
            </w:r>
          </w:p>
        </w:tc>
        <w:tc>
          <w:tcPr>
            <w:tcW w:w="1600" w:type="dxa"/>
            <w:tcMar>
              <w:top w:w="80" w:type="dxa"/>
              <w:left w:w="100" w:type="dxa"/>
              <w:bottom w:w="80" w:type="dxa"/>
              <w:right w:w="100" w:type="dxa"/>
            </w:tcMar>
          </w:tcPr>
          <w:p w14:paraId="7D000037" w14:textId="77777777" w:rsidR="0062357D" w:rsidRDefault="007E79DA">
            <w:r>
              <w:rPr>
                <w:sz w:val="19"/>
                <w:szCs w:val="19"/>
              </w:rPr>
              <w:t>Recycling and recovery of materials</w:t>
            </w:r>
          </w:p>
        </w:tc>
        <w:tc>
          <w:tcPr>
            <w:tcW w:w="2900" w:type="dxa"/>
            <w:tcMar>
              <w:top w:w="80" w:type="dxa"/>
              <w:left w:w="100" w:type="dxa"/>
              <w:bottom w:w="80" w:type="dxa"/>
              <w:right w:w="100" w:type="dxa"/>
            </w:tcMar>
          </w:tcPr>
          <w:p w14:paraId="7D000038" w14:textId="77777777" w:rsidR="0062357D" w:rsidRDefault="007E79DA">
            <w:r>
              <w:rPr>
                <w:sz w:val="19"/>
                <w:szCs w:val="19"/>
              </w:rPr>
              <w:t>Plastic credits (</w:t>
            </w:r>
            <w:proofErr w:type="spellStart"/>
            <w:r>
              <w:rPr>
                <w:sz w:val="19"/>
                <w:szCs w:val="19"/>
              </w:rPr>
              <w:t>Verra</w:t>
            </w:r>
            <w:proofErr w:type="spellEnd"/>
            <w:r>
              <w:rPr>
                <w:sz w:val="19"/>
                <w:szCs w:val="19"/>
              </w:rPr>
              <w:t xml:space="preserve"> Plastic Waste Reduction Standard); e-waste recovery attested by certified recyclers (R2, e-Stewards); no mature e-waste credit market yet</w:t>
            </w:r>
          </w:p>
        </w:tc>
        <w:tc>
          <w:tcPr>
            <w:tcW w:w="1000" w:type="dxa"/>
            <w:tcMar>
              <w:top w:w="80" w:type="dxa"/>
              <w:left w:w="100" w:type="dxa"/>
              <w:bottom w:w="80" w:type="dxa"/>
              <w:right w:w="100" w:type="dxa"/>
            </w:tcMar>
          </w:tcPr>
          <w:p w14:paraId="7D000039" w14:textId="77777777" w:rsidR="0062357D" w:rsidRDefault="007E79DA">
            <w:r>
              <w:rPr>
                <w:sz w:val="19"/>
                <w:szCs w:val="19"/>
              </w:rPr>
              <w:t>kg / t</w:t>
            </w:r>
          </w:p>
        </w:tc>
        <w:tc>
          <w:tcPr>
            <w:tcW w:w="1400" w:type="dxa"/>
            <w:tcMar>
              <w:top w:w="80" w:type="dxa"/>
              <w:left w:w="100" w:type="dxa"/>
              <w:bottom w:w="80" w:type="dxa"/>
              <w:right w:w="100" w:type="dxa"/>
            </w:tcMar>
          </w:tcPr>
          <w:p w14:paraId="7D00003A" w14:textId="77777777" w:rsidR="0062357D" w:rsidRDefault="007E79DA">
            <w:r>
              <w:rPr>
                <w:sz w:val="19"/>
                <w:szCs w:val="19"/>
              </w:rPr>
              <w:t>Emerging</w:t>
            </w:r>
          </w:p>
        </w:tc>
      </w:tr>
    </w:tbl>
    <w:p w14:paraId="7D00003B" w14:textId="77777777" w:rsidR="0062357D" w:rsidRDefault="0062357D">
      <w:pPr>
        <w:spacing w:after="120"/>
      </w:pPr>
    </w:p>
    <w:p w14:paraId="7D00003C" w14:textId="77777777" w:rsidR="0062357D" w:rsidRDefault="007E79DA">
      <w:pPr>
        <w:pStyle w:val="Heading2"/>
        <w:spacing w:before="280" w:after="120"/>
      </w:pPr>
      <w:r>
        <w:rPr>
          <w:b/>
          <w:bCs/>
          <w:color w:val="1E7A4C"/>
          <w:sz w:val="24"/>
          <w:szCs w:val="24"/>
        </w:rPr>
        <w:t>22.3 Provider Categories and the Client/Provider Model</w:t>
      </w:r>
    </w:p>
    <w:p w14:paraId="7D00003D" w14:textId="77777777" w:rsidR="0062357D" w:rsidRDefault="007E79DA">
      <w:pPr>
        <w:spacing w:after="140"/>
      </w:pPr>
      <w:r>
        <w:rPr>
          <w:sz w:val="21"/>
          <w:szCs w:val="21"/>
        </w:rPr>
        <w:t>Four Provider categories join the carbon capture types in §20.1:</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800"/>
        <w:gridCol w:w="5840"/>
      </w:tblGrid>
      <w:tr w:rsidR="0062357D" w14:paraId="190FC7CB" w14:textId="77777777">
        <w:trPr>
          <w:tblHeader/>
        </w:trPr>
        <w:tc>
          <w:tcPr>
            <w:tcW w:w="960" w:type="dxa"/>
            <w:shd w:val="clear" w:color="auto" w:fill="1E7A4C"/>
            <w:tcMar>
              <w:top w:w="80" w:type="dxa"/>
              <w:left w:w="100" w:type="dxa"/>
              <w:bottom w:w="80" w:type="dxa"/>
              <w:right w:w="100" w:type="dxa"/>
            </w:tcMar>
          </w:tcPr>
          <w:p w14:paraId="7D00003E" w14:textId="77777777" w:rsidR="0062357D" w:rsidRDefault="007E79DA">
            <w:r>
              <w:rPr>
                <w:b/>
                <w:bCs/>
                <w:color w:val="FFFFFF"/>
                <w:sz w:val="19"/>
                <w:szCs w:val="19"/>
              </w:rPr>
              <w:t>Code</w:t>
            </w:r>
          </w:p>
        </w:tc>
        <w:tc>
          <w:tcPr>
            <w:tcW w:w="2800" w:type="dxa"/>
            <w:shd w:val="clear" w:color="auto" w:fill="1E7A4C"/>
            <w:tcMar>
              <w:top w:w="80" w:type="dxa"/>
              <w:left w:w="100" w:type="dxa"/>
              <w:bottom w:w="80" w:type="dxa"/>
              <w:right w:w="100" w:type="dxa"/>
            </w:tcMar>
          </w:tcPr>
          <w:p w14:paraId="7D00003F" w14:textId="77777777" w:rsidR="0062357D" w:rsidRDefault="007E79DA">
            <w:r>
              <w:rPr>
                <w:b/>
                <w:bCs/>
                <w:color w:val="FFFFFF"/>
                <w:sz w:val="19"/>
                <w:szCs w:val="19"/>
              </w:rPr>
              <w:t>Provider Category</w:t>
            </w:r>
          </w:p>
        </w:tc>
        <w:tc>
          <w:tcPr>
            <w:tcW w:w="5840" w:type="dxa"/>
            <w:shd w:val="clear" w:color="auto" w:fill="1E7A4C"/>
            <w:tcMar>
              <w:top w:w="80" w:type="dxa"/>
              <w:left w:w="100" w:type="dxa"/>
              <w:bottom w:w="80" w:type="dxa"/>
              <w:right w:w="100" w:type="dxa"/>
            </w:tcMar>
          </w:tcPr>
          <w:p w14:paraId="7D000040" w14:textId="77777777" w:rsidR="0062357D" w:rsidRDefault="007E79DA">
            <w:r>
              <w:rPr>
                <w:b/>
                <w:bCs/>
                <w:color w:val="FFFFFF"/>
                <w:sz w:val="19"/>
                <w:szCs w:val="19"/>
              </w:rPr>
              <w:t>Examples</w:t>
            </w:r>
          </w:p>
        </w:tc>
      </w:tr>
      <w:tr w:rsidR="0062357D" w14:paraId="0D707E88" w14:textId="77777777">
        <w:trPr>
          <w:cantSplit/>
        </w:trPr>
        <w:tc>
          <w:tcPr>
            <w:tcW w:w="960" w:type="dxa"/>
            <w:tcMar>
              <w:top w:w="80" w:type="dxa"/>
              <w:left w:w="100" w:type="dxa"/>
              <w:bottom w:w="80" w:type="dxa"/>
              <w:right w:w="100" w:type="dxa"/>
            </w:tcMar>
          </w:tcPr>
          <w:p w14:paraId="7D000041" w14:textId="77777777" w:rsidR="0062357D" w:rsidRDefault="007E79DA">
            <w:r>
              <w:rPr>
                <w:sz w:val="19"/>
                <w:szCs w:val="19"/>
              </w:rPr>
              <w:t>REN</w:t>
            </w:r>
          </w:p>
        </w:tc>
        <w:tc>
          <w:tcPr>
            <w:tcW w:w="2800" w:type="dxa"/>
            <w:tcMar>
              <w:top w:w="80" w:type="dxa"/>
              <w:left w:w="100" w:type="dxa"/>
              <w:bottom w:w="80" w:type="dxa"/>
              <w:right w:w="100" w:type="dxa"/>
            </w:tcMar>
          </w:tcPr>
          <w:p w14:paraId="7D000042" w14:textId="77777777" w:rsidR="0062357D" w:rsidRDefault="007E79DA">
            <w:r>
              <w:rPr>
                <w:sz w:val="19"/>
                <w:szCs w:val="19"/>
              </w:rPr>
              <w:t>Renewable Energy Generator</w:t>
            </w:r>
          </w:p>
        </w:tc>
        <w:tc>
          <w:tcPr>
            <w:tcW w:w="5840" w:type="dxa"/>
            <w:tcMar>
              <w:top w:w="80" w:type="dxa"/>
              <w:left w:w="100" w:type="dxa"/>
              <w:bottom w:w="80" w:type="dxa"/>
              <w:right w:w="100" w:type="dxa"/>
            </w:tcMar>
          </w:tcPr>
          <w:p w14:paraId="7D000043" w14:textId="77777777" w:rsidR="0062357D" w:rsidRDefault="007E79DA">
            <w:r>
              <w:rPr>
                <w:sz w:val="19"/>
                <w:szCs w:val="19"/>
              </w:rPr>
              <w:t>Solar, wind, hydro, geothermal and storage operators producing metered renewable electricity</w:t>
            </w:r>
          </w:p>
        </w:tc>
      </w:tr>
      <w:tr w:rsidR="0062357D" w14:paraId="2FB2DB55" w14:textId="77777777">
        <w:trPr>
          <w:cantSplit/>
        </w:trPr>
        <w:tc>
          <w:tcPr>
            <w:tcW w:w="960" w:type="dxa"/>
            <w:tcMar>
              <w:top w:w="80" w:type="dxa"/>
              <w:left w:w="100" w:type="dxa"/>
              <w:bottom w:w="80" w:type="dxa"/>
              <w:right w:w="100" w:type="dxa"/>
            </w:tcMar>
          </w:tcPr>
          <w:p w14:paraId="7D000044" w14:textId="77777777" w:rsidR="0062357D" w:rsidRDefault="007E79DA">
            <w:r>
              <w:rPr>
                <w:sz w:val="19"/>
                <w:szCs w:val="19"/>
              </w:rPr>
              <w:t>WRR</w:t>
            </w:r>
          </w:p>
        </w:tc>
        <w:tc>
          <w:tcPr>
            <w:tcW w:w="2800" w:type="dxa"/>
            <w:tcMar>
              <w:top w:w="80" w:type="dxa"/>
              <w:left w:w="100" w:type="dxa"/>
              <w:bottom w:w="80" w:type="dxa"/>
              <w:right w:w="100" w:type="dxa"/>
            </w:tcMar>
          </w:tcPr>
          <w:p w14:paraId="7D000045" w14:textId="77777777" w:rsidR="0062357D" w:rsidRDefault="007E79DA">
            <w:r>
              <w:rPr>
                <w:sz w:val="19"/>
                <w:szCs w:val="19"/>
              </w:rPr>
              <w:t>Water Restoration and Recycling</w:t>
            </w:r>
          </w:p>
        </w:tc>
        <w:tc>
          <w:tcPr>
            <w:tcW w:w="5840" w:type="dxa"/>
            <w:tcMar>
              <w:top w:w="80" w:type="dxa"/>
              <w:left w:w="100" w:type="dxa"/>
              <w:bottom w:w="80" w:type="dxa"/>
              <w:right w:w="100" w:type="dxa"/>
            </w:tcMar>
          </w:tcPr>
          <w:p w14:paraId="7D000046" w14:textId="77777777" w:rsidR="0062357D" w:rsidRDefault="007E79DA">
            <w:r>
              <w:rPr>
                <w:sz w:val="19"/>
                <w:szCs w:val="19"/>
              </w:rPr>
              <w:t>Flow restoration, wastewater recycling and reuse, and water remediation projects</w:t>
            </w:r>
          </w:p>
        </w:tc>
      </w:tr>
      <w:tr w:rsidR="0062357D" w14:paraId="7B9520FE" w14:textId="77777777">
        <w:trPr>
          <w:cantSplit/>
        </w:trPr>
        <w:tc>
          <w:tcPr>
            <w:tcW w:w="960" w:type="dxa"/>
            <w:tcMar>
              <w:top w:w="80" w:type="dxa"/>
              <w:left w:w="100" w:type="dxa"/>
              <w:bottom w:w="80" w:type="dxa"/>
              <w:right w:w="100" w:type="dxa"/>
            </w:tcMar>
          </w:tcPr>
          <w:p w14:paraId="7D000047" w14:textId="77777777" w:rsidR="0062357D" w:rsidRDefault="007E79DA">
            <w:r>
              <w:rPr>
                <w:sz w:val="19"/>
                <w:szCs w:val="19"/>
              </w:rPr>
              <w:t>HRC</w:t>
            </w:r>
          </w:p>
        </w:tc>
        <w:tc>
          <w:tcPr>
            <w:tcW w:w="2800" w:type="dxa"/>
            <w:tcMar>
              <w:top w:w="80" w:type="dxa"/>
              <w:left w:w="100" w:type="dxa"/>
              <w:bottom w:w="80" w:type="dxa"/>
              <w:right w:w="100" w:type="dxa"/>
            </w:tcMar>
          </w:tcPr>
          <w:p w14:paraId="7D000048" w14:textId="77777777" w:rsidR="0062357D" w:rsidRDefault="007E79DA">
            <w:r>
              <w:rPr>
                <w:sz w:val="19"/>
                <w:szCs w:val="19"/>
              </w:rPr>
              <w:t>Heat Recovery</w:t>
            </w:r>
          </w:p>
        </w:tc>
        <w:tc>
          <w:tcPr>
            <w:tcW w:w="5840" w:type="dxa"/>
            <w:tcMar>
              <w:top w:w="80" w:type="dxa"/>
              <w:left w:w="100" w:type="dxa"/>
              <w:bottom w:w="80" w:type="dxa"/>
              <w:right w:w="100" w:type="dxa"/>
            </w:tcMar>
          </w:tcPr>
          <w:p w14:paraId="7D000049" w14:textId="77777777" w:rsidR="0062357D" w:rsidRDefault="007E79DA">
            <w:r>
              <w:rPr>
                <w:sz w:val="19"/>
                <w:szCs w:val="19"/>
              </w:rPr>
              <w:t>Facilities exporting waste heat to district heating, greenhouses, or industry, including data centers</w:t>
            </w:r>
          </w:p>
        </w:tc>
      </w:tr>
      <w:tr w:rsidR="0062357D" w14:paraId="231FBDAA" w14:textId="77777777">
        <w:trPr>
          <w:cantSplit/>
        </w:trPr>
        <w:tc>
          <w:tcPr>
            <w:tcW w:w="960" w:type="dxa"/>
            <w:tcMar>
              <w:top w:w="80" w:type="dxa"/>
              <w:left w:w="100" w:type="dxa"/>
              <w:bottom w:w="80" w:type="dxa"/>
              <w:right w:w="100" w:type="dxa"/>
            </w:tcMar>
          </w:tcPr>
          <w:p w14:paraId="7D00004A" w14:textId="77777777" w:rsidR="0062357D" w:rsidRDefault="007E79DA">
            <w:r>
              <w:rPr>
                <w:sz w:val="19"/>
                <w:szCs w:val="19"/>
              </w:rPr>
              <w:t>RCY</w:t>
            </w:r>
          </w:p>
        </w:tc>
        <w:tc>
          <w:tcPr>
            <w:tcW w:w="2800" w:type="dxa"/>
            <w:tcMar>
              <w:top w:w="80" w:type="dxa"/>
              <w:left w:w="100" w:type="dxa"/>
              <w:bottom w:w="80" w:type="dxa"/>
              <w:right w:w="100" w:type="dxa"/>
            </w:tcMar>
          </w:tcPr>
          <w:p w14:paraId="7D00004B" w14:textId="77777777" w:rsidR="0062357D" w:rsidRDefault="007E79DA">
            <w:r>
              <w:rPr>
                <w:sz w:val="19"/>
                <w:szCs w:val="19"/>
              </w:rPr>
              <w:t>Materials Recycling</w:t>
            </w:r>
          </w:p>
        </w:tc>
        <w:tc>
          <w:tcPr>
            <w:tcW w:w="5840" w:type="dxa"/>
            <w:tcMar>
              <w:top w:w="80" w:type="dxa"/>
              <w:left w:w="100" w:type="dxa"/>
              <w:bottom w:w="80" w:type="dxa"/>
              <w:right w:w="100" w:type="dxa"/>
            </w:tcMar>
          </w:tcPr>
          <w:p w14:paraId="7D00004C" w14:textId="77777777" w:rsidR="0062357D" w:rsidRDefault="007E79DA">
            <w:r>
              <w:rPr>
                <w:sz w:val="19"/>
                <w:szCs w:val="19"/>
              </w:rPr>
              <w:t>Certified recyclers of electronics, plastics, and data-center hardware</w:t>
            </w:r>
          </w:p>
        </w:tc>
      </w:tr>
    </w:tbl>
    <w:p w14:paraId="7D00004D" w14:textId="77777777" w:rsidR="0062357D" w:rsidRDefault="0062357D">
      <w:pPr>
        <w:spacing w:after="120"/>
      </w:pPr>
    </w:p>
    <w:p w14:paraId="7D00004E" w14:textId="77777777" w:rsidR="0062357D" w:rsidRDefault="007E79DA">
      <w:pPr>
        <w:numPr>
          <w:ilvl w:val="0"/>
          <w:numId w:val="1"/>
        </w:numPr>
        <w:spacing w:after="60"/>
      </w:pPr>
      <w:r>
        <w:rPr>
          <w:b/>
          <w:bCs/>
          <w:sz w:val="21"/>
          <w:szCs w:val="21"/>
        </w:rPr>
        <w:t>Prosumers.</w:t>
      </w:r>
      <w:r>
        <w:rPr>
          <w:sz w:val="21"/>
          <w:szCs w:val="21"/>
        </w:rPr>
        <w:t xml:space="preserve"> A data-center operator can be both a Subscriber (consuming electricity and water) and a Provider (exporting heat, generating on-site solar, or recycling water). It registers in each role through the same SDK. The broker removes any benefit sold as credits from the operator’s own claims, so exported heat sold to others cannot also reduce the operator’s reported footprint.</w:t>
      </w:r>
    </w:p>
    <w:p w14:paraId="7D00004F" w14:textId="77777777" w:rsidR="0062357D" w:rsidRDefault="007E79DA">
      <w:pPr>
        <w:numPr>
          <w:ilvl w:val="0"/>
          <w:numId w:val="1"/>
        </w:numPr>
        <w:spacing w:after="60"/>
      </w:pPr>
      <w:r>
        <w:rPr>
          <w:b/>
          <w:bCs/>
          <w:sz w:val="21"/>
          <w:szCs w:val="21"/>
        </w:rPr>
        <w:t>Example flows.</w:t>
      </w:r>
      <w:r>
        <w:rPr>
          <w:sz w:val="21"/>
          <w:szCs w:val="21"/>
        </w:rPr>
        <w:t xml:space="preserve"> A solar farm’s metered generation is issued as RECs in its regional registry, and a Subscriber retires RECs matched to its metered kWh. A water recycling project’s restored volume is certified as water restoration certificates and retired against a Subscriber’s liters. A data center exporting heat to a district network reports HEX and ERF; where a white-certificate or carbon program applies, the resulting credits are sold to Subscribers or used for the operator’s own compliance, but not both.</w:t>
      </w:r>
    </w:p>
    <w:p w14:paraId="7D000050" w14:textId="77777777" w:rsidR="0062357D" w:rsidRDefault="007E79DA">
      <w:pPr>
        <w:pStyle w:val="Heading2"/>
        <w:spacing w:before="280" w:after="120"/>
      </w:pPr>
      <w:r>
        <w:rPr>
          <w:b/>
          <w:bCs/>
          <w:color w:val="1E7A4C"/>
          <w:sz w:val="24"/>
          <w:szCs w:val="24"/>
        </w:rPr>
        <w:t>22.4 Provider Telemetry Fields</w:t>
      </w:r>
    </w:p>
    <w:p w14:paraId="7D000051" w14:textId="77777777" w:rsidR="0062357D" w:rsidRDefault="007E79DA">
      <w:pPr>
        <w:spacing w:after="140"/>
      </w:pPr>
      <w:r>
        <w:rPr>
          <w:sz w:val="21"/>
          <w:szCs w:val="21"/>
        </w:rPr>
        <w:t>Fields follow the coding convention in §20 (no prefix for raw telemetry, “D-” for derived).</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62357D" w14:paraId="13BBF34F" w14:textId="77777777">
        <w:trPr>
          <w:tblHeader/>
        </w:trPr>
        <w:tc>
          <w:tcPr>
            <w:tcW w:w="960" w:type="dxa"/>
            <w:shd w:val="clear" w:color="auto" w:fill="1E7A4C"/>
            <w:tcMar>
              <w:top w:w="80" w:type="dxa"/>
              <w:left w:w="100" w:type="dxa"/>
              <w:bottom w:w="80" w:type="dxa"/>
              <w:right w:w="100" w:type="dxa"/>
            </w:tcMar>
          </w:tcPr>
          <w:p w14:paraId="7D000052" w14:textId="77777777" w:rsidR="0062357D" w:rsidRDefault="007E79DA">
            <w:r>
              <w:rPr>
                <w:b/>
                <w:bCs/>
                <w:color w:val="FFFFFF"/>
                <w:sz w:val="19"/>
                <w:szCs w:val="19"/>
              </w:rPr>
              <w:t>Code</w:t>
            </w:r>
          </w:p>
        </w:tc>
        <w:tc>
          <w:tcPr>
            <w:tcW w:w="2240" w:type="dxa"/>
            <w:shd w:val="clear" w:color="auto" w:fill="1E7A4C"/>
            <w:tcMar>
              <w:top w:w="80" w:type="dxa"/>
              <w:left w:w="100" w:type="dxa"/>
              <w:bottom w:w="80" w:type="dxa"/>
              <w:right w:w="100" w:type="dxa"/>
            </w:tcMar>
          </w:tcPr>
          <w:p w14:paraId="7D000053" w14:textId="77777777" w:rsidR="0062357D" w:rsidRDefault="007E79DA">
            <w:r>
              <w:rPr>
                <w:b/>
                <w:bCs/>
                <w:color w:val="FFFFFF"/>
                <w:sz w:val="19"/>
                <w:szCs w:val="19"/>
              </w:rPr>
              <w:t>Field Name</w:t>
            </w:r>
          </w:p>
        </w:tc>
        <w:tc>
          <w:tcPr>
            <w:tcW w:w="2720" w:type="dxa"/>
            <w:shd w:val="clear" w:color="auto" w:fill="1E7A4C"/>
            <w:tcMar>
              <w:top w:w="80" w:type="dxa"/>
              <w:left w:w="100" w:type="dxa"/>
              <w:bottom w:w="80" w:type="dxa"/>
              <w:right w:w="100" w:type="dxa"/>
            </w:tcMar>
          </w:tcPr>
          <w:p w14:paraId="7D000054" w14:textId="77777777" w:rsidR="0062357D" w:rsidRDefault="007E79DA">
            <w:r>
              <w:rPr>
                <w:b/>
                <w:bCs/>
                <w:color w:val="FFFFFF"/>
                <w:sz w:val="19"/>
                <w:szCs w:val="19"/>
              </w:rPr>
              <w:t>Definition</w:t>
            </w:r>
          </w:p>
        </w:tc>
        <w:tc>
          <w:tcPr>
            <w:tcW w:w="1280" w:type="dxa"/>
            <w:shd w:val="clear" w:color="auto" w:fill="1E7A4C"/>
            <w:tcMar>
              <w:top w:w="80" w:type="dxa"/>
              <w:left w:w="100" w:type="dxa"/>
              <w:bottom w:w="80" w:type="dxa"/>
              <w:right w:w="100" w:type="dxa"/>
            </w:tcMar>
          </w:tcPr>
          <w:p w14:paraId="7D000055" w14:textId="77777777" w:rsidR="0062357D" w:rsidRDefault="007E79DA">
            <w:r>
              <w:rPr>
                <w:b/>
                <w:bCs/>
                <w:color w:val="FFFFFF"/>
                <w:sz w:val="19"/>
                <w:szCs w:val="19"/>
              </w:rPr>
              <w:t>Unit</w:t>
            </w:r>
          </w:p>
        </w:tc>
        <w:tc>
          <w:tcPr>
            <w:tcW w:w="1280" w:type="dxa"/>
            <w:shd w:val="clear" w:color="auto" w:fill="1E7A4C"/>
            <w:tcMar>
              <w:top w:w="80" w:type="dxa"/>
              <w:left w:w="100" w:type="dxa"/>
              <w:bottom w:w="80" w:type="dxa"/>
              <w:right w:w="100" w:type="dxa"/>
            </w:tcMar>
          </w:tcPr>
          <w:p w14:paraId="7D000056" w14:textId="77777777" w:rsidR="0062357D" w:rsidRDefault="007E79DA">
            <w:r>
              <w:rPr>
                <w:b/>
                <w:bCs/>
                <w:color w:val="FFFFFF"/>
                <w:sz w:val="19"/>
                <w:szCs w:val="19"/>
              </w:rPr>
              <w:t>Frequency</w:t>
            </w:r>
          </w:p>
        </w:tc>
        <w:tc>
          <w:tcPr>
            <w:tcW w:w="1120" w:type="dxa"/>
            <w:shd w:val="clear" w:color="auto" w:fill="1E7A4C"/>
            <w:tcMar>
              <w:top w:w="80" w:type="dxa"/>
              <w:left w:w="100" w:type="dxa"/>
              <w:bottom w:w="80" w:type="dxa"/>
              <w:right w:w="100" w:type="dxa"/>
            </w:tcMar>
          </w:tcPr>
          <w:p w14:paraId="7D000057" w14:textId="77777777" w:rsidR="0062357D" w:rsidRDefault="007E79DA">
            <w:r>
              <w:rPr>
                <w:b/>
                <w:bCs/>
                <w:color w:val="FFFFFF"/>
                <w:sz w:val="19"/>
                <w:szCs w:val="19"/>
              </w:rPr>
              <w:t>Category</w:t>
            </w:r>
          </w:p>
        </w:tc>
      </w:tr>
      <w:tr w:rsidR="0062357D" w14:paraId="2C71DB4B" w14:textId="77777777">
        <w:trPr>
          <w:cantSplit/>
        </w:trPr>
        <w:tc>
          <w:tcPr>
            <w:tcW w:w="960" w:type="dxa"/>
            <w:tcMar>
              <w:top w:w="80" w:type="dxa"/>
              <w:left w:w="100" w:type="dxa"/>
              <w:bottom w:w="80" w:type="dxa"/>
              <w:right w:w="100" w:type="dxa"/>
            </w:tcMar>
          </w:tcPr>
          <w:p w14:paraId="7D000058" w14:textId="77777777" w:rsidR="0062357D" w:rsidRDefault="007E79DA">
            <w:r>
              <w:rPr>
                <w:sz w:val="19"/>
                <w:szCs w:val="19"/>
              </w:rPr>
              <w:t>GEN</w:t>
            </w:r>
          </w:p>
        </w:tc>
        <w:tc>
          <w:tcPr>
            <w:tcW w:w="2240" w:type="dxa"/>
            <w:tcMar>
              <w:top w:w="80" w:type="dxa"/>
              <w:left w:w="100" w:type="dxa"/>
              <w:bottom w:w="80" w:type="dxa"/>
              <w:right w:w="100" w:type="dxa"/>
            </w:tcMar>
          </w:tcPr>
          <w:p w14:paraId="7D000059" w14:textId="77777777" w:rsidR="0062357D" w:rsidRDefault="007E79DA">
            <w:r>
              <w:rPr>
                <w:sz w:val="19"/>
                <w:szCs w:val="19"/>
              </w:rPr>
              <w:t>Net Generation</w:t>
            </w:r>
          </w:p>
        </w:tc>
        <w:tc>
          <w:tcPr>
            <w:tcW w:w="2720" w:type="dxa"/>
            <w:tcMar>
              <w:top w:w="80" w:type="dxa"/>
              <w:left w:w="100" w:type="dxa"/>
              <w:bottom w:w="80" w:type="dxa"/>
              <w:right w:w="100" w:type="dxa"/>
            </w:tcMar>
          </w:tcPr>
          <w:p w14:paraId="7D00005A" w14:textId="77777777" w:rsidR="0062357D" w:rsidRDefault="007E79DA">
            <w:r>
              <w:rPr>
                <w:sz w:val="19"/>
                <w:szCs w:val="19"/>
              </w:rPr>
              <w:t>Metered net renewable generation per interval</w:t>
            </w:r>
          </w:p>
        </w:tc>
        <w:tc>
          <w:tcPr>
            <w:tcW w:w="1280" w:type="dxa"/>
            <w:tcMar>
              <w:top w:w="80" w:type="dxa"/>
              <w:left w:w="100" w:type="dxa"/>
              <w:bottom w:w="80" w:type="dxa"/>
              <w:right w:w="100" w:type="dxa"/>
            </w:tcMar>
          </w:tcPr>
          <w:p w14:paraId="7D00005B" w14:textId="77777777" w:rsidR="0062357D" w:rsidRDefault="007E79DA">
            <w:r>
              <w:rPr>
                <w:sz w:val="19"/>
                <w:szCs w:val="19"/>
              </w:rPr>
              <w:t>MWh</w:t>
            </w:r>
          </w:p>
        </w:tc>
        <w:tc>
          <w:tcPr>
            <w:tcW w:w="1280" w:type="dxa"/>
            <w:tcMar>
              <w:top w:w="80" w:type="dxa"/>
              <w:left w:w="100" w:type="dxa"/>
              <w:bottom w:w="80" w:type="dxa"/>
              <w:right w:w="100" w:type="dxa"/>
            </w:tcMar>
          </w:tcPr>
          <w:p w14:paraId="7D00005C" w14:textId="77777777" w:rsidR="0062357D" w:rsidRDefault="007E79DA">
            <w:r>
              <w:rPr>
                <w:sz w:val="19"/>
                <w:szCs w:val="19"/>
              </w:rPr>
              <w:t>15 min–hourly</w:t>
            </w:r>
          </w:p>
        </w:tc>
        <w:tc>
          <w:tcPr>
            <w:tcW w:w="1120" w:type="dxa"/>
            <w:tcMar>
              <w:top w:w="80" w:type="dxa"/>
              <w:left w:w="100" w:type="dxa"/>
              <w:bottom w:w="80" w:type="dxa"/>
              <w:right w:w="100" w:type="dxa"/>
            </w:tcMar>
          </w:tcPr>
          <w:p w14:paraId="7D00005D" w14:textId="77777777" w:rsidR="0062357D" w:rsidRDefault="007E79DA">
            <w:r>
              <w:rPr>
                <w:sz w:val="19"/>
                <w:szCs w:val="19"/>
              </w:rPr>
              <w:t>REN</w:t>
            </w:r>
          </w:p>
        </w:tc>
      </w:tr>
      <w:tr w:rsidR="0062357D" w14:paraId="26F68B90" w14:textId="77777777">
        <w:trPr>
          <w:cantSplit/>
        </w:trPr>
        <w:tc>
          <w:tcPr>
            <w:tcW w:w="960" w:type="dxa"/>
            <w:tcMar>
              <w:top w:w="80" w:type="dxa"/>
              <w:left w:w="100" w:type="dxa"/>
              <w:bottom w:w="80" w:type="dxa"/>
              <w:right w:w="100" w:type="dxa"/>
            </w:tcMar>
          </w:tcPr>
          <w:p w14:paraId="7D00005E" w14:textId="77777777" w:rsidR="0062357D" w:rsidRDefault="007E79DA">
            <w:r>
              <w:rPr>
                <w:sz w:val="19"/>
                <w:szCs w:val="19"/>
              </w:rPr>
              <w:t>SRC</w:t>
            </w:r>
          </w:p>
        </w:tc>
        <w:tc>
          <w:tcPr>
            <w:tcW w:w="2240" w:type="dxa"/>
            <w:tcMar>
              <w:top w:w="80" w:type="dxa"/>
              <w:left w:w="100" w:type="dxa"/>
              <w:bottom w:w="80" w:type="dxa"/>
              <w:right w:w="100" w:type="dxa"/>
            </w:tcMar>
          </w:tcPr>
          <w:p w14:paraId="7D00005F" w14:textId="77777777" w:rsidR="0062357D" w:rsidRDefault="007E79DA">
            <w:r>
              <w:rPr>
                <w:sz w:val="19"/>
                <w:szCs w:val="19"/>
              </w:rPr>
              <w:t>Source Type</w:t>
            </w:r>
          </w:p>
        </w:tc>
        <w:tc>
          <w:tcPr>
            <w:tcW w:w="2720" w:type="dxa"/>
            <w:tcMar>
              <w:top w:w="80" w:type="dxa"/>
              <w:left w:w="100" w:type="dxa"/>
              <w:bottom w:w="80" w:type="dxa"/>
              <w:right w:w="100" w:type="dxa"/>
            </w:tcMar>
          </w:tcPr>
          <w:p w14:paraId="7D000060" w14:textId="77777777" w:rsidR="0062357D" w:rsidRDefault="007E79DA">
            <w:r>
              <w:rPr>
                <w:sz w:val="19"/>
                <w:szCs w:val="19"/>
              </w:rPr>
              <w:t>Solar, wind, hydro, geothermal, or storage discharge</w:t>
            </w:r>
          </w:p>
        </w:tc>
        <w:tc>
          <w:tcPr>
            <w:tcW w:w="1280" w:type="dxa"/>
            <w:tcMar>
              <w:top w:w="80" w:type="dxa"/>
              <w:left w:w="100" w:type="dxa"/>
              <w:bottom w:w="80" w:type="dxa"/>
              <w:right w:w="100" w:type="dxa"/>
            </w:tcMar>
          </w:tcPr>
          <w:p w14:paraId="7D000061"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7D000062" w14:textId="77777777" w:rsidR="0062357D" w:rsidRDefault="007E79DA">
            <w:r>
              <w:rPr>
                <w:sz w:val="19"/>
                <w:szCs w:val="19"/>
              </w:rPr>
              <w:t>Static</w:t>
            </w:r>
          </w:p>
        </w:tc>
        <w:tc>
          <w:tcPr>
            <w:tcW w:w="1120" w:type="dxa"/>
            <w:tcMar>
              <w:top w:w="80" w:type="dxa"/>
              <w:left w:w="100" w:type="dxa"/>
              <w:bottom w:w="80" w:type="dxa"/>
              <w:right w:w="100" w:type="dxa"/>
            </w:tcMar>
          </w:tcPr>
          <w:p w14:paraId="7D000063" w14:textId="77777777" w:rsidR="0062357D" w:rsidRDefault="007E79DA">
            <w:r>
              <w:rPr>
                <w:sz w:val="19"/>
                <w:szCs w:val="19"/>
              </w:rPr>
              <w:t>REN</w:t>
            </w:r>
          </w:p>
        </w:tc>
      </w:tr>
      <w:tr w:rsidR="0062357D" w14:paraId="5B54D972" w14:textId="77777777">
        <w:trPr>
          <w:cantSplit/>
        </w:trPr>
        <w:tc>
          <w:tcPr>
            <w:tcW w:w="960" w:type="dxa"/>
            <w:tcMar>
              <w:top w:w="80" w:type="dxa"/>
              <w:left w:w="100" w:type="dxa"/>
              <w:bottom w:w="80" w:type="dxa"/>
              <w:right w:w="100" w:type="dxa"/>
            </w:tcMar>
          </w:tcPr>
          <w:p w14:paraId="7D000064" w14:textId="77777777" w:rsidR="0062357D" w:rsidRDefault="007E79DA">
            <w:r>
              <w:rPr>
                <w:sz w:val="19"/>
                <w:szCs w:val="19"/>
              </w:rPr>
              <w:t>GLN</w:t>
            </w:r>
          </w:p>
        </w:tc>
        <w:tc>
          <w:tcPr>
            <w:tcW w:w="2240" w:type="dxa"/>
            <w:tcMar>
              <w:top w:w="80" w:type="dxa"/>
              <w:left w:w="100" w:type="dxa"/>
              <w:bottom w:w="80" w:type="dxa"/>
              <w:right w:w="100" w:type="dxa"/>
            </w:tcMar>
          </w:tcPr>
          <w:p w14:paraId="7D000065" w14:textId="77777777" w:rsidR="0062357D" w:rsidRDefault="007E79DA">
            <w:r>
              <w:rPr>
                <w:sz w:val="19"/>
                <w:szCs w:val="19"/>
              </w:rPr>
              <w:t>Grid Location</w:t>
            </w:r>
          </w:p>
        </w:tc>
        <w:tc>
          <w:tcPr>
            <w:tcW w:w="2720" w:type="dxa"/>
            <w:tcMar>
              <w:top w:w="80" w:type="dxa"/>
              <w:left w:w="100" w:type="dxa"/>
              <w:bottom w:w="80" w:type="dxa"/>
              <w:right w:w="100" w:type="dxa"/>
            </w:tcMar>
          </w:tcPr>
          <w:p w14:paraId="7D000066" w14:textId="77777777" w:rsidR="0062357D" w:rsidRDefault="007E79DA">
            <w:r>
              <w:rPr>
                <w:sz w:val="19"/>
                <w:szCs w:val="19"/>
              </w:rPr>
              <w:t>Balancing area or market zone of the generator, for deliverability matching</w:t>
            </w:r>
          </w:p>
        </w:tc>
        <w:tc>
          <w:tcPr>
            <w:tcW w:w="1280" w:type="dxa"/>
            <w:tcMar>
              <w:top w:w="80" w:type="dxa"/>
              <w:left w:w="100" w:type="dxa"/>
              <w:bottom w:w="80" w:type="dxa"/>
              <w:right w:w="100" w:type="dxa"/>
            </w:tcMar>
          </w:tcPr>
          <w:p w14:paraId="7D000067" w14:textId="77777777" w:rsidR="0062357D" w:rsidRDefault="007E79DA">
            <w:r>
              <w:rPr>
                <w:sz w:val="19"/>
                <w:szCs w:val="19"/>
              </w:rPr>
              <w:t>code</w:t>
            </w:r>
          </w:p>
        </w:tc>
        <w:tc>
          <w:tcPr>
            <w:tcW w:w="1280" w:type="dxa"/>
            <w:tcMar>
              <w:top w:w="80" w:type="dxa"/>
              <w:left w:w="100" w:type="dxa"/>
              <w:bottom w:w="80" w:type="dxa"/>
              <w:right w:w="100" w:type="dxa"/>
            </w:tcMar>
          </w:tcPr>
          <w:p w14:paraId="7D000068" w14:textId="77777777" w:rsidR="0062357D" w:rsidRDefault="007E79DA">
            <w:r>
              <w:rPr>
                <w:sz w:val="19"/>
                <w:szCs w:val="19"/>
              </w:rPr>
              <w:t>Static</w:t>
            </w:r>
          </w:p>
        </w:tc>
        <w:tc>
          <w:tcPr>
            <w:tcW w:w="1120" w:type="dxa"/>
            <w:tcMar>
              <w:top w:w="80" w:type="dxa"/>
              <w:left w:w="100" w:type="dxa"/>
              <w:bottom w:w="80" w:type="dxa"/>
              <w:right w:w="100" w:type="dxa"/>
            </w:tcMar>
          </w:tcPr>
          <w:p w14:paraId="7D000069" w14:textId="77777777" w:rsidR="0062357D" w:rsidRDefault="007E79DA">
            <w:r>
              <w:rPr>
                <w:sz w:val="19"/>
                <w:szCs w:val="19"/>
              </w:rPr>
              <w:t>REN</w:t>
            </w:r>
          </w:p>
        </w:tc>
      </w:tr>
      <w:tr w:rsidR="0062357D" w14:paraId="6126C4DA" w14:textId="77777777">
        <w:trPr>
          <w:cantSplit/>
        </w:trPr>
        <w:tc>
          <w:tcPr>
            <w:tcW w:w="960" w:type="dxa"/>
            <w:tcMar>
              <w:top w:w="80" w:type="dxa"/>
              <w:left w:w="100" w:type="dxa"/>
              <w:bottom w:w="80" w:type="dxa"/>
              <w:right w:w="100" w:type="dxa"/>
            </w:tcMar>
          </w:tcPr>
          <w:p w14:paraId="7D00006A" w14:textId="77777777" w:rsidR="0062357D" w:rsidRDefault="007E79DA">
            <w:r>
              <w:rPr>
                <w:sz w:val="19"/>
                <w:szCs w:val="19"/>
              </w:rPr>
              <w:t>CTL</w:t>
            </w:r>
          </w:p>
        </w:tc>
        <w:tc>
          <w:tcPr>
            <w:tcW w:w="2240" w:type="dxa"/>
            <w:tcMar>
              <w:top w:w="80" w:type="dxa"/>
              <w:left w:w="100" w:type="dxa"/>
              <w:bottom w:w="80" w:type="dxa"/>
              <w:right w:w="100" w:type="dxa"/>
            </w:tcMar>
          </w:tcPr>
          <w:p w14:paraId="7D00006B" w14:textId="77777777" w:rsidR="0062357D" w:rsidRDefault="007E79DA">
            <w:r>
              <w:rPr>
                <w:sz w:val="19"/>
                <w:szCs w:val="19"/>
              </w:rPr>
              <w:t>Curtailment</w:t>
            </w:r>
          </w:p>
        </w:tc>
        <w:tc>
          <w:tcPr>
            <w:tcW w:w="2720" w:type="dxa"/>
            <w:tcMar>
              <w:top w:w="80" w:type="dxa"/>
              <w:left w:w="100" w:type="dxa"/>
              <w:bottom w:w="80" w:type="dxa"/>
              <w:right w:w="100" w:type="dxa"/>
            </w:tcMar>
          </w:tcPr>
          <w:p w14:paraId="7D00006C" w14:textId="77777777" w:rsidR="0062357D" w:rsidRDefault="007E79DA">
            <w:r>
              <w:rPr>
                <w:sz w:val="19"/>
                <w:szCs w:val="19"/>
              </w:rPr>
              <w:t>Generation curtailed during the interval</w:t>
            </w:r>
          </w:p>
        </w:tc>
        <w:tc>
          <w:tcPr>
            <w:tcW w:w="1280" w:type="dxa"/>
            <w:tcMar>
              <w:top w:w="80" w:type="dxa"/>
              <w:left w:w="100" w:type="dxa"/>
              <w:bottom w:w="80" w:type="dxa"/>
              <w:right w:w="100" w:type="dxa"/>
            </w:tcMar>
          </w:tcPr>
          <w:p w14:paraId="7D00006D" w14:textId="77777777" w:rsidR="0062357D" w:rsidRDefault="007E79DA">
            <w:r>
              <w:rPr>
                <w:sz w:val="19"/>
                <w:szCs w:val="19"/>
              </w:rPr>
              <w:t>MWh</w:t>
            </w:r>
          </w:p>
        </w:tc>
        <w:tc>
          <w:tcPr>
            <w:tcW w:w="1280" w:type="dxa"/>
            <w:tcMar>
              <w:top w:w="80" w:type="dxa"/>
              <w:left w:w="100" w:type="dxa"/>
              <w:bottom w:w="80" w:type="dxa"/>
              <w:right w:w="100" w:type="dxa"/>
            </w:tcMar>
          </w:tcPr>
          <w:p w14:paraId="7D00006E" w14:textId="77777777" w:rsidR="0062357D" w:rsidRDefault="007E79DA">
            <w:r>
              <w:rPr>
                <w:sz w:val="19"/>
                <w:szCs w:val="19"/>
              </w:rPr>
              <w:t>Hourly</w:t>
            </w:r>
          </w:p>
        </w:tc>
        <w:tc>
          <w:tcPr>
            <w:tcW w:w="1120" w:type="dxa"/>
            <w:tcMar>
              <w:top w:w="80" w:type="dxa"/>
              <w:left w:w="100" w:type="dxa"/>
              <w:bottom w:w="80" w:type="dxa"/>
              <w:right w:w="100" w:type="dxa"/>
            </w:tcMar>
          </w:tcPr>
          <w:p w14:paraId="7D00006F" w14:textId="77777777" w:rsidR="0062357D" w:rsidRDefault="007E79DA">
            <w:r>
              <w:rPr>
                <w:sz w:val="19"/>
                <w:szCs w:val="19"/>
              </w:rPr>
              <w:t>REN</w:t>
            </w:r>
          </w:p>
        </w:tc>
      </w:tr>
      <w:tr w:rsidR="0062357D" w14:paraId="275AC241" w14:textId="77777777">
        <w:trPr>
          <w:cantSplit/>
        </w:trPr>
        <w:tc>
          <w:tcPr>
            <w:tcW w:w="960" w:type="dxa"/>
            <w:tcMar>
              <w:top w:w="80" w:type="dxa"/>
              <w:left w:w="100" w:type="dxa"/>
              <w:bottom w:w="80" w:type="dxa"/>
              <w:right w:w="100" w:type="dxa"/>
            </w:tcMar>
          </w:tcPr>
          <w:p w14:paraId="7D000070" w14:textId="77777777" w:rsidR="0062357D" w:rsidRDefault="007E79DA">
            <w:r>
              <w:rPr>
                <w:sz w:val="19"/>
                <w:szCs w:val="19"/>
              </w:rPr>
              <w:t>EAC</w:t>
            </w:r>
          </w:p>
        </w:tc>
        <w:tc>
          <w:tcPr>
            <w:tcW w:w="2240" w:type="dxa"/>
            <w:tcMar>
              <w:top w:w="80" w:type="dxa"/>
              <w:left w:w="100" w:type="dxa"/>
              <w:bottom w:w="80" w:type="dxa"/>
              <w:right w:w="100" w:type="dxa"/>
            </w:tcMar>
          </w:tcPr>
          <w:p w14:paraId="7D000071" w14:textId="77777777" w:rsidR="0062357D" w:rsidRDefault="007E79DA">
            <w:r>
              <w:rPr>
                <w:sz w:val="19"/>
                <w:szCs w:val="19"/>
              </w:rPr>
              <w:t>Certificate Serial Range</w:t>
            </w:r>
          </w:p>
        </w:tc>
        <w:tc>
          <w:tcPr>
            <w:tcW w:w="2720" w:type="dxa"/>
            <w:tcMar>
              <w:top w:w="80" w:type="dxa"/>
              <w:left w:w="100" w:type="dxa"/>
              <w:bottom w:w="80" w:type="dxa"/>
              <w:right w:w="100" w:type="dxa"/>
            </w:tcMar>
          </w:tcPr>
          <w:p w14:paraId="7D000072" w14:textId="77777777" w:rsidR="0062357D" w:rsidRDefault="007E79DA">
            <w:r>
              <w:rPr>
                <w:sz w:val="19"/>
                <w:szCs w:val="19"/>
              </w:rPr>
              <w:t>Serial numbers of certificates issued for the interval</w:t>
            </w:r>
          </w:p>
        </w:tc>
        <w:tc>
          <w:tcPr>
            <w:tcW w:w="1280" w:type="dxa"/>
            <w:tcMar>
              <w:top w:w="80" w:type="dxa"/>
              <w:left w:w="100" w:type="dxa"/>
              <w:bottom w:w="80" w:type="dxa"/>
              <w:right w:w="100" w:type="dxa"/>
            </w:tcMar>
          </w:tcPr>
          <w:p w14:paraId="7D000073" w14:textId="77777777" w:rsidR="0062357D" w:rsidRDefault="007E79DA">
            <w:r>
              <w:rPr>
                <w:sz w:val="19"/>
                <w:szCs w:val="19"/>
              </w:rPr>
              <w:t>string</w:t>
            </w:r>
          </w:p>
        </w:tc>
        <w:tc>
          <w:tcPr>
            <w:tcW w:w="1280" w:type="dxa"/>
            <w:tcMar>
              <w:top w:w="80" w:type="dxa"/>
              <w:left w:w="100" w:type="dxa"/>
              <w:bottom w:w="80" w:type="dxa"/>
              <w:right w:w="100" w:type="dxa"/>
            </w:tcMar>
          </w:tcPr>
          <w:p w14:paraId="7D000074" w14:textId="77777777" w:rsidR="0062357D" w:rsidRDefault="007E79DA">
            <w:r>
              <w:rPr>
                <w:sz w:val="19"/>
                <w:szCs w:val="19"/>
              </w:rPr>
              <w:t>Per issuance</w:t>
            </w:r>
          </w:p>
        </w:tc>
        <w:tc>
          <w:tcPr>
            <w:tcW w:w="1120" w:type="dxa"/>
            <w:tcMar>
              <w:top w:w="80" w:type="dxa"/>
              <w:left w:w="100" w:type="dxa"/>
              <w:bottom w:w="80" w:type="dxa"/>
              <w:right w:w="100" w:type="dxa"/>
            </w:tcMar>
          </w:tcPr>
          <w:p w14:paraId="7D000075" w14:textId="77777777" w:rsidR="0062357D" w:rsidRDefault="007E79DA">
            <w:r>
              <w:rPr>
                <w:sz w:val="19"/>
                <w:szCs w:val="19"/>
              </w:rPr>
              <w:t>REN</w:t>
            </w:r>
          </w:p>
        </w:tc>
      </w:tr>
      <w:tr w:rsidR="0062357D" w14:paraId="5FDAF008" w14:textId="77777777">
        <w:trPr>
          <w:cantSplit/>
        </w:trPr>
        <w:tc>
          <w:tcPr>
            <w:tcW w:w="960" w:type="dxa"/>
            <w:tcMar>
              <w:top w:w="80" w:type="dxa"/>
              <w:left w:w="100" w:type="dxa"/>
              <w:bottom w:w="80" w:type="dxa"/>
              <w:right w:w="100" w:type="dxa"/>
            </w:tcMar>
          </w:tcPr>
          <w:p w14:paraId="7D000076" w14:textId="77777777" w:rsidR="0062357D" w:rsidRDefault="007E79DA">
            <w:r>
              <w:rPr>
                <w:sz w:val="19"/>
                <w:szCs w:val="19"/>
              </w:rPr>
              <w:t>VTR</w:t>
            </w:r>
          </w:p>
        </w:tc>
        <w:tc>
          <w:tcPr>
            <w:tcW w:w="2240" w:type="dxa"/>
            <w:tcMar>
              <w:top w:w="80" w:type="dxa"/>
              <w:left w:w="100" w:type="dxa"/>
              <w:bottom w:w="80" w:type="dxa"/>
              <w:right w:w="100" w:type="dxa"/>
            </w:tcMar>
          </w:tcPr>
          <w:p w14:paraId="7D000077" w14:textId="77777777" w:rsidR="0062357D" w:rsidRDefault="007E79DA">
            <w:r>
              <w:rPr>
                <w:sz w:val="19"/>
                <w:szCs w:val="19"/>
              </w:rPr>
              <w:t>Volume Treated or Recycled</w:t>
            </w:r>
          </w:p>
        </w:tc>
        <w:tc>
          <w:tcPr>
            <w:tcW w:w="2720" w:type="dxa"/>
            <w:tcMar>
              <w:top w:w="80" w:type="dxa"/>
              <w:left w:w="100" w:type="dxa"/>
              <w:bottom w:w="80" w:type="dxa"/>
              <w:right w:w="100" w:type="dxa"/>
            </w:tcMar>
          </w:tcPr>
          <w:p w14:paraId="7D000078" w14:textId="77777777" w:rsidR="0062357D" w:rsidRDefault="007E79DA">
            <w:r>
              <w:rPr>
                <w:sz w:val="19"/>
                <w:szCs w:val="19"/>
              </w:rPr>
              <w:t>Water treated, recycled, or remediated for reuse</w:t>
            </w:r>
          </w:p>
        </w:tc>
        <w:tc>
          <w:tcPr>
            <w:tcW w:w="1280" w:type="dxa"/>
            <w:tcMar>
              <w:top w:w="80" w:type="dxa"/>
              <w:left w:w="100" w:type="dxa"/>
              <w:bottom w:w="80" w:type="dxa"/>
              <w:right w:w="100" w:type="dxa"/>
            </w:tcMar>
          </w:tcPr>
          <w:p w14:paraId="7D000079" w14:textId="77777777" w:rsidR="0062357D" w:rsidRDefault="007E79DA">
            <w:r>
              <w:rPr>
                <w:sz w:val="19"/>
                <w:szCs w:val="19"/>
              </w:rPr>
              <w:t>m3</w:t>
            </w:r>
          </w:p>
        </w:tc>
        <w:tc>
          <w:tcPr>
            <w:tcW w:w="1280" w:type="dxa"/>
            <w:tcMar>
              <w:top w:w="80" w:type="dxa"/>
              <w:left w:w="100" w:type="dxa"/>
              <w:bottom w:w="80" w:type="dxa"/>
              <w:right w:w="100" w:type="dxa"/>
            </w:tcMar>
          </w:tcPr>
          <w:p w14:paraId="7D00007A" w14:textId="77777777" w:rsidR="0062357D" w:rsidRDefault="007E79DA">
            <w:r>
              <w:rPr>
                <w:sz w:val="19"/>
                <w:szCs w:val="19"/>
              </w:rPr>
              <w:t>Daily</w:t>
            </w:r>
          </w:p>
        </w:tc>
        <w:tc>
          <w:tcPr>
            <w:tcW w:w="1120" w:type="dxa"/>
            <w:tcMar>
              <w:top w:w="80" w:type="dxa"/>
              <w:left w:w="100" w:type="dxa"/>
              <w:bottom w:w="80" w:type="dxa"/>
              <w:right w:w="100" w:type="dxa"/>
            </w:tcMar>
          </w:tcPr>
          <w:p w14:paraId="7D00007B" w14:textId="77777777" w:rsidR="0062357D" w:rsidRDefault="007E79DA">
            <w:r>
              <w:rPr>
                <w:sz w:val="19"/>
                <w:szCs w:val="19"/>
              </w:rPr>
              <w:t>WRR</w:t>
            </w:r>
          </w:p>
        </w:tc>
      </w:tr>
      <w:tr w:rsidR="0062357D" w14:paraId="6D375A7D" w14:textId="77777777">
        <w:trPr>
          <w:cantSplit/>
        </w:trPr>
        <w:tc>
          <w:tcPr>
            <w:tcW w:w="960" w:type="dxa"/>
            <w:tcMar>
              <w:top w:w="80" w:type="dxa"/>
              <w:left w:w="100" w:type="dxa"/>
              <w:bottom w:w="80" w:type="dxa"/>
              <w:right w:w="100" w:type="dxa"/>
            </w:tcMar>
          </w:tcPr>
          <w:p w14:paraId="7D00007C" w14:textId="77777777" w:rsidR="0062357D" w:rsidRDefault="007E79DA">
            <w:r>
              <w:rPr>
                <w:sz w:val="19"/>
                <w:szCs w:val="19"/>
              </w:rPr>
              <w:t>VRT</w:t>
            </w:r>
          </w:p>
        </w:tc>
        <w:tc>
          <w:tcPr>
            <w:tcW w:w="2240" w:type="dxa"/>
            <w:tcMar>
              <w:top w:w="80" w:type="dxa"/>
              <w:left w:w="100" w:type="dxa"/>
              <w:bottom w:w="80" w:type="dxa"/>
              <w:right w:w="100" w:type="dxa"/>
            </w:tcMar>
          </w:tcPr>
          <w:p w14:paraId="7D00007D" w14:textId="77777777" w:rsidR="0062357D" w:rsidRDefault="007E79DA">
            <w:r>
              <w:rPr>
                <w:sz w:val="19"/>
                <w:szCs w:val="19"/>
              </w:rPr>
              <w:t>Volume Returned</w:t>
            </w:r>
          </w:p>
        </w:tc>
        <w:tc>
          <w:tcPr>
            <w:tcW w:w="2720" w:type="dxa"/>
            <w:tcMar>
              <w:top w:w="80" w:type="dxa"/>
              <w:left w:w="100" w:type="dxa"/>
              <w:bottom w:w="80" w:type="dxa"/>
              <w:right w:w="100" w:type="dxa"/>
            </w:tcMar>
          </w:tcPr>
          <w:p w14:paraId="7D00007E" w14:textId="77777777" w:rsidR="0062357D" w:rsidRDefault="007E79DA">
            <w:r>
              <w:rPr>
                <w:sz w:val="19"/>
                <w:szCs w:val="19"/>
              </w:rPr>
              <w:t>Water returned to the source watershed at or above required quality</w:t>
            </w:r>
          </w:p>
        </w:tc>
        <w:tc>
          <w:tcPr>
            <w:tcW w:w="1280" w:type="dxa"/>
            <w:tcMar>
              <w:top w:w="80" w:type="dxa"/>
              <w:left w:w="100" w:type="dxa"/>
              <w:bottom w:w="80" w:type="dxa"/>
              <w:right w:w="100" w:type="dxa"/>
            </w:tcMar>
          </w:tcPr>
          <w:p w14:paraId="7D00007F" w14:textId="77777777" w:rsidR="0062357D" w:rsidRDefault="007E79DA">
            <w:r>
              <w:rPr>
                <w:sz w:val="19"/>
                <w:szCs w:val="19"/>
              </w:rPr>
              <w:t>m3</w:t>
            </w:r>
          </w:p>
        </w:tc>
        <w:tc>
          <w:tcPr>
            <w:tcW w:w="1280" w:type="dxa"/>
            <w:tcMar>
              <w:top w:w="80" w:type="dxa"/>
              <w:left w:w="100" w:type="dxa"/>
              <w:bottom w:w="80" w:type="dxa"/>
              <w:right w:w="100" w:type="dxa"/>
            </w:tcMar>
          </w:tcPr>
          <w:p w14:paraId="7D000080" w14:textId="77777777" w:rsidR="0062357D" w:rsidRDefault="007E79DA">
            <w:r>
              <w:rPr>
                <w:sz w:val="19"/>
                <w:szCs w:val="19"/>
              </w:rPr>
              <w:t>Daily</w:t>
            </w:r>
          </w:p>
        </w:tc>
        <w:tc>
          <w:tcPr>
            <w:tcW w:w="1120" w:type="dxa"/>
            <w:tcMar>
              <w:top w:w="80" w:type="dxa"/>
              <w:left w:w="100" w:type="dxa"/>
              <w:bottom w:w="80" w:type="dxa"/>
              <w:right w:w="100" w:type="dxa"/>
            </w:tcMar>
          </w:tcPr>
          <w:p w14:paraId="7D000081" w14:textId="77777777" w:rsidR="0062357D" w:rsidRDefault="007E79DA">
            <w:r>
              <w:rPr>
                <w:sz w:val="19"/>
                <w:szCs w:val="19"/>
              </w:rPr>
              <w:t>WRR</w:t>
            </w:r>
          </w:p>
        </w:tc>
      </w:tr>
      <w:tr w:rsidR="0062357D" w14:paraId="7F9769B6" w14:textId="77777777">
        <w:trPr>
          <w:cantSplit/>
        </w:trPr>
        <w:tc>
          <w:tcPr>
            <w:tcW w:w="960" w:type="dxa"/>
            <w:tcMar>
              <w:top w:w="80" w:type="dxa"/>
              <w:left w:w="100" w:type="dxa"/>
              <w:bottom w:w="80" w:type="dxa"/>
              <w:right w:w="100" w:type="dxa"/>
            </w:tcMar>
          </w:tcPr>
          <w:p w14:paraId="7D000082" w14:textId="77777777" w:rsidR="0062357D" w:rsidRDefault="007E79DA">
            <w:r>
              <w:rPr>
                <w:sz w:val="19"/>
                <w:szCs w:val="19"/>
              </w:rPr>
              <w:t>WQI</w:t>
            </w:r>
          </w:p>
        </w:tc>
        <w:tc>
          <w:tcPr>
            <w:tcW w:w="2240" w:type="dxa"/>
            <w:tcMar>
              <w:top w:w="80" w:type="dxa"/>
              <w:left w:w="100" w:type="dxa"/>
              <w:bottom w:w="80" w:type="dxa"/>
              <w:right w:w="100" w:type="dxa"/>
            </w:tcMar>
          </w:tcPr>
          <w:p w14:paraId="7D000083" w14:textId="77777777" w:rsidR="0062357D" w:rsidRDefault="007E79DA">
            <w:r>
              <w:rPr>
                <w:sz w:val="19"/>
                <w:szCs w:val="19"/>
              </w:rPr>
              <w:t>Water Quality Indicators</w:t>
            </w:r>
          </w:p>
        </w:tc>
        <w:tc>
          <w:tcPr>
            <w:tcW w:w="2720" w:type="dxa"/>
            <w:tcMar>
              <w:top w:w="80" w:type="dxa"/>
              <w:left w:w="100" w:type="dxa"/>
              <w:bottom w:w="80" w:type="dxa"/>
              <w:right w:w="100" w:type="dxa"/>
            </w:tcMar>
          </w:tcPr>
          <w:p w14:paraId="7D000084" w14:textId="77777777" w:rsidR="0062357D" w:rsidRDefault="007E79DA">
            <w:r>
              <w:rPr>
                <w:sz w:val="19"/>
                <w:szCs w:val="19"/>
              </w:rPr>
              <w:t>Key quality parameters of returned or reused water</w:t>
            </w:r>
          </w:p>
        </w:tc>
        <w:tc>
          <w:tcPr>
            <w:tcW w:w="1280" w:type="dxa"/>
            <w:tcMar>
              <w:top w:w="80" w:type="dxa"/>
              <w:left w:w="100" w:type="dxa"/>
              <w:bottom w:w="80" w:type="dxa"/>
              <w:right w:w="100" w:type="dxa"/>
            </w:tcMar>
          </w:tcPr>
          <w:p w14:paraId="7D000085" w14:textId="77777777" w:rsidR="0062357D" w:rsidRDefault="007E79DA">
            <w:r>
              <w:rPr>
                <w:sz w:val="19"/>
                <w:szCs w:val="19"/>
              </w:rPr>
              <w:t>mg/L, NTU</w:t>
            </w:r>
          </w:p>
        </w:tc>
        <w:tc>
          <w:tcPr>
            <w:tcW w:w="1280" w:type="dxa"/>
            <w:tcMar>
              <w:top w:w="80" w:type="dxa"/>
              <w:left w:w="100" w:type="dxa"/>
              <w:bottom w:w="80" w:type="dxa"/>
              <w:right w:w="100" w:type="dxa"/>
            </w:tcMar>
          </w:tcPr>
          <w:p w14:paraId="7D000086" w14:textId="77777777" w:rsidR="0062357D" w:rsidRDefault="007E79DA">
            <w:r>
              <w:rPr>
                <w:sz w:val="19"/>
                <w:szCs w:val="19"/>
              </w:rPr>
              <w:t>Daily</w:t>
            </w:r>
          </w:p>
        </w:tc>
        <w:tc>
          <w:tcPr>
            <w:tcW w:w="1120" w:type="dxa"/>
            <w:tcMar>
              <w:top w:w="80" w:type="dxa"/>
              <w:left w:w="100" w:type="dxa"/>
              <w:bottom w:w="80" w:type="dxa"/>
              <w:right w:w="100" w:type="dxa"/>
            </w:tcMar>
          </w:tcPr>
          <w:p w14:paraId="7D000087" w14:textId="77777777" w:rsidR="0062357D" w:rsidRDefault="007E79DA">
            <w:r>
              <w:rPr>
                <w:sz w:val="19"/>
                <w:szCs w:val="19"/>
              </w:rPr>
              <w:t>WRR</w:t>
            </w:r>
          </w:p>
        </w:tc>
      </w:tr>
      <w:tr w:rsidR="0062357D" w14:paraId="6EBF7881" w14:textId="77777777">
        <w:trPr>
          <w:cantSplit/>
        </w:trPr>
        <w:tc>
          <w:tcPr>
            <w:tcW w:w="960" w:type="dxa"/>
            <w:tcMar>
              <w:top w:w="80" w:type="dxa"/>
              <w:left w:w="100" w:type="dxa"/>
              <w:bottom w:w="80" w:type="dxa"/>
              <w:right w:w="100" w:type="dxa"/>
            </w:tcMar>
          </w:tcPr>
          <w:p w14:paraId="7D000088" w14:textId="77777777" w:rsidR="0062357D" w:rsidRDefault="007E79DA">
            <w:r>
              <w:rPr>
                <w:sz w:val="19"/>
                <w:szCs w:val="19"/>
              </w:rPr>
              <w:t>WSI</w:t>
            </w:r>
          </w:p>
        </w:tc>
        <w:tc>
          <w:tcPr>
            <w:tcW w:w="2240" w:type="dxa"/>
            <w:tcMar>
              <w:top w:w="80" w:type="dxa"/>
              <w:left w:w="100" w:type="dxa"/>
              <w:bottom w:w="80" w:type="dxa"/>
              <w:right w:w="100" w:type="dxa"/>
            </w:tcMar>
          </w:tcPr>
          <w:p w14:paraId="7D000089" w14:textId="77777777" w:rsidR="0062357D" w:rsidRDefault="007E79DA">
            <w:r>
              <w:rPr>
                <w:sz w:val="19"/>
                <w:szCs w:val="19"/>
              </w:rPr>
              <w:t>Watershed ID</w:t>
            </w:r>
          </w:p>
        </w:tc>
        <w:tc>
          <w:tcPr>
            <w:tcW w:w="2720" w:type="dxa"/>
            <w:tcMar>
              <w:top w:w="80" w:type="dxa"/>
              <w:left w:w="100" w:type="dxa"/>
              <w:bottom w:w="80" w:type="dxa"/>
              <w:right w:w="100" w:type="dxa"/>
            </w:tcMar>
          </w:tcPr>
          <w:p w14:paraId="7D00008A" w14:textId="77777777" w:rsidR="0062357D" w:rsidRDefault="007E79DA">
            <w:r>
              <w:rPr>
                <w:sz w:val="19"/>
                <w:szCs w:val="19"/>
              </w:rPr>
              <w:t>Basin or watershed identifier for place-based matching</w:t>
            </w:r>
          </w:p>
        </w:tc>
        <w:tc>
          <w:tcPr>
            <w:tcW w:w="1280" w:type="dxa"/>
            <w:tcMar>
              <w:top w:w="80" w:type="dxa"/>
              <w:left w:w="100" w:type="dxa"/>
              <w:bottom w:w="80" w:type="dxa"/>
              <w:right w:w="100" w:type="dxa"/>
            </w:tcMar>
          </w:tcPr>
          <w:p w14:paraId="7D00008B" w14:textId="77777777" w:rsidR="0062357D" w:rsidRDefault="007E79DA">
            <w:r>
              <w:rPr>
                <w:sz w:val="19"/>
                <w:szCs w:val="19"/>
              </w:rPr>
              <w:t>code</w:t>
            </w:r>
          </w:p>
        </w:tc>
        <w:tc>
          <w:tcPr>
            <w:tcW w:w="1280" w:type="dxa"/>
            <w:tcMar>
              <w:top w:w="80" w:type="dxa"/>
              <w:left w:w="100" w:type="dxa"/>
              <w:bottom w:w="80" w:type="dxa"/>
              <w:right w:w="100" w:type="dxa"/>
            </w:tcMar>
          </w:tcPr>
          <w:p w14:paraId="7D00008C" w14:textId="77777777" w:rsidR="0062357D" w:rsidRDefault="007E79DA">
            <w:r>
              <w:rPr>
                <w:sz w:val="19"/>
                <w:szCs w:val="19"/>
              </w:rPr>
              <w:t>Static</w:t>
            </w:r>
          </w:p>
        </w:tc>
        <w:tc>
          <w:tcPr>
            <w:tcW w:w="1120" w:type="dxa"/>
            <w:tcMar>
              <w:top w:w="80" w:type="dxa"/>
              <w:left w:w="100" w:type="dxa"/>
              <w:bottom w:w="80" w:type="dxa"/>
              <w:right w:w="100" w:type="dxa"/>
            </w:tcMar>
          </w:tcPr>
          <w:p w14:paraId="7D00008D" w14:textId="77777777" w:rsidR="0062357D" w:rsidRDefault="007E79DA">
            <w:r>
              <w:rPr>
                <w:sz w:val="19"/>
                <w:szCs w:val="19"/>
              </w:rPr>
              <w:t>WRR</w:t>
            </w:r>
          </w:p>
        </w:tc>
      </w:tr>
      <w:tr w:rsidR="0062357D" w14:paraId="427EE3C6" w14:textId="77777777">
        <w:trPr>
          <w:cantSplit/>
        </w:trPr>
        <w:tc>
          <w:tcPr>
            <w:tcW w:w="960" w:type="dxa"/>
            <w:tcMar>
              <w:top w:w="80" w:type="dxa"/>
              <w:left w:w="100" w:type="dxa"/>
              <w:bottom w:w="80" w:type="dxa"/>
              <w:right w:w="100" w:type="dxa"/>
            </w:tcMar>
          </w:tcPr>
          <w:p w14:paraId="7D00008E" w14:textId="77777777" w:rsidR="0062357D" w:rsidRDefault="007E79DA">
            <w:r>
              <w:rPr>
                <w:sz w:val="19"/>
                <w:szCs w:val="19"/>
              </w:rPr>
              <w:t>WSX</w:t>
            </w:r>
          </w:p>
        </w:tc>
        <w:tc>
          <w:tcPr>
            <w:tcW w:w="2240" w:type="dxa"/>
            <w:tcMar>
              <w:top w:w="80" w:type="dxa"/>
              <w:left w:w="100" w:type="dxa"/>
              <w:bottom w:w="80" w:type="dxa"/>
              <w:right w:w="100" w:type="dxa"/>
            </w:tcMar>
          </w:tcPr>
          <w:p w14:paraId="7D00008F" w14:textId="77777777" w:rsidR="0062357D" w:rsidRDefault="007E79DA">
            <w:r>
              <w:rPr>
                <w:sz w:val="19"/>
                <w:szCs w:val="19"/>
              </w:rPr>
              <w:t>Baseline Water Stress</w:t>
            </w:r>
          </w:p>
        </w:tc>
        <w:tc>
          <w:tcPr>
            <w:tcW w:w="2720" w:type="dxa"/>
            <w:tcMar>
              <w:top w:w="80" w:type="dxa"/>
              <w:left w:w="100" w:type="dxa"/>
              <w:bottom w:w="80" w:type="dxa"/>
              <w:right w:w="100" w:type="dxa"/>
            </w:tcMar>
          </w:tcPr>
          <w:p w14:paraId="7D000090" w14:textId="77777777" w:rsidR="0062357D" w:rsidRDefault="007E79DA">
            <w:r>
              <w:rPr>
                <w:sz w:val="19"/>
                <w:szCs w:val="19"/>
              </w:rPr>
              <w:t>Water stress rating of the watershed (e.g., WRI Aqueduct)</w:t>
            </w:r>
          </w:p>
        </w:tc>
        <w:tc>
          <w:tcPr>
            <w:tcW w:w="1280" w:type="dxa"/>
            <w:tcMar>
              <w:top w:w="80" w:type="dxa"/>
              <w:left w:w="100" w:type="dxa"/>
              <w:bottom w:w="80" w:type="dxa"/>
              <w:right w:w="100" w:type="dxa"/>
            </w:tcMar>
          </w:tcPr>
          <w:p w14:paraId="7D000091" w14:textId="77777777" w:rsidR="0062357D" w:rsidRDefault="007E79DA">
            <w:r>
              <w:rPr>
                <w:sz w:val="19"/>
                <w:szCs w:val="19"/>
              </w:rPr>
              <w:t>index</w:t>
            </w:r>
          </w:p>
        </w:tc>
        <w:tc>
          <w:tcPr>
            <w:tcW w:w="1280" w:type="dxa"/>
            <w:tcMar>
              <w:top w:w="80" w:type="dxa"/>
              <w:left w:w="100" w:type="dxa"/>
              <w:bottom w:w="80" w:type="dxa"/>
              <w:right w:w="100" w:type="dxa"/>
            </w:tcMar>
          </w:tcPr>
          <w:p w14:paraId="7D000092" w14:textId="77777777" w:rsidR="0062357D" w:rsidRDefault="007E79DA">
            <w:r>
              <w:rPr>
                <w:sz w:val="19"/>
                <w:szCs w:val="19"/>
              </w:rPr>
              <w:t>Annual</w:t>
            </w:r>
          </w:p>
        </w:tc>
        <w:tc>
          <w:tcPr>
            <w:tcW w:w="1120" w:type="dxa"/>
            <w:tcMar>
              <w:top w:w="80" w:type="dxa"/>
              <w:left w:w="100" w:type="dxa"/>
              <w:bottom w:w="80" w:type="dxa"/>
              <w:right w:w="100" w:type="dxa"/>
            </w:tcMar>
          </w:tcPr>
          <w:p w14:paraId="7D000093" w14:textId="77777777" w:rsidR="0062357D" w:rsidRDefault="007E79DA">
            <w:r>
              <w:rPr>
                <w:sz w:val="19"/>
                <w:szCs w:val="19"/>
              </w:rPr>
              <w:t>WRR</w:t>
            </w:r>
          </w:p>
        </w:tc>
      </w:tr>
      <w:tr w:rsidR="0062357D" w14:paraId="18F506F6" w14:textId="77777777">
        <w:trPr>
          <w:cantSplit/>
        </w:trPr>
        <w:tc>
          <w:tcPr>
            <w:tcW w:w="960" w:type="dxa"/>
            <w:tcMar>
              <w:top w:w="80" w:type="dxa"/>
              <w:left w:w="100" w:type="dxa"/>
              <w:bottom w:w="80" w:type="dxa"/>
              <w:right w:w="100" w:type="dxa"/>
            </w:tcMar>
          </w:tcPr>
          <w:p w14:paraId="7D000094" w14:textId="77777777" w:rsidR="0062357D" w:rsidRDefault="007E79DA">
            <w:r>
              <w:rPr>
                <w:sz w:val="19"/>
                <w:szCs w:val="19"/>
              </w:rPr>
              <w:t>HEX</w:t>
            </w:r>
          </w:p>
        </w:tc>
        <w:tc>
          <w:tcPr>
            <w:tcW w:w="2240" w:type="dxa"/>
            <w:tcMar>
              <w:top w:w="80" w:type="dxa"/>
              <w:left w:w="100" w:type="dxa"/>
              <w:bottom w:w="80" w:type="dxa"/>
              <w:right w:w="100" w:type="dxa"/>
            </w:tcMar>
          </w:tcPr>
          <w:p w14:paraId="7D000095" w14:textId="77777777" w:rsidR="0062357D" w:rsidRDefault="007E79DA">
            <w:r>
              <w:rPr>
                <w:sz w:val="19"/>
                <w:szCs w:val="19"/>
              </w:rPr>
              <w:t>Heat Exported</w:t>
            </w:r>
          </w:p>
        </w:tc>
        <w:tc>
          <w:tcPr>
            <w:tcW w:w="2720" w:type="dxa"/>
            <w:tcMar>
              <w:top w:w="80" w:type="dxa"/>
              <w:left w:w="100" w:type="dxa"/>
              <w:bottom w:w="80" w:type="dxa"/>
              <w:right w:w="100" w:type="dxa"/>
            </w:tcMar>
          </w:tcPr>
          <w:p w14:paraId="7D000096" w14:textId="77777777" w:rsidR="0062357D" w:rsidRDefault="007E79DA">
            <w:r>
              <w:rPr>
                <w:sz w:val="19"/>
                <w:szCs w:val="19"/>
              </w:rPr>
              <w:t>Thermal energy delivered to an external user</w:t>
            </w:r>
          </w:p>
        </w:tc>
        <w:tc>
          <w:tcPr>
            <w:tcW w:w="1280" w:type="dxa"/>
            <w:tcMar>
              <w:top w:w="80" w:type="dxa"/>
              <w:left w:w="100" w:type="dxa"/>
              <w:bottom w:w="80" w:type="dxa"/>
              <w:right w:w="100" w:type="dxa"/>
            </w:tcMar>
          </w:tcPr>
          <w:p w14:paraId="7D000097" w14:textId="77777777" w:rsidR="0062357D" w:rsidRDefault="007E79DA">
            <w:r>
              <w:rPr>
                <w:sz w:val="19"/>
                <w:szCs w:val="19"/>
              </w:rPr>
              <w:t>MWh-</w:t>
            </w:r>
            <w:proofErr w:type="spellStart"/>
            <w:r>
              <w:rPr>
                <w:sz w:val="19"/>
                <w:szCs w:val="19"/>
              </w:rPr>
              <w:t>th</w:t>
            </w:r>
            <w:proofErr w:type="spellEnd"/>
          </w:p>
        </w:tc>
        <w:tc>
          <w:tcPr>
            <w:tcW w:w="1280" w:type="dxa"/>
            <w:tcMar>
              <w:top w:w="80" w:type="dxa"/>
              <w:left w:w="100" w:type="dxa"/>
              <w:bottom w:w="80" w:type="dxa"/>
              <w:right w:w="100" w:type="dxa"/>
            </w:tcMar>
          </w:tcPr>
          <w:p w14:paraId="7D000098" w14:textId="77777777" w:rsidR="0062357D" w:rsidRDefault="007E79DA">
            <w:r>
              <w:rPr>
                <w:sz w:val="19"/>
                <w:szCs w:val="19"/>
              </w:rPr>
              <w:t>Hourly</w:t>
            </w:r>
          </w:p>
        </w:tc>
        <w:tc>
          <w:tcPr>
            <w:tcW w:w="1120" w:type="dxa"/>
            <w:tcMar>
              <w:top w:w="80" w:type="dxa"/>
              <w:left w:w="100" w:type="dxa"/>
              <w:bottom w:w="80" w:type="dxa"/>
              <w:right w:w="100" w:type="dxa"/>
            </w:tcMar>
          </w:tcPr>
          <w:p w14:paraId="7D000099" w14:textId="77777777" w:rsidR="0062357D" w:rsidRDefault="007E79DA">
            <w:r>
              <w:rPr>
                <w:sz w:val="19"/>
                <w:szCs w:val="19"/>
              </w:rPr>
              <w:t>HRC</w:t>
            </w:r>
          </w:p>
        </w:tc>
      </w:tr>
      <w:tr w:rsidR="0062357D" w14:paraId="0B18D1A7" w14:textId="77777777">
        <w:trPr>
          <w:cantSplit/>
        </w:trPr>
        <w:tc>
          <w:tcPr>
            <w:tcW w:w="960" w:type="dxa"/>
            <w:tcMar>
              <w:top w:w="80" w:type="dxa"/>
              <w:left w:w="100" w:type="dxa"/>
              <w:bottom w:w="80" w:type="dxa"/>
              <w:right w:w="100" w:type="dxa"/>
            </w:tcMar>
          </w:tcPr>
          <w:p w14:paraId="7D00009A" w14:textId="77777777" w:rsidR="0062357D" w:rsidRDefault="007E79DA">
            <w:r>
              <w:rPr>
                <w:sz w:val="19"/>
                <w:szCs w:val="19"/>
              </w:rPr>
              <w:t>HST</w:t>
            </w:r>
          </w:p>
        </w:tc>
        <w:tc>
          <w:tcPr>
            <w:tcW w:w="2240" w:type="dxa"/>
            <w:tcMar>
              <w:top w:w="80" w:type="dxa"/>
              <w:left w:w="100" w:type="dxa"/>
              <w:bottom w:w="80" w:type="dxa"/>
              <w:right w:w="100" w:type="dxa"/>
            </w:tcMar>
          </w:tcPr>
          <w:p w14:paraId="7D00009B" w14:textId="77777777" w:rsidR="0062357D" w:rsidRDefault="007E79DA">
            <w:r>
              <w:rPr>
                <w:sz w:val="19"/>
                <w:szCs w:val="19"/>
              </w:rPr>
              <w:t>Supply Temperature</w:t>
            </w:r>
          </w:p>
        </w:tc>
        <w:tc>
          <w:tcPr>
            <w:tcW w:w="2720" w:type="dxa"/>
            <w:tcMar>
              <w:top w:w="80" w:type="dxa"/>
              <w:left w:w="100" w:type="dxa"/>
              <w:bottom w:w="80" w:type="dxa"/>
              <w:right w:w="100" w:type="dxa"/>
            </w:tcMar>
          </w:tcPr>
          <w:p w14:paraId="7D00009C" w14:textId="77777777" w:rsidR="0062357D" w:rsidRDefault="007E79DA">
            <w:r>
              <w:rPr>
                <w:sz w:val="19"/>
                <w:szCs w:val="19"/>
              </w:rPr>
              <w:t>Temperature of exported heat</w:t>
            </w:r>
          </w:p>
        </w:tc>
        <w:tc>
          <w:tcPr>
            <w:tcW w:w="1280" w:type="dxa"/>
            <w:tcMar>
              <w:top w:w="80" w:type="dxa"/>
              <w:left w:w="100" w:type="dxa"/>
              <w:bottom w:w="80" w:type="dxa"/>
              <w:right w:w="100" w:type="dxa"/>
            </w:tcMar>
          </w:tcPr>
          <w:p w14:paraId="7D00009D" w14:textId="77777777" w:rsidR="0062357D" w:rsidRDefault="007E79DA">
            <w:r>
              <w:rPr>
                <w:sz w:val="19"/>
                <w:szCs w:val="19"/>
              </w:rPr>
              <w:t>°C</w:t>
            </w:r>
          </w:p>
        </w:tc>
        <w:tc>
          <w:tcPr>
            <w:tcW w:w="1280" w:type="dxa"/>
            <w:tcMar>
              <w:top w:w="80" w:type="dxa"/>
              <w:left w:w="100" w:type="dxa"/>
              <w:bottom w:w="80" w:type="dxa"/>
              <w:right w:w="100" w:type="dxa"/>
            </w:tcMar>
          </w:tcPr>
          <w:p w14:paraId="7D00009E" w14:textId="77777777" w:rsidR="0062357D" w:rsidRDefault="007E79DA">
            <w:r>
              <w:rPr>
                <w:sz w:val="19"/>
                <w:szCs w:val="19"/>
              </w:rPr>
              <w:t>Hourly</w:t>
            </w:r>
          </w:p>
        </w:tc>
        <w:tc>
          <w:tcPr>
            <w:tcW w:w="1120" w:type="dxa"/>
            <w:tcMar>
              <w:top w:w="80" w:type="dxa"/>
              <w:left w:w="100" w:type="dxa"/>
              <w:bottom w:w="80" w:type="dxa"/>
              <w:right w:w="100" w:type="dxa"/>
            </w:tcMar>
          </w:tcPr>
          <w:p w14:paraId="7D00009F" w14:textId="77777777" w:rsidR="0062357D" w:rsidRDefault="007E79DA">
            <w:r>
              <w:rPr>
                <w:sz w:val="19"/>
                <w:szCs w:val="19"/>
              </w:rPr>
              <w:t>HRC</w:t>
            </w:r>
          </w:p>
        </w:tc>
      </w:tr>
      <w:tr w:rsidR="0062357D" w14:paraId="522FB5AE" w14:textId="77777777">
        <w:trPr>
          <w:cantSplit/>
        </w:trPr>
        <w:tc>
          <w:tcPr>
            <w:tcW w:w="960" w:type="dxa"/>
            <w:tcMar>
              <w:top w:w="80" w:type="dxa"/>
              <w:left w:w="100" w:type="dxa"/>
              <w:bottom w:w="80" w:type="dxa"/>
              <w:right w:w="100" w:type="dxa"/>
            </w:tcMar>
          </w:tcPr>
          <w:p w14:paraId="7D0000A0" w14:textId="77777777" w:rsidR="0062357D" w:rsidRDefault="007E79DA">
            <w:r>
              <w:rPr>
                <w:sz w:val="19"/>
                <w:szCs w:val="19"/>
              </w:rPr>
              <w:t>HRP</w:t>
            </w:r>
          </w:p>
        </w:tc>
        <w:tc>
          <w:tcPr>
            <w:tcW w:w="2240" w:type="dxa"/>
            <w:tcMar>
              <w:top w:w="80" w:type="dxa"/>
              <w:left w:w="100" w:type="dxa"/>
              <w:bottom w:w="80" w:type="dxa"/>
              <w:right w:w="100" w:type="dxa"/>
            </w:tcMar>
          </w:tcPr>
          <w:p w14:paraId="7D0000A1" w14:textId="77777777" w:rsidR="0062357D" w:rsidRDefault="007E79DA">
            <w:r>
              <w:rPr>
                <w:sz w:val="19"/>
                <w:szCs w:val="19"/>
              </w:rPr>
              <w:t>Heat Recipient</w:t>
            </w:r>
          </w:p>
        </w:tc>
        <w:tc>
          <w:tcPr>
            <w:tcW w:w="2720" w:type="dxa"/>
            <w:tcMar>
              <w:top w:w="80" w:type="dxa"/>
              <w:left w:w="100" w:type="dxa"/>
              <w:bottom w:w="80" w:type="dxa"/>
              <w:right w:w="100" w:type="dxa"/>
            </w:tcMar>
          </w:tcPr>
          <w:p w14:paraId="7D0000A2" w14:textId="77777777" w:rsidR="0062357D" w:rsidRDefault="007E79DA">
            <w:r>
              <w:rPr>
                <w:sz w:val="19"/>
                <w:szCs w:val="19"/>
              </w:rPr>
              <w:t>District heating, greenhouse, industry, or buildings</w:t>
            </w:r>
          </w:p>
        </w:tc>
        <w:tc>
          <w:tcPr>
            <w:tcW w:w="1280" w:type="dxa"/>
            <w:tcMar>
              <w:top w:w="80" w:type="dxa"/>
              <w:left w:w="100" w:type="dxa"/>
              <w:bottom w:w="80" w:type="dxa"/>
              <w:right w:w="100" w:type="dxa"/>
            </w:tcMar>
          </w:tcPr>
          <w:p w14:paraId="7D0000A3"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7D0000A4" w14:textId="77777777" w:rsidR="0062357D" w:rsidRDefault="007E79DA">
            <w:r>
              <w:rPr>
                <w:sz w:val="19"/>
                <w:szCs w:val="19"/>
              </w:rPr>
              <w:t>Static</w:t>
            </w:r>
          </w:p>
        </w:tc>
        <w:tc>
          <w:tcPr>
            <w:tcW w:w="1120" w:type="dxa"/>
            <w:tcMar>
              <w:top w:w="80" w:type="dxa"/>
              <w:left w:w="100" w:type="dxa"/>
              <w:bottom w:w="80" w:type="dxa"/>
              <w:right w:w="100" w:type="dxa"/>
            </w:tcMar>
          </w:tcPr>
          <w:p w14:paraId="7D0000A5" w14:textId="77777777" w:rsidR="0062357D" w:rsidRDefault="007E79DA">
            <w:r>
              <w:rPr>
                <w:sz w:val="19"/>
                <w:szCs w:val="19"/>
              </w:rPr>
              <w:t>HRC</w:t>
            </w:r>
          </w:p>
        </w:tc>
      </w:tr>
      <w:tr w:rsidR="0062357D" w14:paraId="0B59AF07" w14:textId="77777777">
        <w:trPr>
          <w:cantSplit/>
        </w:trPr>
        <w:tc>
          <w:tcPr>
            <w:tcW w:w="960" w:type="dxa"/>
            <w:tcMar>
              <w:top w:w="80" w:type="dxa"/>
              <w:left w:w="100" w:type="dxa"/>
              <w:bottom w:w="80" w:type="dxa"/>
              <w:right w:w="100" w:type="dxa"/>
            </w:tcMar>
          </w:tcPr>
          <w:p w14:paraId="7D0000A6" w14:textId="77777777" w:rsidR="0062357D" w:rsidRDefault="007E79DA">
            <w:r>
              <w:rPr>
                <w:sz w:val="19"/>
                <w:szCs w:val="19"/>
              </w:rPr>
              <w:t>ERF</w:t>
            </w:r>
          </w:p>
        </w:tc>
        <w:tc>
          <w:tcPr>
            <w:tcW w:w="2240" w:type="dxa"/>
            <w:tcMar>
              <w:top w:w="80" w:type="dxa"/>
              <w:left w:w="100" w:type="dxa"/>
              <w:bottom w:w="80" w:type="dxa"/>
              <w:right w:w="100" w:type="dxa"/>
            </w:tcMar>
          </w:tcPr>
          <w:p w14:paraId="7D0000A7" w14:textId="77777777" w:rsidR="0062357D" w:rsidRDefault="007E79DA">
            <w:r>
              <w:rPr>
                <w:sz w:val="19"/>
                <w:szCs w:val="19"/>
              </w:rPr>
              <w:t>Energy Reuse Factor</w:t>
            </w:r>
          </w:p>
        </w:tc>
        <w:tc>
          <w:tcPr>
            <w:tcW w:w="2720" w:type="dxa"/>
            <w:tcMar>
              <w:top w:w="80" w:type="dxa"/>
              <w:left w:w="100" w:type="dxa"/>
              <w:bottom w:w="80" w:type="dxa"/>
              <w:right w:w="100" w:type="dxa"/>
            </w:tcMar>
          </w:tcPr>
          <w:p w14:paraId="7D0000A8" w14:textId="77777777" w:rsidR="0062357D" w:rsidRDefault="007E79DA">
            <w:r>
              <w:rPr>
                <w:sz w:val="19"/>
                <w:szCs w:val="19"/>
              </w:rPr>
              <w:t>Reused energy divided by total facility energy (ISO/IEC 30134-6)</w:t>
            </w:r>
          </w:p>
        </w:tc>
        <w:tc>
          <w:tcPr>
            <w:tcW w:w="1280" w:type="dxa"/>
            <w:tcMar>
              <w:top w:w="80" w:type="dxa"/>
              <w:left w:w="100" w:type="dxa"/>
              <w:bottom w:w="80" w:type="dxa"/>
              <w:right w:w="100" w:type="dxa"/>
            </w:tcMar>
          </w:tcPr>
          <w:p w14:paraId="7D0000A9" w14:textId="77777777" w:rsidR="0062357D" w:rsidRDefault="007E79DA">
            <w:r>
              <w:rPr>
                <w:sz w:val="19"/>
                <w:szCs w:val="19"/>
              </w:rPr>
              <w:t>ratio 0–1</w:t>
            </w:r>
          </w:p>
        </w:tc>
        <w:tc>
          <w:tcPr>
            <w:tcW w:w="1280" w:type="dxa"/>
            <w:tcMar>
              <w:top w:w="80" w:type="dxa"/>
              <w:left w:w="100" w:type="dxa"/>
              <w:bottom w:w="80" w:type="dxa"/>
              <w:right w:w="100" w:type="dxa"/>
            </w:tcMar>
          </w:tcPr>
          <w:p w14:paraId="7D0000AA" w14:textId="77777777" w:rsidR="0062357D" w:rsidRDefault="007E79DA">
            <w:r>
              <w:rPr>
                <w:sz w:val="19"/>
                <w:szCs w:val="19"/>
              </w:rPr>
              <w:t>Annual / monthly</w:t>
            </w:r>
          </w:p>
        </w:tc>
        <w:tc>
          <w:tcPr>
            <w:tcW w:w="1120" w:type="dxa"/>
            <w:tcMar>
              <w:top w:w="80" w:type="dxa"/>
              <w:left w:w="100" w:type="dxa"/>
              <w:bottom w:w="80" w:type="dxa"/>
              <w:right w:w="100" w:type="dxa"/>
            </w:tcMar>
          </w:tcPr>
          <w:p w14:paraId="7D0000AB" w14:textId="77777777" w:rsidR="0062357D" w:rsidRDefault="007E79DA">
            <w:r>
              <w:rPr>
                <w:sz w:val="19"/>
                <w:szCs w:val="19"/>
              </w:rPr>
              <w:t>HRC</w:t>
            </w:r>
          </w:p>
        </w:tc>
      </w:tr>
      <w:tr w:rsidR="0062357D" w14:paraId="0A9C58B8" w14:textId="77777777">
        <w:trPr>
          <w:cantSplit/>
        </w:trPr>
        <w:tc>
          <w:tcPr>
            <w:tcW w:w="960" w:type="dxa"/>
            <w:tcMar>
              <w:top w:w="80" w:type="dxa"/>
              <w:left w:w="100" w:type="dxa"/>
              <w:bottom w:w="80" w:type="dxa"/>
              <w:right w:w="100" w:type="dxa"/>
            </w:tcMar>
          </w:tcPr>
          <w:p w14:paraId="7D0000AC" w14:textId="77777777" w:rsidR="0062357D" w:rsidRDefault="007E79DA">
            <w:r>
              <w:rPr>
                <w:sz w:val="19"/>
                <w:szCs w:val="19"/>
              </w:rPr>
              <w:t>DFB</w:t>
            </w:r>
          </w:p>
        </w:tc>
        <w:tc>
          <w:tcPr>
            <w:tcW w:w="2240" w:type="dxa"/>
            <w:tcMar>
              <w:top w:w="80" w:type="dxa"/>
              <w:left w:w="100" w:type="dxa"/>
              <w:bottom w:w="80" w:type="dxa"/>
              <w:right w:w="100" w:type="dxa"/>
            </w:tcMar>
          </w:tcPr>
          <w:p w14:paraId="7D0000AD" w14:textId="77777777" w:rsidR="0062357D" w:rsidRDefault="007E79DA">
            <w:r>
              <w:rPr>
                <w:sz w:val="19"/>
                <w:szCs w:val="19"/>
              </w:rPr>
              <w:t>Displaced Fuel Baseline</w:t>
            </w:r>
          </w:p>
        </w:tc>
        <w:tc>
          <w:tcPr>
            <w:tcW w:w="2720" w:type="dxa"/>
            <w:tcMar>
              <w:top w:w="80" w:type="dxa"/>
              <w:left w:w="100" w:type="dxa"/>
              <w:bottom w:w="80" w:type="dxa"/>
              <w:right w:w="100" w:type="dxa"/>
            </w:tcMar>
          </w:tcPr>
          <w:p w14:paraId="7D0000AE" w14:textId="77777777" w:rsidR="0062357D" w:rsidRDefault="007E79DA">
            <w:r>
              <w:rPr>
                <w:sz w:val="19"/>
                <w:szCs w:val="19"/>
              </w:rPr>
              <w:t>Fuel or heat source the exported heat replaces</w:t>
            </w:r>
          </w:p>
        </w:tc>
        <w:tc>
          <w:tcPr>
            <w:tcW w:w="1280" w:type="dxa"/>
            <w:tcMar>
              <w:top w:w="80" w:type="dxa"/>
              <w:left w:w="100" w:type="dxa"/>
              <w:bottom w:w="80" w:type="dxa"/>
              <w:right w:w="100" w:type="dxa"/>
            </w:tcMar>
          </w:tcPr>
          <w:p w14:paraId="7D0000AF"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7D0000B0" w14:textId="77777777" w:rsidR="0062357D" w:rsidRDefault="007E79DA">
            <w:r>
              <w:rPr>
                <w:sz w:val="19"/>
                <w:szCs w:val="19"/>
              </w:rPr>
              <w:t>Static</w:t>
            </w:r>
          </w:p>
        </w:tc>
        <w:tc>
          <w:tcPr>
            <w:tcW w:w="1120" w:type="dxa"/>
            <w:tcMar>
              <w:top w:w="80" w:type="dxa"/>
              <w:left w:w="100" w:type="dxa"/>
              <w:bottom w:w="80" w:type="dxa"/>
              <w:right w:w="100" w:type="dxa"/>
            </w:tcMar>
          </w:tcPr>
          <w:p w14:paraId="7D0000B1" w14:textId="77777777" w:rsidR="0062357D" w:rsidRDefault="007E79DA">
            <w:r>
              <w:rPr>
                <w:sz w:val="19"/>
                <w:szCs w:val="19"/>
              </w:rPr>
              <w:t>HRC</w:t>
            </w:r>
          </w:p>
        </w:tc>
      </w:tr>
      <w:tr w:rsidR="0062357D" w14:paraId="2B042EA9" w14:textId="77777777">
        <w:trPr>
          <w:cantSplit/>
        </w:trPr>
        <w:tc>
          <w:tcPr>
            <w:tcW w:w="960" w:type="dxa"/>
            <w:tcMar>
              <w:top w:w="80" w:type="dxa"/>
              <w:left w:w="100" w:type="dxa"/>
              <w:bottom w:w="80" w:type="dxa"/>
              <w:right w:w="100" w:type="dxa"/>
            </w:tcMar>
          </w:tcPr>
          <w:p w14:paraId="7D0000B2" w14:textId="77777777" w:rsidR="0062357D" w:rsidRDefault="007E79DA">
            <w:r>
              <w:rPr>
                <w:sz w:val="19"/>
                <w:szCs w:val="19"/>
              </w:rPr>
              <w:t>MRC</w:t>
            </w:r>
          </w:p>
        </w:tc>
        <w:tc>
          <w:tcPr>
            <w:tcW w:w="2240" w:type="dxa"/>
            <w:tcMar>
              <w:top w:w="80" w:type="dxa"/>
              <w:left w:w="100" w:type="dxa"/>
              <w:bottom w:w="80" w:type="dxa"/>
              <w:right w:w="100" w:type="dxa"/>
            </w:tcMar>
          </w:tcPr>
          <w:p w14:paraId="7D0000B3" w14:textId="77777777" w:rsidR="0062357D" w:rsidRDefault="007E79DA">
            <w:r>
              <w:rPr>
                <w:sz w:val="19"/>
                <w:szCs w:val="19"/>
              </w:rPr>
              <w:t>Mass Recovered</w:t>
            </w:r>
          </w:p>
        </w:tc>
        <w:tc>
          <w:tcPr>
            <w:tcW w:w="2720" w:type="dxa"/>
            <w:tcMar>
              <w:top w:w="80" w:type="dxa"/>
              <w:left w:w="100" w:type="dxa"/>
              <w:bottom w:w="80" w:type="dxa"/>
              <w:right w:w="100" w:type="dxa"/>
            </w:tcMar>
          </w:tcPr>
          <w:p w14:paraId="7D0000B4" w14:textId="77777777" w:rsidR="0062357D" w:rsidRDefault="007E79DA">
            <w:r>
              <w:rPr>
                <w:sz w:val="19"/>
                <w:szCs w:val="19"/>
              </w:rPr>
              <w:t>Mass of material recovered for reuse or recycling</w:t>
            </w:r>
          </w:p>
        </w:tc>
        <w:tc>
          <w:tcPr>
            <w:tcW w:w="1280" w:type="dxa"/>
            <w:tcMar>
              <w:top w:w="80" w:type="dxa"/>
              <w:left w:w="100" w:type="dxa"/>
              <w:bottom w:w="80" w:type="dxa"/>
              <w:right w:w="100" w:type="dxa"/>
            </w:tcMar>
          </w:tcPr>
          <w:p w14:paraId="7D0000B5" w14:textId="77777777" w:rsidR="0062357D" w:rsidRDefault="007E79DA">
            <w:r>
              <w:rPr>
                <w:sz w:val="19"/>
                <w:szCs w:val="19"/>
              </w:rPr>
              <w:t>kg</w:t>
            </w:r>
          </w:p>
        </w:tc>
        <w:tc>
          <w:tcPr>
            <w:tcW w:w="1280" w:type="dxa"/>
            <w:tcMar>
              <w:top w:w="80" w:type="dxa"/>
              <w:left w:w="100" w:type="dxa"/>
              <w:bottom w:w="80" w:type="dxa"/>
              <w:right w:w="100" w:type="dxa"/>
            </w:tcMar>
          </w:tcPr>
          <w:p w14:paraId="7D0000B6" w14:textId="77777777" w:rsidR="0062357D" w:rsidRDefault="007E79DA">
            <w:r>
              <w:rPr>
                <w:sz w:val="19"/>
                <w:szCs w:val="19"/>
              </w:rPr>
              <w:t>Per batch</w:t>
            </w:r>
          </w:p>
        </w:tc>
        <w:tc>
          <w:tcPr>
            <w:tcW w:w="1120" w:type="dxa"/>
            <w:tcMar>
              <w:top w:w="80" w:type="dxa"/>
              <w:left w:w="100" w:type="dxa"/>
              <w:bottom w:w="80" w:type="dxa"/>
              <w:right w:w="100" w:type="dxa"/>
            </w:tcMar>
          </w:tcPr>
          <w:p w14:paraId="7D0000B7" w14:textId="77777777" w:rsidR="0062357D" w:rsidRDefault="007E79DA">
            <w:r>
              <w:rPr>
                <w:sz w:val="19"/>
                <w:szCs w:val="19"/>
              </w:rPr>
              <w:t>RCY</w:t>
            </w:r>
          </w:p>
        </w:tc>
      </w:tr>
      <w:tr w:rsidR="0062357D" w14:paraId="5A7EDC7D" w14:textId="77777777">
        <w:trPr>
          <w:cantSplit/>
        </w:trPr>
        <w:tc>
          <w:tcPr>
            <w:tcW w:w="960" w:type="dxa"/>
            <w:tcMar>
              <w:top w:w="80" w:type="dxa"/>
              <w:left w:w="100" w:type="dxa"/>
              <w:bottom w:w="80" w:type="dxa"/>
              <w:right w:w="100" w:type="dxa"/>
            </w:tcMar>
          </w:tcPr>
          <w:p w14:paraId="7D0000B8" w14:textId="77777777" w:rsidR="0062357D" w:rsidRDefault="007E79DA">
            <w:r>
              <w:rPr>
                <w:sz w:val="19"/>
                <w:szCs w:val="19"/>
              </w:rPr>
              <w:t>MTY</w:t>
            </w:r>
          </w:p>
        </w:tc>
        <w:tc>
          <w:tcPr>
            <w:tcW w:w="2240" w:type="dxa"/>
            <w:tcMar>
              <w:top w:w="80" w:type="dxa"/>
              <w:left w:w="100" w:type="dxa"/>
              <w:bottom w:w="80" w:type="dxa"/>
              <w:right w:w="100" w:type="dxa"/>
            </w:tcMar>
          </w:tcPr>
          <w:p w14:paraId="7D0000B9" w14:textId="77777777" w:rsidR="0062357D" w:rsidRDefault="007E79DA">
            <w:r>
              <w:rPr>
                <w:sz w:val="19"/>
                <w:szCs w:val="19"/>
              </w:rPr>
              <w:t>Material Type</w:t>
            </w:r>
          </w:p>
        </w:tc>
        <w:tc>
          <w:tcPr>
            <w:tcW w:w="2720" w:type="dxa"/>
            <w:tcMar>
              <w:top w:w="80" w:type="dxa"/>
              <w:left w:w="100" w:type="dxa"/>
              <w:bottom w:w="80" w:type="dxa"/>
              <w:right w:w="100" w:type="dxa"/>
            </w:tcMar>
          </w:tcPr>
          <w:p w14:paraId="7D0000BA" w14:textId="77777777" w:rsidR="0062357D" w:rsidRDefault="007E79DA">
            <w:r>
              <w:rPr>
                <w:sz w:val="19"/>
                <w:szCs w:val="19"/>
              </w:rPr>
              <w:t>Plastic, metals, electronics, batteries, other</w:t>
            </w:r>
          </w:p>
        </w:tc>
        <w:tc>
          <w:tcPr>
            <w:tcW w:w="1280" w:type="dxa"/>
            <w:tcMar>
              <w:top w:w="80" w:type="dxa"/>
              <w:left w:w="100" w:type="dxa"/>
              <w:bottom w:w="80" w:type="dxa"/>
              <w:right w:w="100" w:type="dxa"/>
            </w:tcMar>
          </w:tcPr>
          <w:p w14:paraId="7D0000BB"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7D0000BC" w14:textId="77777777" w:rsidR="0062357D" w:rsidRDefault="007E79DA">
            <w:r>
              <w:rPr>
                <w:sz w:val="19"/>
                <w:szCs w:val="19"/>
              </w:rPr>
              <w:t>Per batch</w:t>
            </w:r>
          </w:p>
        </w:tc>
        <w:tc>
          <w:tcPr>
            <w:tcW w:w="1120" w:type="dxa"/>
            <w:tcMar>
              <w:top w:w="80" w:type="dxa"/>
              <w:left w:w="100" w:type="dxa"/>
              <w:bottom w:w="80" w:type="dxa"/>
              <w:right w:w="100" w:type="dxa"/>
            </w:tcMar>
          </w:tcPr>
          <w:p w14:paraId="7D0000BD" w14:textId="77777777" w:rsidR="0062357D" w:rsidRDefault="007E79DA">
            <w:r>
              <w:rPr>
                <w:sz w:val="19"/>
                <w:szCs w:val="19"/>
              </w:rPr>
              <w:t>RCY</w:t>
            </w:r>
          </w:p>
        </w:tc>
      </w:tr>
      <w:tr w:rsidR="0062357D" w14:paraId="4FDD921B" w14:textId="77777777">
        <w:trPr>
          <w:cantSplit/>
        </w:trPr>
        <w:tc>
          <w:tcPr>
            <w:tcW w:w="960" w:type="dxa"/>
            <w:tcMar>
              <w:top w:w="80" w:type="dxa"/>
              <w:left w:w="100" w:type="dxa"/>
              <w:bottom w:w="80" w:type="dxa"/>
              <w:right w:w="100" w:type="dxa"/>
            </w:tcMar>
          </w:tcPr>
          <w:p w14:paraId="7D0000BE" w14:textId="77777777" w:rsidR="0062357D" w:rsidRDefault="007E79DA">
            <w:r>
              <w:rPr>
                <w:sz w:val="19"/>
                <w:szCs w:val="19"/>
              </w:rPr>
              <w:t>COC</w:t>
            </w:r>
          </w:p>
        </w:tc>
        <w:tc>
          <w:tcPr>
            <w:tcW w:w="2240" w:type="dxa"/>
            <w:tcMar>
              <w:top w:w="80" w:type="dxa"/>
              <w:left w:w="100" w:type="dxa"/>
              <w:bottom w:w="80" w:type="dxa"/>
              <w:right w:w="100" w:type="dxa"/>
            </w:tcMar>
          </w:tcPr>
          <w:p w14:paraId="7D0000BF" w14:textId="77777777" w:rsidR="0062357D" w:rsidRDefault="007E79DA">
            <w:r>
              <w:rPr>
                <w:sz w:val="19"/>
                <w:szCs w:val="19"/>
              </w:rPr>
              <w:t>Chain-of-Custody ID</w:t>
            </w:r>
          </w:p>
        </w:tc>
        <w:tc>
          <w:tcPr>
            <w:tcW w:w="2720" w:type="dxa"/>
            <w:tcMar>
              <w:top w:w="80" w:type="dxa"/>
              <w:left w:w="100" w:type="dxa"/>
              <w:bottom w:w="80" w:type="dxa"/>
              <w:right w:w="100" w:type="dxa"/>
            </w:tcMar>
          </w:tcPr>
          <w:p w14:paraId="7D0000C0" w14:textId="77777777" w:rsidR="0062357D" w:rsidRDefault="007E79DA">
            <w:r>
              <w:rPr>
                <w:sz w:val="19"/>
                <w:szCs w:val="19"/>
              </w:rPr>
              <w:t>Reference tracing material from source to recycler</w:t>
            </w:r>
          </w:p>
        </w:tc>
        <w:tc>
          <w:tcPr>
            <w:tcW w:w="1280" w:type="dxa"/>
            <w:tcMar>
              <w:top w:w="80" w:type="dxa"/>
              <w:left w:w="100" w:type="dxa"/>
              <w:bottom w:w="80" w:type="dxa"/>
              <w:right w:w="100" w:type="dxa"/>
            </w:tcMar>
          </w:tcPr>
          <w:p w14:paraId="7D0000C1" w14:textId="77777777" w:rsidR="0062357D" w:rsidRDefault="007E79DA">
            <w:r>
              <w:rPr>
                <w:sz w:val="19"/>
                <w:szCs w:val="19"/>
              </w:rPr>
              <w:t>string</w:t>
            </w:r>
          </w:p>
        </w:tc>
        <w:tc>
          <w:tcPr>
            <w:tcW w:w="1280" w:type="dxa"/>
            <w:tcMar>
              <w:top w:w="80" w:type="dxa"/>
              <w:left w:w="100" w:type="dxa"/>
              <w:bottom w:w="80" w:type="dxa"/>
              <w:right w:w="100" w:type="dxa"/>
            </w:tcMar>
          </w:tcPr>
          <w:p w14:paraId="7D0000C2" w14:textId="77777777" w:rsidR="0062357D" w:rsidRDefault="007E79DA">
            <w:r>
              <w:rPr>
                <w:sz w:val="19"/>
                <w:szCs w:val="19"/>
              </w:rPr>
              <w:t>Per batch</w:t>
            </w:r>
          </w:p>
        </w:tc>
        <w:tc>
          <w:tcPr>
            <w:tcW w:w="1120" w:type="dxa"/>
            <w:tcMar>
              <w:top w:w="80" w:type="dxa"/>
              <w:left w:w="100" w:type="dxa"/>
              <w:bottom w:w="80" w:type="dxa"/>
              <w:right w:w="100" w:type="dxa"/>
            </w:tcMar>
          </w:tcPr>
          <w:p w14:paraId="7D0000C3" w14:textId="77777777" w:rsidR="0062357D" w:rsidRDefault="007E79DA">
            <w:r>
              <w:rPr>
                <w:sz w:val="19"/>
                <w:szCs w:val="19"/>
              </w:rPr>
              <w:t>RCY</w:t>
            </w:r>
          </w:p>
        </w:tc>
      </w:tr>
      <w:tr w:rsidR="0062357D" w14:paraId="023B08D4" w14:textId="77777777">
        <w:trPr>
          <w:cantSplit/>
        </w:trPr>
        <w:tc>
          <w:tcPr>
            <w:tcW w:w="960" w:type="dxa"/>
            <w:tcMar>
              <w:top w:w="80" w:type="dxa"/>
              <w:left w:w="100" w:type="dxa"/>
              <w:bottom w:w="80" w:type="dxa"/>
              <w:right w:w="100" w:type="dxa"/>
            </w:tcMar>
          </w:tcPr>
          <w:p w14:paraId="7D0000C4" w14:textId="77777777" w:rsidR="0062357D" w:rsidRDefault="007E79DA">
            <w:r>
              <w:rPr>
                <w:sz w:val="19"/>
                <w:szCs w:val="19"/>
              </w:rPr>
              <w:t>RCS</w:t>
            </w:r>
          </w:p>
        </w:tc>
        <w:tc>
          <w:tcPr>
            <w:tcW w:w="2240" w:type="dxa"/>
            <w:tcMar>
              <w:top w:w="80" w:type="dxa"/>
              <w:left w:w="100" w:type="dxa"/>
              <w:bottom w:w="80" w:type="dxa"/>
              <w:right w:w="100" w:type="dxa"/>
            </w:tcMar>
          </w:tcPr>
          <w:p w14:paraId="7D0000C5" w14:textId="77777777" w:rsidR="0062357D" w:rsidRDefault="007E79DA">
            <w:r>
              <w:rPr>
                <w:sz w:val="19"/>
                <w:szCs w:val="19"/>
              </w:rPr>
              <w:t>Recycler Certification</w:t>
            </w:r>
          </w:p>
        </w:tc>
        <w:tc>
          <w:tcPr>
            <w:tcW w:w="2720" w:type="dxa"/>
            <w:tcMar>
              <w:top w:w="80" w:type="dxa"/>
              <w:left w:w="100" w:type="dxa"/>
              <w:bottom w:w="80" w:type="dxa"/>
              <w:right w:w="100" w:type="dxa"/>
            </w:tcMar>
          </w:tcPr>
          <w:p w14:paraId="7D0000C6" w14:textId="77777777" w:rsidR="0062357D" w:rsidRDefault="007E79DA">
            <w:r>
              <w:rPr>
                <w:sz w:val="19"/>
                <w:szCs w:val="19"/>
              </w:rPr>
              <w:t>R2, e-Stewards, or equivalent</w:t>
            </w:r>
          </w:p>
        </w:tc>
        <w:tc>
          <w:tcPr>
            <w:tcW w:w="1280" w:type="dxa"/>
            <w:tcMar>
              <w:top w:w="80" w:type="dxa"/>
              <w:left w:w="100" w:type="dxa"/>
              <w:bottom w:w="80" w:type="dxa"/>
              <w:right w:w="100" w:type="dxa"/>
            </w:tcMar>
          </w:tcPr>
          <w:p w14:paraId="7D0000C7" w14:textId="77777777" w:rsidR="0062357D" w:rsidRDefault="007E79DA">
            <w:proofErr w:type="spellStart"/>
            <w:r>
              <w:rPr>
                <w:sz w:val="19"/>
                <w:szCs w:val="19"/>
              </w:rPr>
              <w:t>enum</w:t>
            </w:r>
            <w:proofErr w:type="spellEnd"/>
          </w:p>
        </w:tc>
        <w:tc>
          <w:tcPr>
            <w:tcW w:w="1280" w:type="dxa"/>
            <w:tcMar>
              <w:top w:w="80" w:type="dxa"/>
              <w:left w:w="100" w:type="dxa"/>
              <w:bottom w:w="80" w:type="dxa"/>
              <w:right w:w="100" w:type="dxa"/>
            </w:tcMar>
          </w:tcPr>
          <w:p w14:paraId="7D0000C8" w14:textId="77777777" w:rsidR="0062357D" w:rsidRDefault="007E79DA">
            <w:r>
              <w:rPr>
                <w:sz w:val="19"/>
                <w:szCs w:val="19"/>
              </w:rPr>
              <w:t>Static</w:t>
            </w:r>
          </w:p>
        </w:tc>
        <w:tc>
          <w:tcPr>
            <w:tcW w:w="1120" w:type="dxa"/>
            <w:tcMar>
              <w:top w:w="80" w:type="dxa"/>
              <w:left w:w="100" w:type="dxa"/>
              <w:bottom w:w="80" w:type="dxa"/>
              <w:right w:w="100" w:type="dxa"/>
            </w:tcMar>
          </w:tcPr>
          <w:p w14:paraId="7D0000C9" w14:textId="77777777" w:rsidR="0062357D" w:rsidRDefault="007E79DA">
            <w:r>
              <w:rPr>
                <w:sz w:val="19"/>
                <w:szCs w:val="19"/>
              </w:rPr>
              <w:t>RCY</w:t>
            </w:r>
          </w:p>
        </w:tc>
      </w:tr>
      <w:tr w:rsidR="0062357D" w14:paraId="2DCE5986" w14:textId="77777777">
        <w:trPr>
          <w:cantSplit/>
        </w:trPr>
        <w:tc>
          <w:tcPr>
            <w:tcW w:w="960" w:type="dxa"/>
            <w:tcMar>
              <w:top w:w="80" w:type="dxa"/>
              <w:left w:w="100" w:type="dxa"/>
              <w:bottom w:w="80" w:type="dxa"/>
              <w:right w:w="100" w:type="dxa"/>
            </w:tcMar>
          </w:tcPr>
          <w:p w14:paraId="7D0000CA" w14:textId="77777777" w:rsidR="0062357D" w:rsidRDefault="007E79DA">
            <w:r>
              <w:rPr>
                <w:sz w:val="19"/>
                <w:szCs w:val="19"/>
              </w:rPr>
              <w:t>D-HAV</w:t>
            </w:r>
          </w:p>
        </w:tc>
        <w:tc>
          <w:tcPr>
            <w:tcW w:w="2240" w:type="dxa"/>
            <w:tcMar>
              <w:top w:w="80" w:type="dxa"/>
              <w:left w:w="100" w:type="dxa"/>
              <w:bottom w:w="80" w:type="dxa"/>
              <w:right w:w="100" w:type="dxa"/>
            </w:tcMar>
          </w:tcPr>
          <w:p w14:paraId="7D0000CB" w14:textId="77777777" w:rsidR="0062357D" w:rsidRDefault="007E79DA">
            <w:r>
              <w:rPr>
                <w:sz w:val="19"/>
                <w:szCs w:val="19"/>
              </w:rPr>
              <w:t>Heat Avoided Emissions</w:t>
            </w:r>
          </w:p>
        </w:tc>
        <w:tc>
          <w:tcPr>
            <w:tcW w:w="2720" w:type="dxa"/>
            <w:tcMar>
              <w:top w:w="80" w:type="dxa"/>
              <w:left w:w="100" w:type="dxa"/>
              <w:bottom w:w="80" w:type="dxa"/>
              <w:right w:w="100" w:type="dxa"/>
            </w:tcMar>
          </w:tcPr>
          <w:p w14:paraId="7D0000CC" w14:textId="77777777" w:rsidR="0062357D" w:rsidRDefault="007E79DA">
            <w:r>
              <w:rPr>
                <w:sz w:val="19"/>
                <w:szCs w:val="19"/>
              </w:rPr>
              <w:t>Emissions avoided by displacing the DFB heat source with HEX</w:t>
            </w:r>
          </w:p>
        </w:tc>
        <w:tc>
          <w:tcPr>
            <w:tcW w:w="1280" w:type="dxa"/>
            <w:tcMar>
              <w:top w:w="80" w:type="dxa"/>
              <w:left w:w="100" w:type="dxa"/>
              <w:bottom w:w="80" w:type="dxa"/>
              <w:right w:w="100" w:type="dxa"/>
            </w:tcMar>
          </w:tcPr>
          <w:p w14:paraId="7D0000CD" w14:textId="77777777" w:rsidR="0062357D" w:rsidRDefault="007E79DA">
            <w:r>
              <w:rPr>
                <w:sz w:val="19"/>
                <w:szCs w:val="19"/>
              </w:rPr>
              <w:t>tCO2e</w:t>
            </w:r>
          </w:p>
        </w:tc>
        <w:tc>
          <w:tcPr>
            <w:tcW w:w="1280" w:type="dxa"/>
            <w:tcMar>
              <w:top w:w="80" w:type="dxa"/>
              <w:left w:w="100" w:type="dxa"/>
              <w:bottom w:w="80" w:type="dxa"/>
              <w:right w:w="100" w:type="dxa"/>
            </w:tcMar>
          </w:tcPr>
          <w:p w14:paraId="7D0000CE" w14:textId="77777777" w:rsidR="0062357D" w:rsidRDefault="007E79DA">
            <w:r>
              <w:rPr>
                <w:sz w:val="19"/>
                <w:szCs w:val="19"/>
              </w:rPr>
              <w:t>Monthly</w:t>
            </w:r>
          </w:p>
        </w:tc>
        <w:tc>
          <w:tcPr>
            <w:tcW w:w="1120" w:type="dxa"/>
            <w:tcMar>
              <w:top w:w="80" w:type="dxa"/>
              <w:left w:w="100" w:type="dxa"/>
              <w:bottom w:w="80" w:type="dxa"/>
              <w:right w:w="100" w:type="dxa"/>
            </w:tcMar>
          </w:tcPr>
          <w:p w14:paraId="7D0000CF" w14:textId="77777777" w:rsidR="0062357D" w:rsidRDefault="007E79DA">
            <w:r>
              <w:rPr>
                <w:sz w:val="19"/>
                <w:szCs w:val="19"/>
              </w:rPr>
              <w:t>HRC</w:t>
            </w:r>
          </w:p>
        </w:tc>
      </w:tr>
      <w:tr w:rsidR="0062357D" w14:paraId="604D3F79" w14:textId="77777777">
        <w:trPr>
          <w:cantSplit/>
        </w:trPr>
        <w:tc>
          <w:tcPr>
            <w:tcW w:w="960" w:type="dxa"/>
            <w:tcMar>
              <w:top w:w="80" w:type="dxa"/>
              <w:left w:w="100" w:type="dxa"/>
              <w:bottom w:w="80" w:type="dxa"/>
              <w:right w:w="100" w:type="dxa"/>
            </w:tcMar>
          </w:tcPr>
          <w:p w14:paraId="7D0000D0" w14:textId="77777777" w:rsidR="0062357D" w:rsidRDefault="007E79DA">
            <w:r>
              <w:rPr>
                <w:sz w:val="19"/>
                <w:szCs w:val="19"/>
              </w:rPr>
              <w:t>D-VWB</w:t>
            </w:r>
          </w:p>
        </w:tc>
        <w:tc>
          <w:tcPr>
            <w:tcW w:w="2240" w:type="dxa"/>
            <w:tcMar>
              <w:top w:w="80" w:type="dxa"/>
              <w:left w:w="100" w:type="dxa"/>
              <w:bottom w:w="80" w:type="dxa"/>
              <w:right w:w="100" w:type="dxa"/>
            </w:tcMar>
          </w:tcPr>
          <w:p w14:paraId="7D0000D1" w14:textId="77777777" w:rsidR="0062357D" w:rsidRDefault="007E79DA">
            <w:r>
              <w:rPr>
                <w:sz w:val="19"/>
                <w:szCs w:val="19"/>
              </w:rPr>
              <w:t>Volumetric Water Benefit</w:t>
            </w:r>
          </w:p>
        </w:tc>
        <w:tc>
          <w:tcPr>
            <w:tcW w:w="2720" w:type="dxa"/>
            <w:tcMar>
              <w:top w:w="80" w:type="dxa"/>
              <w:left w:w="100" w:type="dxa"/>
              <w:bottom w:w="80" w:type="dxa"/>
              <w:right w:w="100" w:type="dxa"/>
            </w:tcMar>
          </w:tcPr>
          <w:p w14:paraId="7D0000D2" w14:textId="77777777" w:rsidR="0062357D" w:rsidRDefault="007E79DA">
            <w:r>
              <w:rPr>
                <w:sz w:val="19"/>
                <w:szCs w:val="19"/>
              </w:rPr>
              <w:t>Water benefit computed with the VWBA method</w:t>
            </w:r>
          </w:p>
        </w:tc>
        <w:tc>
          <w:tcPr>
            <w:tcW w:w="1280" w:type="dxa"/>
            <w:tcMar>
              <w:top w:w="80" w:type="dxa"/>
              <w:left w:w="100" w:type="dxa"/>
              <w:bottom w:w="80" w:type="dxa"/>
              <w:right w:w="100" w:type="dxa"/>
            </w:tcMar>
          </w:tcPr>
          <w:p w14:paraId="7D0000D3" w14:textId="77777777" w:rsidR="0062357D" w:rsidRDefault="007E79DA">
            <w:r>
              <w:rPr>
                <w:sz w:val="19"/>
                <w:szCs w:val="19"/>
              </w:rPr>
              <w:t>m3/</w:t>
            </w:r>
            <w:proofErr w:type="spellStart"/>
            <w:r>
              <w:rPr>
                <w:sz w:val="19"/>
                <w:szCs w:val="19"/>
              </w:rPr>
              <w:t>yr</w:t>
            </w:r>
            <w:proofErr w:type="spellEnd"/>
          </w:p>
        </w:tc>
        <w:tc>
          <w:tcPr>
            <w:tcW w:w="1280" w:type="dxa"/>
            <w:tcMar>
              <w:top w:w="80" w:type="dxa"/>
              <w:left w:w="100" w:type="dxa"/>
              <w:bottom w:w="80" w:type="dxa"/>
              <w:right w:w="100" w:type="dxa"/>
            </w:tcMar>
          </w:tcPr>
          <w:p w14:paraId="7D0000D4" w14:textId="77777777" w:rsidR="0062357D" w:rsidRDefault="007E79DA">
            <w:r>
              <w:rPr>
                <w:sz w:val="19"/>
                <w:szCs w:val="19"/>
              </w:rPr>
              <w:t>Annual</w:t>
            </w:r>
          </w:p>
        </w:tc>
        <w:tc>
          <w:tcPr>
            <w:tcW w:w="1120" w:type="dxa"/>
            <w:tcMar>
              <w:top w:w="80" w:type="dxa"/>
              <w:left w:w="100" w:type="dxa"/>
              <w:bottom w:w="80" w:type="dxa"/>
              <w:right w:w="100" w:type="dxa"/>
            </w:tcMar>
          </w:tcPr>
          <w:p w14:paraId="7D0000D5" w14:textId="77777777" w:rsidR="0062357D" w:rsidRDefault="007E79DA">
            <w:r>
              <w:rPr>
                <w:sz w:val="19"/>
                <w:szCs w:val="19"/>
              </w:rPr>
              <w:t>WRR</w:t>
            </w:r>
          </w:p>
        </w:tc>
      </w:tr>
      <w:tr w:rsidR="0062357D" w14:paraId="0E88F4FA" w14:textId="77777777">
        <w:trPr>
          <w:cantSplit/>
        </w:trPr>
        <w:tc>
          <w:tcPr>
            <w:tcW w:w="960" w:type="dxa"/>
            <w:tcMar>
              <w:top w:w="80" w:type="dxa"/>
              <w:left w:w="100" w:type="dxa"/>
              <w:bottom w:w="80" w:type="dxa"/>
              <w:right w:w="100" w:type="dxa"/>
            </w:tcMar>
          </w:tcPr>
          <w:p w14:paraId="7D0000D6" w14:textId="77777777" w:rsidR="0062357D" w:rsidRDefault="007E79DA">
            <w:r>
              <w:rPr>
                <w:sz w:val="19"/>
                <w:szCs w:val="19"/>
              </w:rPr>
              <w:t>D-MAV</w:t>
            </w:r>
          </w:p>
        </w:tc>
        <w:tc>
          <w:tcPr>
            <w:tcW w:w="2240" w:type="dxa"/>
            <w:tcMar>
              <w:top w:w="80" w:type="dxa"/>
              <w:left w:w="100" w:type="dxa"/>
              <w:bottom w:w="80" w:type="dxa"/>
              <w:right w:w="100" w:type="dxa"/>
            </w:tcMar>
          </w:tcPr>
          <w:p w14:paraId="7D0000D7" w14:textId="77777777" w:rsidR="0062357D" w:rsidRDefault="007E79DA">
            <w:r>
              <w:rPr>
                <w:sz w:val="19"/>
                <w:szCs w:val="19"/>
              </w:rPr>
              <w:t>Material Avoided Emissions</w:t>
            </w:r>
          </w:p>
        </w:tc>
        <w:tc>
          <w:tcPr>
            <w:tcW w:w="2720" w:type="dxa"/>
            <w:tcMar>
              <w:top w:w="80" w:type="dxa"/>
              <w:left w:w="100" w:type="dxa"/>
              <w:bottom w:w="80" w:type="dxa"/>
              <w:right w:w="100" w:type="dxa"/>
            </w:tcMar>
          </w:tcPr>
          <w:p w14:paraId="7D0000D8" w14:textId="77777777" w:rsidR="0062357D" w:rsidRDefault="007E79DA">
            <w:r>
              <w:rPr>
                <w:sz w:val="19"/>
                <w:szCs w:val="19"/>
              </w:rPr>
              <w:t>Emissions avoided versus virgin material production</w:t>
            </w:r>
          </w:p>
        </w:tc>
        <w:tc>
          <w:tcPr>
            <w:tcW w:w="1280" w:type="dxa"/>
            <w:tcMar>
              <w:top w:w="80" w:type="dxa"/>
              <w:left w:w="100" w:type="dxa"/>
              <w:bottom w:w="80" w:type="dxa"/>
              <w:right w:w="100" w:type="dxa"/>
            </w:tcMar>
          </w:tcPr>
          <w:p w14:paraId="7D0000D9" w14:textId="77777777" w:rsidR="0062357D" w:rsidRDefault="007E79DA">
            <w:r>
              <w:rPr>
                <w:sz w:val="19"/>
                <w:szCs w:val="19"/>
              </w:rPr>
              <w:t>tCO2e</w:t>
            </w:r>
          </w:p>
        </w:tc>
        <w:tc>
          <w:tcPr>
            <w:tcW w:w="1280" w:type="dxa"/>
            <w:tcMar>
              <w:top w:w="80" w:type="dxa"/>
              <w:left w:w="100" w:type="dxa"/>
              <w:bottom w:w="80" w:type="dxa"/>
              <w:right w:w="100" w:type="dxa"/>
            </w:tcMar>
          </w:tcPr>
          <w:p w14:paraId="7D0000DA" w14:textId="77777777" w:rsidR="0062357D" w:rsidRDefault="007E79DA">
            <w:r>
              <w:rPr>
                <w:sz w:val="19"/>
                <w:szCs w:val="19"/>
              </w:rPr>
              <w:t>Per batch</w:t>
            </w:r>
          </w:p>
        </w:tc>
        <w:tc>
          <w:tcPr>
            <w:tcW w:w="1120" w:type="dxa"/>
            <w:tcMar>
              <w:top w:w="80" w:type="dxa"/>
              <w:left w:w="100" w:type="dxa"/>
              <w:bottom w:w="80" w:type="dxa"/>
              <w:right w:w="100" w:type="dxa"/>
            </w:tcMar>
          </w:tcPr>
          <w:p w14:paraId="7D0000DB" w14:textId="77777777" w:rsidR="0062357D" w:rsidRDefault="007E79DA">
            <w:r>
              <w:rPr>
                <w:sz w:val="19"/>
                <w:szCs w:val="19"/>
              </w:rPr>
              <w:t>RCY</w:t>
            </w:r>
          </w:p>
        </w:tc>
      </w:tr>
    </w:tbl>
    <w:p w14:paraId="7D0000DC" w14:textId="77777777" w:rsidR="0062357D" w:rsidRDefault="0062357D">
      <w:pPr>
        <w:spacing w:after="120"/>
      </w:pPr>
    </w:p>
    <w:p w14:paraId="7D0000DD" w14:textId="77777777" w:rsidR="0062357D" w:rsidRDefault="007E79DA">
      <w:pPr>
        <w:pStyle w:val="Heading2"/>
        <w:spacing w:before="280" w:after="120"/>
      </w:pPr>
      <w:r>
        <w:rPr>
          <w:b/>
          <w:bCs/>
          <w:color w:val="1E7A4C"/>
          <w:sz w:val="24"/>
          <w:szCs w:val="24"/>
        </w:rPr>
        <w:t>22.5 Registry and Market Connector Architecture</w:t>
      </w:r>
    </w:p>
    <w:p w14:paraId="7D0000DE" w14:textId="77777777" w:rsidR="0062357D" w:rsidRDefault="007E79DA">
      <w:pPr>
        <w:spacing w:after="140"/>
      </w:pPr>
      <w:r>
        <w:rPr>
          <w:sz w:val="21"/>
          <w:szCs w:val="21"/>
        </w:rPr>
        <w:t>The Registry and Market Connector is a new component of Stardust Core beside the broker (§10.4). It uses the same driver/adapter model as the Provider SDK: one adapter per registry or market, behind one interface, so adding a registry never changes Provider or Subscriber code.</w:t>
      </w:r>
    </w:p>
    <w:p w14:paraId="7D0000DF" w14:textId="77777777" w:rsidR="0062357D" w:rsidRDefault="007E79DA">
      <w:pPr>
        <w:numPr>
          <w:ilvl w:val="0"/>
          <w:numId w:val="1"/>
        </w:numPr>
        <w:spacing w:after="60"/>
      </w:pPr>
      <w:r>
        <w:rPr>
          <w:b/>
          <w:bCs/>
          <w:sz w:val="21"/>
          <w:szCs w:val="21"/>
        </w:rPr>
        <w:t>Issuance path (Provider side).</w:t>
      </w:r>
      <w:r>
        <w:rPr>
          <w:sz w:val="21"/>
          <w:szCs w:val="21"/>
        </w:rPr>
        <w:t xml:space="preserve"> Provider telemetry (§22.4) and supporting evidence are packaged as an MRV submission to the relevant program or independent verifier, which issues credits into the Provider’s registry account. Stardust supplies the data; it does not verify or issue.</w:t>
      </w:r>
    </w:p>
    <w:p w14:paraId="7D0000E0" w14:textId="77777777" w:rsidR="0062357D" w:rsidRDefault="007E79DA">
      <w:pPr>
        <w:numPr>
          <w:ilvl w:val="0"/>
          <w:numId w:val="1"/>
        </w:numPr>
        <w:spacing w:after="60"/>
      </w:pPr>
      <w:r>
        <w:rPr>
          <w:b/>
          <w:bCs/>
          <w:sz w:val="21"/>
          <w:szCs w:val="21"/>
        </w:rPr>
        <w:t>Procurement and retirement path (Subscriber side).</w:t>
      </w:r>
      <w:r>
        <w:rPr>
          <w:sz w:val="21"/>
          <w:szCs w:val="21"/>
        </w:rPr>
        <w:t xml:space="preserve"> The Subscriber’s measured impact vector goes to the broker, which quotes across categories, purchases from Provider inventory or a market, and retires the credits on the registry in the Subscriber’s name. The retirement reference is written back to the Net Impact Ledger (§22.6).</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5400"/>
      </w:tblGrid>
      <w:tr w:rsidR="0062357D" w14:paraId="372AE380" w14:textId="77777777">
        <w:trPr>
          <w:tblHeader/>
        </w:trPr>
        <w:tc>
          <w:tcPr>
            <w:tcW w:w="4200" w:type="dxa"/>
            <w:shd w:val="clear" w:color="auto" w:fill="1E7A4C"/>
            <w:tcMar>
              <w:top w:w="80" w:type="dxa"/>
              <w:left w:w="100" w:type="dxa"/>
              <w:bottom w:w="80" w:type="dxa"/>
              <w:right w:w="100" w:type="dxa"/>
            </w:tcMar>
          </w:tcPr>
          <w:p w14:paraId="7D0000E1" w14:textId="77777777" w:rsidR="0062357D" w:rsidRDefault="007E79DA">
            <w:r>
              <w:rPr>
                <w:b/>
                <w:bCs/>
                <w:color w:val="FFFFFF"/>
                <w:sz w:val="19"/>
                <w:szCs w:val="19"/>
              </w:rPr>
              <w:t>Connector method</w:t>
            </w:r>
          </w:p>
        </w:tc>
        <w:tc>
          <w:tcPr>
            <w:tcW w:w="5400" w:type="dxa"/>
            <w:shd w:val="clear" w:color="auto" w:fill="1E7A4C"/>
            <w:tcMar>
              <w:top w:w="80" w:type="dxa"/>
              <w:left w:w="100" w:type="dxa"/>
              <w:bottom w:w="80" w:type="dxa"/>
              <w:right w:w="100" w:type="dxa"/>
            </w:tcMar>
          </w:tcPr>
          <w:p w14:paraId="7D0000E2" w14:textId="77777777" w:rsidR="0062357D" w:rsidRDefault="007E79DA">
            <w:r>
              <w:rPr>
                <w:b/>
                <w:bCs/>
                <w:color w:val="FFFFFF"/>
                <w:sz w:val="19"/>
                <w:szCs w:val="19"/>
              </w:rPr>
              <w:t>Purpose</w:t>
            </w:r>
          </w:p>
        </w:tc>
      </w:tr>
      <w:tr w:rsidR="0062357D" w14:paraId="036686B0" w14:textId="77777777">
        <w:trPr>
          <w:cantSplit/>
        </w:trPr>
        <w:tc>
          <w:tcPr>
            <w:tcW w:w="4200" w:type="dxa"/>
            <w:tcMar>
              <w:top w:w="80" w:type="dxa"/>
              <w:left w:w="100" w:type="dxa"/>
              <w:bottom w:w="80" w:type="dxa"/>
              <w:right w:w="100" w:type="dxa"/>
            </w:tcMar>
          </w:tcPr>
          <w:p w14:paraId="7D0000E3" w14:textId="77777777" w:rsidR="0062357D" w:rsidRDefault="007E79DA">
            <w:r>
              <w:rPr>
                <w:sz w:val="19"/>
                <w:szCs w:val="19"/>
              </w:rPr>
              <w:t>connect(</w:t>
            </w:r>
            <w:proofErr w:type="spellStart"/>
            <w:r>
              <w:rPr>
                <w:sz w:val="19"/>
                <w:szCs w:val="19"/>
              </w:rPr>
              <w:t>registry_id</w:t>
            </w:r>
            <w:proofErr w:type="spellEnd"/>
            <w:r>
              <w:rPr>
                <w:sz w:val="19"/>
                <w:szCs w:val="19"/>
              </w:rPr>
              <w:t>, credentials)</w:t>
            </w:r>
          </w:p>
        </w:tc>
        <w:tc>
          <w:tcPr>
            <w:tcW w:w="5400" w:type="dxa"/>
            <w:tcMar>
              <w:top w:w="80" w:type="dxa"/>
              <w:left w:w="100" w:type="dxa"/>
              <w:bottom w:w="80" w:type="dxa"/>
              <w:right w:w="100" w:type="dxa"/>
            </w:tcMar>
          </w:tcPr>
          <w:p w14:paraId="7D0000E4" w14:textId="77777777" w:rsidR="0062357D" w:rsidRDefault="007E79DA">
            <w:r>
              <w:rPr>
                <w:sz w:val="19"/>
                <w:szCs w:val="19"/>
              </w:rPr>
              <w:t>Registers an account-holder connection to a registry or market</w:t>
            </w:r>
          </w:p>
        </w:tc>
      </w:tr>
      <w:tr w:rsidR="0062357D" w14:paraId="0F49B19B" w14:textId="77777777">
        <w:trPr>
          <w:cantSplit/>
        </w:trPr>
        <w:tc>
          <w:tcPr>
            <w:tcW w:w="4200" w:type="dxa"/>
            <w:tcMar>
              <w:top w:w="80" w:type="dxa"/>
              <w:left w:w="100" w:type="dxa"/>
              <w:bottom w:w="80" w:type="dxa"/>
              <w:right w:w="100" w:type="dxa"/>
            </w:tcMar>
          </w:tcPr>
          <w:p w14:paraId="7D0000E5" w14:textId="77777777" w:rsidR="0062357D" w:rsidRDefault="007E79DA">
            <w:proofErr w:type="spellStart"/>
            <w:r>
              <w:rPr>
                <w:sz w:val="19"/>
                <w:szCs w:val="19"/>
              </w:rPr>
              <w:t>submit_mrv</w:t>
            </w:r>
            <w:proofErr w:type="spellEnd"/>
            <w:r>
              <w:rPr>
                <w:sz w:val="19"/>
                <w:szCs w:val="19"/>
              </w:rPr>
              <w:t>(</w:t>
            </w:r>
            <w:proofErr w:type="spellStart"/>
            <w:r>
              <w:rPr>
                <w:sz w:val="19"/>
                <w:szCs w:val="19"/>
              </w:rPr>
              <w:t>provider_id</w:t>
            </w:r>
            <w:proofErr w:type="spellEnd"/>
            <w:r>
              <w:rPr>
                <w:sz w:val="19"/>
                <w:szCs w:val="19"/>
              </w:rPr>
              <w:t>, period, package)</w:t>
            </w:r>
          </w:p>
        </w:tc>
        <w:tc>
          <w:tcPr>
            <w:tcW w:w="5400" w:type="dxa"/>
            <w:tcMar>
              <w:top w:w="80" w:type="dxa"/>
              <w:left w:w="100" w:type="dxa"/>
              <w:bottom w:w="80" w:type="dxa"/>
              <w:right w:w="100" w:type="dxa"/>
            </w:tcMar>
          </w:tcPr>
          <w:p w14:paraId="7D0000E6" w14:textId="77777777" w:rsidR="0062357D" w:rsidRDefault="007E79DA">
            <w:r>
              <w:rPr>
                <w:sz w:val="19"/>
                <w:szCs w:val="19"/>
              </w:rPr>
              <w:t>Sends Provider telemetry and evidence to the program or verifier for issuance review</w:t>
            </w:r>
          </w:p>
        </w:tc>
      </w:tr>
      <w:tr w:rsidR="0062357D" w14:paraId="192F4C78" w14:textId="77777777">
        <w:trPr>
          <w:cantSplit/>
        </w:trPr>
        <w:tc>
          <w:tcPr>
            <w:tcW w:w="4200" w:type="dxa"/>
            <w:tcMar>
              <w:top w:w="80" w:type="dxa"/>
              <w:left w:w="100" w:type="dxa"/>
              <w:bottom w:w="80" w:type="dxa"/>
              <w:right w:w="100" w:type="dxa"/>
            </w:tcMar>
          </w:tcPr>
          <w:p w14:paraId="7D0000E7" w14:textId="77777777" w:rsidR="0062357D" w:rsidRDefault="007E79DA">
            <w:proofErr w:type="spellStart"/>
            <w:r>
              <w:rPr>
                <w:sz w:val="19"/>
                <w:szCs w:val="19"/>
              </w:rPr>
              <w:t>get_issuance</w:t>
            </w:r>
            <w:proofErr w:type="spellEnd"/>
            <w:r>
              <w:rPr>
                <w:sz w:val="19"/>
                <w:szCs w:val="19"/>
              </w:rPr>
              <w:t>(</w:t>
            </w:r>
            <w:proofErr w:type="spellStart"/>
            <w:r>
              <w:rPr>
                <w:sz w:val="19"/>
                <w:szCs w:val="19"/>
              </w:rPr>
              <w:t>provider_id</w:t>
            </w:r>
            <w:proofErr w:type="spellEnd"/>
            <w:r>
              <w:rPr>
                <w:sz w:val="19"/>
                <w:szCs w:val="19"/>
              </w:rPr>
              <w:t>, period)</w:t>
            </w:r>
          </w:p>
        </w:tc>
        <w:tc>
          <w:tcPr>
            <w:tcW w:w="5400" w:type="dxa"/>
            <w:tcMar>
              <w:top w:w="80" w:type="dxa"/>
              <w:left w:w="100" w:type="dxa"/>
              <w:bottom w:w="80" w:type="dxa"/>
              <w:right w:w="100" w:type="dxa"/>
            </w:tcMar>
          </w:tcPr>
          <w:p w14:paraId="7D0000E8" w14:textId="77777777" w:rsidR="0062357D" w:rsidRDefault="007E79DA">
            <w:r>
              <w:rPr>
                <w:sz w:val="19"/>
                <w:szCs w:val="19"/>
              </w:rPr>
              <w:t>Returns issued credits or certificates for a Provider and period</w:t>
            </w:r>
          </w:p>
        </w:tc>
      </w:tr>
      <w:tr w:rsidR="0062357D" w14:paraId="4695642C" w14:textId="77777777">
        <w:trPr>
          <w:cantSplit/>
        </w:trPr>
        <w:tc>
          <w:tcPr>
            <w:tcW w:w="4200" w:type="dxa"/>
            <w:tcMar>
              <w:top w:w="80" w:type="dxa"/>
              <w:left w:w="100" w:type="dxa"/>
              <w:bottom w:w="80" w:type="dxa"/>
              <w:right w:w="100" w:type="dxa"/>
            </w:tcMar>
          </w:tcPr>
          <w:p w14:paraId="7D0000E9" w14:textId="77777777" w:rsidR="0062357D" w:rsidRDefault="007E79DA">
            <w:proofErr w:type="spellStart"/>
            <w:r>
              <w:rPr>
                <w:sz w:val="19"/>
                <w:szCs w:val="19"/>
              </w:rPr>
              <w:t>list_inventory</w:t>
            </w:r>
            <w:proofErr w:type="spellEnd"/>
            <w:r>
              <w:rPr>
                <w:sz w:val="19"/>
                <w:szCs w:val="19"/>
              </w:rPr>
              <w:t>(category, filters)</w:t>
            </w:r>
          </w:p>
        </w:tc>
        <w:tc>
          <w:tcPr>
            <w:tcW w:w="5400" w:type="dxa"/>
            <w:tcMar>
              <w:top w:w="80" w:type="dxa"/>
              <w:left w:w="100" w:type="dxa"/>
              <w:bottom w:w="80" w:type="dxa"/>
              <w:right w:w="100" w:type="dxa"/>
            </w:tcMar>
          </w:tcPr>
          <w:p w14:paraId="7D0000EA" w14:textId="77777777" w:rsidR="0062357D" w:rsidRDefault="007E79DA">
            <w:r>
              <w:rPr>
                <w:sz w:val="19"/>
                <w:szCs w:val="19"/>
              </w:rPr>
              <w:t>Lists available credits by category, vintage, geography, and matching basis</w:t>
            </w:r>
          </w:p>
        </w:tc>
      </w:tr>
      <w:tr w:rsidR="0062357D" w14:paraId="6C30B7E2" w14:textId="77777777">
        <w:trPr>
          <w:cantSplit/>
        </w:trPr>
        <w:tc>
          <w:tcPr>
            <w:tcW w:w="4200" w:type="dxa"/>
            <w:tcMar>
              <w:top w:w="80" w:type="dxa"/>
              <w:left w:w="100" w:type="dxa"/>
              <w:bottom w:w="80" w:type="dxa"/>
              <w:right w:w="100" w:type="dxa"/>
            </w:tcMar>
          </w:tcPr>
          <w:p w14:paraId="7D0000EB" w14:textId="77777777" w:rsidR="0062357D" w:rsidRDefault="007E79DA">
            <w:r>
              <w:rPr>
                <w:sz w:val="19"/>
                <w:szCs w:val="19"/>
              </w:rPr>
              <w:t xml:space="preserve">transfer(serials, </w:t>
            </w:r>
            <w:proofErr w:type="spellStart"/>
            <w:r>
              <w:rPr>
                <w:sz w:val="19"/>
                <w:szCs w:val="19"/>
              </w:rPr>
              <w:t>to_account</w:t>
            </w:r>
            <w:proofErr w:type="spellEnd"/>
            <w:r>
              <w:rPr>
                <w:sz w:val="19"/>
                <w:szCs w:val="19"/>
              </w:rPr>
              <w:t>)</w:t>
            </w:r>
          </w:p>
        </w:tc>
        <w:tc>
          <w:tcPr>
            <w:tcW w:w="5400" w:type="dxa"/>
            <w:tcMar>
              <w:top w:w="80" w:type="dxa"/>
              <w:left w:w="100" w:type="dxa"/>
              <w:bottom w:w="80" w:type="dxa"/>
              <w:right w:w="100" w:type="dxa"/>
            </w:tcMar>
          </w:tcPr>
          <w:p w14:paraId="7D0000EC" w14:textId="77777777" w:rsidR="0062357D" w:rsidRDefault="007E79DA">
            <w:r>
              <w:rPr>
                <w:sz w:val="19"/>
                <w:szCs w:val="19"/>
              </w:rPr>
              <w:t>Moves credits between accounts at purchase</w:t>
            </w:r>
          </w:p>
        </w:tc>
      </w:tr>
      <w:tr w:rsidR="0062357D" w14:paraId="240B5961" w14:textId="77777777">
        <w:trPr>
          <w:cantSplit/>
        </w:trPr>
        <w:tc>
          <w:tcPr>
            <w:tcW w:w="4200" w:type="dxa"/>
            <w:tcMar>
              <w:top w:w="80" w:type="dxa"/>
              <w:left w:w="100" w:type="dxa"/>
              <w:bottom w:w="80" w:type="dxa"/>
              <w:right w:w="100" w:type="dxa"/>
            </w:tcMar>
          </w:tcPr>
          <w:p w14:paraId="7D0000ED" w14:textId="77777777" w:rsidR="0062357D" w:rsidRDefault="007E79DA">
            <w:r>
              <w:rPr>
                <w:sz w:val="19"/>
                <w:szCs w:val="19"/>
              </w:rPr>
              <w:t xml:space="preserve">retire(serials, beneficiary, </w:t>
            </w:r>
            <w:proofErr w:type="spellStart"/>
            <w:r>
              <w:rPr>
                <w:sz w:val="19"/>
                <w:szCs w:val="19"/>
              </w:rPr>
              <w:t>claim_period</w:t>
            </w:r>
            <w:proofErr w:type="spellEnd"/>
            <w:r>
              <w:rPr>
                <w:sz w:val="19"/>
                <w:szCs w:val="19"/>
              </w:rPr>
              <w:t>, purpose)</w:t>
            </w:r>
          </w:p>
        </w:tc>
        <w:tc>
          <w:tcPr>
            <w:tcW w:w="5400" w:type="dxa"/>
            <w:tcMar>
              <w:top w:w="80" w:type="dxa"/>
              <w:left w:w="100" w:type="dxa"/>
              <w:bottom w:w="80" w:type="dxa"/>
              <w:right w:w="100" w:type="dxa"/>
            </w:tcMar>
          </w:tcPr>
          <w:p w14:paraId="7D0000EE" w14:textId="77777777" w:rsidR="0062357D" w:rsidRDefault="007E79DA">
            <w:r>
              <w:rPr>
                <w:sz w:val="19"/>
                <w:szCs w:val="19"/>
              </w:rPr>
              <w:t>Retires credits on the registry in the Subscriber’s name for a stated claim</w:t>
            </w:r>
          </w:p>
        </w:tc>
      </w:tr>
      <w:tr w:rsidR="0062357D" w14:paraId="6270B6E0" w14:textId="77777777">
        <w:trPr>
          <w:cantSplit/>
        </w:trPr>
        <w:tc>
          <w:tcPr>
            <w:tcW w:w="4200" w:type="dxa"/>
            <w:tcMar>
              <w:top w:w="80" w:type="dxa"/>
              <w:left w:w="100" w:type="dxa"/>
              <w:bottom w:w="80" w:type="dxa"/>
              <w:right w:w="100" w:type="dxa"/>
            </w:tcMar>
          </w:tcPr>
          <w:p w14:paraId="7D0000EF" w14:textId="77777777" w:rsidR="0062357D" w:rsidRDefault="007E79DA">
            <w:proofErr w:type="spellStart"/>
            <w:r>
              <w:rPr>
                <w:sz w:val="19"/>
                <w:szCs w:val="19"/>
              </w:rPr>
              <w:t>verify_serial</w:t>
            </w:r>
            <w:proofErr w:type="spellEnd"/>
            <w:r>
              <w:rPr>
                <w:sz w:val="19"/>
                <w:szCs w:val="19"/>
              </w:rPr>
              <w:t>(serial)</w:t>
            </w:r>
          </w:p>
        </w:tc>
        <w:tc>
          <w:tcPr>
            <w:tcW w:w="5400" w:type="dxa"/>
            <w:tcMar>
              <w:top w:w="80" w:type="dxa"/>
              <w:left w:w="100" w:type="dxa"/>
              <w:bottom w:w="80" w:type="dxa"/>
              <w:right w:w="100" w:type="dxa"/>
            </w:tcMar>
          </w:tcPr>
          <w:p w14:paraId="7D0000F0" w14:textId="77777777" w:rsidR="0062357D" w:rsidRDefault="007E79DA">
            <w:r>
              <w:rPr>
                <w:sz w:val="19"/>
                <w:szCs w:val="19"/>
              </w:rPr>
              <w:t>Confirms a serial’s status against the public registry record</w:t>
            </w:r>
          </w:p>
        </w:tc>
      </w:tr>
    </w:tbl>
    <w:p w14:paraId="7D0000F1" w14:textId="77777777" w:rsidR="0062357D" w:rsidRDefault="0062357D">
      <w:pPr>
        <w:spacing w:after="120"/>
      </w:pPr>
    </w:p>
    <w:p w14:paraId="7D0000F2" w14:textId="77777777" w:rsidR="0062357D" w:rsidRDefault="007E79DA">
      <w:pPr>
        <w:spacing w:after="140"/>
      </w:pPr>
      <w:r>
        <w:rPr>
          <w:sz w:val="21"/>
          <w:szCs w:val="21"/>
        </w:rPr>
        <w:t>Initial connector targets: carbon registries (</w:t>
      </w:r>
      <w:proofErr w:type="spellStart"/>
      <w:r>
        <w:rPr>
          <w:sz w:val="21"/>
          <w:szCs w:val="21"/>
        </w:rPr>
        <w:t>Verra</w:t>
      </w:r>
      <w:proofErr w:type="spellEnd"/>
      <w:r>
        <w:rPr>
          <w:sz w:val="21"/>
          <w:szCs w:val="21"/>
        </w:rPr>
        <w:t xml:space="preserve">, Gold Standard, ACR, CAR, </w:t>
      </w:r>
      <w:proofErr w:type="spellStart"/>
      <w:r>
        <w:rPr>
          <w:sz w:val="21"/>
          <w:szCs w:val="21"/>
        </w:rPr>
        <w:t>Puro.earth</w:t>
      </w:r>
      <w:proofErr w:type="spellEnd"/>
      <w:r>
        <w:rPr>
          <w:sz w:val="21"/>
          <w:szCs w:val="21"/>
        </w:rPr>
        <w:t xml:space="preserve">); energy attribute tracking systems (US regional registries such as M-RETS, PJM-GATS and WREGIS, EU Guarantee of Origin registries, and the I-REC Standard), including granular-certificate registries as they come online; the BEF Water Restoration Certificate program; national white-certificate registries for heat; and the </w:t>
      </w:r>
      <w:proofErr w:type="spellStart"/>
      <w:r>
        <w:rPr>
          <w:sz w:val="21"/>
          <w:szCs w:val="21"/>
        </w:rPr>
        <w:t>Verra</w:t>
      </w:r>
      <w:proofErr w:type="spellEnd"/>
      <w:r>
        <w:rPr>
          <w:sz w:val="21"/>
          <w:szCs w:val="21"/>
        </w:rPr>
        <w:t xml:space="preserve"> Plastic program for materials. Many registries do not offer open write APIs, so early connectors will retire credits through an account hold</w:t>
      </w:r>
      <w:r>
        <w:rPr>
          <w:sz w:val="21"/>
          <w:szCs w:val="21"/>
        </w:rPr>
        <w:t>er (</w:t>
      </w:r>
      <w:proofErr w:type="spellStart"/>
      <w:r>
        <w:rPr>
          <w:sz w:val="21"/>
          <w:szCs w:val="21"/>
        </w:rPr>
        <w:t>AIforE</w:t>
      </w:r>
      <w:proofErr w:type="spellEnd"/>
      <w:r>
        <w:rPr>
          <w:sz w:val="21"/>
          <w:szCs w:val="21"/>
        </w:rPr>
        <w:t xml:space="preserve"> or a licensed partner) and move to API automation where registries support it.</w:t>
      </w:r>
    </w:p>
    <w:p w14:paraId="7D0000F3" w14:textId="77777777" w:rsidR="0062357D" w:rsidRDefault="007E79DA">
      <w:pPr>
        <w:spacing w:after="140"/>
      </w:pPr>
      <w:r>
        <w:rPr>
          <w:sz w:val="21"/>
          <w:szCs w:val="21"/>
        </w:rPr>
        <w:t xml:space="preserve">Subscriber API extension: </w:t>
      </w:r>
      <w:proofErr w:type="spellStart"/>
      <w:r>
        <w:rPr>
          <w:sz w:val="21"/>
          <w:szCs w:val="21"/>
        </w:rPr>
        <w:t>request_quote</w:t>
      </w:r>
      <w:proofErr w:type="spellEnd"/>
      <w:r>
        <w:rPr>
          <w:sz w:val="21"/>
          <w:szCs w:val="21"/>
        </w:rPr>
        <w:t xml:space="preserve">() accepts an impact vector {co2e_g, kwh, </w:t>
      </w:r>
      <w:proofErr w:type="spellStart"/>
      <w:r>
        <w:rPr>
          <w:sz w:val="21"/>
          <w:szCs w:val="21"/>
        </w:rPr>
        <w:t>water_l</w:t>
      </w:r>
      <w:proofErr w:type="spellEnd"/>
      <w:r>
        <w:rPr>
          <w:sz w:val="21"/>
          <w:szCs w:val="21"/>
        </w:rPr>
        <w:t xml:space="preserve">, </w:t>
      </w:r>
      <w:proofErr w:type="spellStart"/>
      <w:r>
        <w:rPr>
          <w:sz w:val="21"/>
          <w:szCs w:val="21"/>
        </w:rPr>
        <w:t>heat_kwh_th</w:t>
      </w:r>
      <w:proofErr w:type="spellEnd"/>
      <w:r>
        <w:rPr>
          <w:sz w:val="21"/>
          <w:szCs w:val="21"/>
        </w:rPr>
        <w:t xml:space="preserve">, </w:t>
      </w:r>
      <w:proofErr w:type="spellStart"/>
      <w:r>
        <w:rPr>
          <w:sz w:val="21"/>
          <w:szCs w:val="21"/>
        </w:rPr>
        <w:t>materials_kg</w:t>
      </w:r>
      <w:proofErr w:type="spellEnd"/>
      <w:r>
        <w:rPr>
          <w:sz w:val="21"/>
          <w:szCs w:val="21"/>
        </w:rPr>
        <w:t>} with preferences for matching basis (annual or hourly), geography and tier, and returns a basket with one quote per dimension. The data model in §10.5 is extended with:</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400"/>
        <w:gridCol w:w="5600"/>
      </w:tblGrid>
      <w:tr w:rsidR="0062357D" w14:paraId="1924AB02" w14:textId="77777777">
        <w:trPr>
          <w:tblHeader/>
        </w:trPr>
        <w:tc>
          <w:tcPr>
            <w:tcW w:w="2600" w:type="dxa"/>
            <w:shd w:val="clear" w:color="auto" w:fill="1E7A4C"/>
            <w:tcMar>
              <w:top w:w="80" w:type="dxa"/>
              <w:left w:w="100" w:type="dxa"/>
              <w:bottom w:w="80" w:type="dxa"/>
              <w:right w:w="100" w:type="dxa"/>
            </w:tcMar>
          </w:tcPr>
          <w:p w14:paraId="7D0000F4" w14:textId="77777777" w:rsidR="0062357D" w:rsidRDefault="007E79DA">
            <w:r>
              <w:rPr>
                <w:b/>
                <w:bCs/>
                <w:color w:val="FFFFFF"/>
                <w:sz w:val="19"/>
                <w:szCs w:val="19"/>
              </w:rPr>
              <w:t>Field</w:t>
            </w:r>
          </w:p>
        </w:tc>
        <w:tc>
          <w:tcPr>
            <w:tcW w:w="1400" w:type="dxa"/>
            <w:shd w:val="clear" w:color="auto" w:fill="1E7A4C"/>
            <w:tcMar>
              <w:top w:w="80" w:type="dxa"/>
              <w:left w:w="100" w:type="dxa"/>
              <w:bottom w:w="80" w:type="dxa"/>
              <w:right w:w="100" w:type="dxa"/>
            </w:tcMar>
          </w:tcPr>
          <w:p w14:paraId="7D0000F5" w14:textId="77777777" w:rsidR="0062357D" w:rsidRDefault="007E79DA">
            <w:r>
              <w:rPr>
                <w:b/>
                <w:bCs/>
                <w:color w:val="FFFFFF"/>
                <w:sz w:val="19"/>
                <w:szCs w:val="19"/>
              </w:rPr>
              <w:t>Type</w:t>
            </w:r>
          </w:p>
        </w:tc>
        <w:tc>
          <w:tcPr>
            <w:tcW w:w="5600" w:type="dxa"/>
            <w:shd w:val="clear" w:color="auto" w:fill="1E7A4C"/>
            <w:tcMar>
              <w:top w:w="80" w:type="dxa"/>
              <w:left w:w="100" w:type="dxa"/>
              <w:bottom w:w="80" w:type="dxa"/>
              <w:right w:w="100" w:type="dxa"/>
            </w:tcMar>
          </w:tcPr>
          <w:p w14:paraId="7D0000F6" w14:textId="77777777" w:rsidR="0062357D" w:rsidRDefault="007E79DA">
            <w:r>
              <w:rPr>
                <w:b/>
                <w:bCs/>
                <w:color w:val="FFFFFF"/>
                <w:sz w:val="19"/>
                <w:szCs w:val="19"/>
              </w:rPr>
              <w:t>Notes</w:t>
            </w:r>
          </w:p>
        </w:tc>
      </w:tr>
      <w:tr w:rsidR="0062357D" w14:paraId="2EC13A54" w14:textId="77777777">
        <w:trPr>
          <w:cantSplit/>
        </w:trPr>
        <w:tc>
          <w:tcPr>
            <w:tcW w:w="2600" w:type="dxa"/>
            <w:tcMar>
              <w:top w:w="80" w:type="dxa"/>
              <w:left w:w="100" w:type="dxa"/>
              <w:bottom w:w="80" w:type="dxa"/>
              <w:right w:w="100" w:type="dxa"/>
            </w:tcMar>
          </w:tcPr>
          <w:p w14:paraId="7D0000F7" w14:textId="77777777" w:rsidR="0062357D" w:rsidRDefault="007E79DA">
            <w:proofErr w:type="spellStart"/>
            <w:r>
              <w:rPr>
                <w:sz w:val="19"/>
                <w:szCs w:val="19"/>
              </w:rPr>
              <w:t>credit_category</w:t>
            </w:r>
            <w:proofErr w:type="spellEnd"/>
          </w:p>
        </w:tc>
        <w:tc>
          <w:tcPr>
            <w:tcW w:w="1400" w:type="dxa"/>
            <w:tcMar>
              <w:top w:w="80" w:type="dxa"/>
              <w:left w:w="100" w:type="dxa"/>
              <w:bottom w:w="80" w:type="dxa"/>
              <w:right w:w="100" w:type="dxa"/>
            </w:tcMar>
          </w:tcPr>
          <w:p w14:paraId="7D0000F8" w14:textId="77777777" w:rsidR="0062357D" w:rsidRDefault="007E79DA">
            <w:proofErr w:type="spellStart"/>
            <w:r>
              <w:rPr>
                <w:sz w:val="19"/>
                <w:szCs w:val="19"/>
              </w:rPr>
              <w:t>enum</w:t>
            </w:r>
            <w:proofErr w:type="spellEnd"/>
          </w:p>
        </w:tc>
        <w:tc>
          <w:tcPr>
            <w:tcW w:w="5600" w:type="dxa"/>
            <w:tcMar>
              <w:top w:w="80" w:type="dxa"/>
              <w:left w:w="100" w:type="dxa"/>
              <w:bottom w:w="80" w:type="dxa"/>
              <w:right w:w="100" w:type="dxa"/>
            </w:tcMar>
          </w:tcPr>
          <w:p w14:paraId="7D0000F9" w14:textId="77777777" w:rsidR="0062357D" w:rsidRDefault="007E79DA">
            <w:r>
              <w:rPr>
                <w:sz w:val="19"/>
                <w:szCs w:val="19"/>
              </w:rPr>
              <w:t>carbon | energy | water | heat | materials</w:t>
            </w:r>
          </w:p>
        </w:tc>
      </w:tr>
      <w:tr w:rsidR="0062357D" w14:paraId="45E770BF" w14:textId="77777777">
        <w:trPr>
          <w:cantSplit/>
        </w:trPr>
        <w:tc>
          <w:tcPr>
            <w:tcW w:w="2600" w:type="dxa"/>
            <w:tcMar>
              <w:top w:w="80" w:type="dxa"/>
              <w:left w:w="100" w:type="dxa"/>
              <w:bottom w:w="80" w:type="dxa"/>
              <w:right w:w="100" w:type="dxa"/>
            </w:tcMar>
          </w:tcPr>
          <w:p w14:paraId="7D0000FA" w14:textId="77777777" w:rsidR="0062357D" w:rsidRDefault="007E79DA">
            <w:proofErr w:type="spellStart"/>
            <w:r>
              <w:rPr>
                <w:sz w:val="19"/>
                <w:szCs w:val="19"/>
              </w:rPr>
              <w:t>credit_unit</w:t>
            </w:r>
            <w:proofErr w:type="spellEnd"/>
          </w:p>
        </w:tc>
        <w:tc>
          <w:tcPr>
            <w:tcW w:w="1400" w:type="dxa"/>
            <w:tcMar>
              <w:top w:w="80" w:type="dxa"/>
              <w:left w:w="100" w:type="dxa"/>
              <w:bottom w:w="80" w:type="dxa"/>
              <w:right w:w="100" w:type="dxa"/>
            </w:tcMar>
          </w:tcPr>
          <w:p w14:paraId="7D0000FB" w14:textId="77777777" w:rsidR="0062357D" w:rsidRDefault="007E79DA">
            <w:proofErr w:type="spellStart"/>
            <w:r>
              <w:rPr>
                <w:sz w:val="19"/>
                <w:szCs w:val="19"/>
              </w:rPr>
              <w:t>enum</w:t>
            </w:r>
            <w:proofErr w:type="spellEnd"/>
          </w:p>
        </w:tc>
        <w:tc>
          <w:tcPr>
            <w:tcW w:w="5600" w:type="dxa"/>
            <w:tcMar>
              <w:top w:w="80" w:type="dxa"/>
              <w:left w:w="100" w:type="dxa"/>
              <w:bottom w:w="80" w:type="dxa"/>
              <w:right w:w="100" w:type="dxa"/>
            </w:tcMar>
          </w:tcPr>
          <w:p w14:paraId="7D0000FC" w14:textId="77777777" w:rsidR="0062357D" w:rsidRDefault="007E79DA">
            <w:r>
              <w:rPr>
                <w:sz w:val="19"/>
                <w:szCs w:val="19"/>
              </w:rPr>
              <w:t>tCO2e | MWh | 1,000 gal | m3 | MWh-</w:t>
            </w:r>
            <w:proofErr w:type="spellStart"/>
            <w:r>
              <w:rPr>
                <w:sz w:val="19"/>
                <w:szCs w:val="19"/>
              </w:rPr>
              <w:t>th</w:t>
            </w:r>
            <w:proofErr w:type="spellEnd"/>
            <w:r>
              <w:rPr>
                <w:sz w:val="19"/>
                <w:szCs w:val="19"/>
              </w:rPr>
              <w:t xml:space="preserve"> | kg</w:t>
            </w:r>
          </w:p>
        </w:tc>
      </w:tr>
      <w:tr w:rsidR="0062357D" w14:paraId="5ADD2D1F" w14:textId="77777777">
        <w:trPr>
          <w:cantSplit/>
        </w:trPr>
        <w:tc>
          <w:tcPr>
            <w:tcW w:w="2600" w:type="dxa"/>
            <w:tcMar>
              <w:top w:w="80" w:type="dxa"/>
              <w:left w:w="100" w:type="dxa"/>
              <w:bottom w:w="80" w:type="dxa"/>
              <w:right w:w="100" w:type="dxa"/>
            </w:tcMar>
          </w:tcPr>
          <w:p w14:paraId="7D0000FD" w14:textId="77777777" w:rsidR="0062357D" w:rsidRDefault="007E79DA">
            <w:proofErr w:type="spellStart"/>
            <w:r>
              <w:rPr>
                <w:sz w:val="19"/>
                <w:szCs w:val="19"/>
              </w:rPr>
              <w:t>registry_id</w:t>
            </w:r>
            <w:proofErr w:type="spellEnd"/>
          </w:p>
        </w:tc>
        <w:tc>
          <w:tcPr>
            <w:tcW w:w="1400" w:type="dxa"/>
            <w:tcMar>
              <w:top w:w="80" w:type="dxa"/>
              <w:left w:w="100" w:type="dxa"/>
              <w:bottom w:w="80" w:type="dxa"/>
              <w:right w:w="100" w:type="dxa"/>
            </w:tcMar>
          </w:tcPr>
          <w:p w14:paraId="7D0000FE" w14:textId="77777777" w:rsidR="0062357D" w:rsidRDefault="007E79DA">
            <w:r>
              <w:rPr>
                <w:sz w:val="19"/>
                <w:szCs w:val="19"/>
              </w:rPr>
              <w:t>string</w:t>
            </w:r>
          </w:p>
        </w:tc>
        <w:tc>
          <w:tcPr>
            <w:tcW w:w="5600" w:type="dxa"/>
            <w:tcMar>
              <w:top w:w="80" w:type="dxa"/>
              <w:left w:w="100" w:type="dxa"/>
              <w:bottom w:w="80" w:type="dxa"/>
              <w:right w:w="100" w:type="dxa"/>
            </w:tcMar>
          </w:tcPr>
          <w:p w14:paraId="7D0000FF" w14:textId="77777777" w:rsidR="0062357D" w:rsidRDefault="007E79DA">
            <w:r>
              <w:rPr>
                <w:sz w:val="19"/>
                <w:szCs w:val="19"/>
              </w:rPr>
              <w:t>Registry or program where the credit is tracked</w:t>
            </w:r>
          </w:p>
        </w:tc>
      </w:tr>
      <w:tr w:rsidR="0062357D" w14:paraId="7218E104" w14:textId="77777777">
        <w:trPr>
          <w:cantSplit/>
        </w:trPr>
        <w:tc>
          <w:tcPr>
            <w:tcW w:w="2600" w:type="dxa"/>
            <w:tcMar>
              <w:top w:w="80" w:type="dxa"/>
              <w:left w:w="100" w:type="dxa"/>
              <w:bottom w:w="80" w:type="dxa"/>
              <w:right w:w="100" w:type="dxa"/>
            </w:tcMar>
          </w:tcPr>
          <w:p w14:paraId="7D000100" w14:textId="77777777" w:rsidR="0062357D" w:rsidRDefault="007E79DA">
            <w:proofErr w:type="spellStart"/>
            <w:r>
              <w:rPr>
                <w:sz w:val="19"/>
                <w:szCs w:val="19"/>
              </w:rPr>
              <w:t>serial_range</w:t>
            </w:r>
            <w:proofErr w:type="spellEnd"/>
          </w:p>
        </w:tc>
        <w:tc>
          <w:tcPr>
            <w:tcW w:w="1400" w:type="dxa"/>
            <w:tcMar>
              <w:top w:w="80" w:type="dxa"/>
              <w:left w:w="100" w:type="dxa"/>
              <w:bottom w:w="80" w:type="dxa"/>
              <w:right w:w="100" w:type="dxa"/>
            </w:tcMar>
          </w:tcPr>
          <w:p w14:paraId="7D000101" w14:textId="77777777" w:rsidR="0062357D" w:rsidRDefault="007E79DA">
            <w:r>
              <w:rPr>
                <w:sz w:val="19"/>
                <w:szCs w:val="19"/>
              </w:rPr>
              <w:t>string</w:t>
            </w:r>
          </w:p>
        </w:tc>
        <w:tc>
          <w:tcPr>
            <w:tcW w:w="5600" w:type="dxa"/>
            <w:tcMar>
              <w:top w:w="80" w:type="dxa"/>
              <w:left w:w="100" w:type="dxa"/>
              <w:bottom w:w="80" w:type="dxa"/>
              <w:right w:w="100" w:type="dxa"/>
            </w:tcMar>
          </w:tcPr>
          <w:p w14:paraId="7D000102" w14:textId="77777777" w:rsidR="0062357D" w:rsidRDefault="007E79DA">
            <w:r>
              <w:rPr>
                <w:sz w:val="19"/>
                <w:szCs w:val="19"/>
              </w:rPr>
              <w:t>Issued serial numbers covered by the order</w:t>
            </w:r>
          </w:p>
        </w:tc>
      </w:tr>
      <w:tr w:rsidR="0062357D" w14:paraId="3F7D3FBA" w14:textId="77777777">
        <w:trPr>
          <w:cantSplit/>
        </w:trPr>
        <w:tc>
          <w:tcPr>
            <w:tcW w:w="2600" w:type="dxa"/>
            <w:tcMar>
              <w:top w:w="80" w:type="dxa"/>
              <w:left w:w="100" w:type="dxa"/>
              <w:bottom w:w="80" w:type="dxa"/>
              <w:right w:w="100" w:type="dxa"/>
            </w:tcMar>
          </w:tcPr>
          <w:p w14:paraId="7D000103" w14:textId="77777777" w:rsidR="0062357D" w:rsidRDefault="007E79DA">
            <w:proofErr w:type="spellStart"/>
            <w:r>
              <w:rPr>
                <w:sz w:val="19"/>
                <w:szCs w:val="19"/>
              </w:rPr>
              <w:t>vintage_period</w:t>
            </w:r>
            <w:proofErr w:type="spellEnd"/>
          </w:p>
        </w:tc>
        <w:tc>
          <w:tcPr>
            <w:tcW w:w="1400" w:type="dxa"/>
            <w:tcMar>
              <w:top w:w="80" w:type="dxa"/>
              <w:left w:w="100" w:type="dxa"/>
              <w:bottom w:w="80" w:type="dxa"/>
              <w:right w:w="100" w:type="dxa"/>
            </w:tcMar>
          </w:tcPr>
          <w:p w14:paraId="7D000104" w14:textId="77777777" w:rsidR="0062357D" w:rsidRDefault="007E79DA">
            <w:r>
              <w:rPr>
                <w:sz w:val="19"/>
                <w:szCs w:val="19"/>
              </w:rPr>
              <w:t>date range</w:t>
            </w:r>
          </w:p>
        </w:tc>
        <w:tc>
          <w:tcPr>
            <w:tcW w:w="5600" w:type="dxa"/>
            <w:tcMar>
              <w:top w:w="80" w:type="dxa"/>
              <w:left w:w="100" w:type="dxa"/>
              <w:bottom w:w="80" w:type="dxa"/>
              <w:right w:w="100" w:type="dxa"/>
            </w:tcMar>
          </w:tcPr>
          <w:p w14:paraId="7D000105" w14:textId="77777777" w:rsidR="0062357D" w:rsidRDefault="007E79DA">
            <w:r>
              <w:rPr>
                <w:sz w:val="19"/>
                <w:szCs w:val="19"/>
              </w:rPr>
              <w:t>Generation, restoration, or recovery period the credit represents</w:t>
            </w:r>
          </w:p>
        </w:tc>
      </w:tr>
      <w:tr w:rsidR="0062357D" w14:paraId="4302A45A" w14:textId="77777777">
        <w:trPr>
          <w:cantSplit/>
        </w:trPr>
        <w:tc>
          <w:tcPr>
            <w:tcW w:w="2600" w:type="dxa"/>
            <w:tcMar>
              <w:top w:w="80" w:type="dxa"/>
              <w:left w:w="100" w:type="dxa"/>
              <w:bottom w:w="80" w:type="dxa"/>
              <w:right w:w="100" w:type="dxa"/>
            </w:tcMar>
          </w:tcPr>
          <w:p w14:paraId="7D000106" w14:textId="77777777" w:rsidR="0062357D" w:rsidRDefault="007E79DA">
            <w:proofErr w:type="spellStart"/>
            <w:r>
              <w:rPr>
                <w:sz w:val="19"/>
                <w:szCs w:val="19"/>
              </w:rPr>
              <w:t>matching_basis</w:t>
            </w:r>
            <w:proofErr w:type="spellEnd"/>
          </w:p>
        </w:tc>
        <w:tc>
          <w:tcPr>
            <w:tcW w:w="1400" w:type="dxa"/>
            <w:tcMar>
              <w:top w:w="80" w:type="dxa"/>
              <w:left w:w="100" w:type="dxa"/>
              <w:bottom w:w="80" w:type="dxa"/>
              <w:right w:w="100" w:type="dxa"/>
            </w:tcMar>
          </w:tcPr>
          <w:p w14:paraId="7D000107" w14:textId="77777777" w:rsidR="0062357D" w:rsidRDefault="007E79DA">
            <w:proofErr w:type="spellStart"/>
            <w:r>
              <w:rPr>
                <w:sz w:val="19"/>
                <w:szCs w:val="19"/>
              </w:rPr>
              <w:t>enum</w:t>
            </w:r>
            <w:proofErr w:type="spellEnd"/>
          </w:p>
        </w:tc>
        <w:tc>
          <w:tcPr>
            <w:tcW w:w="5600" w:type="dxa"/>
            <w:tcMar>
              <w:top w:w="80" w:type="dxa"/>
              <w:left w:w="100" w:type="dxa"/>
              <w:bottom w:w="80" w:type="dxa"/>
              <w:right w:w="100" w:type="dxa"/>
            </w:tcMar>
          </w:tcPr>
          <w:p w14:paraId="7D000108" w14:textId="77777777" w:rsidR="0062357D" w:rsidRDefault="007E79DA">
            <w:r>
              <w:rPr>
                <w:sz w:val="19"/>
                <w:szCs w:val="19"/>
              </w:rPr>
              <w:t>annual | hourly | watershed | local recipient</w:t>
            </w:r>
          </w:p>
        </w:tc>
      </w:tr>
      <w:tr w:rsidR="0062357D" w14:paraId="5767EC1B" w14:textId="77777777">
        <w:trPr>
          <w:cantSplit/>
        </w:trPr>
        <w:tc>
          <w:tcPr>
            <w:tcW w:w="2600" w:type="dxa"/>
            <w:tcMar>
              <w:top w:w="80" w:type="dxa"/>
              <w:left w:w="100" w:type="dxa"/>
              <w:bottom w:w="80" w:type="dxa"/>
              <w:right w:w="100" w:type="dxa"/>
            </w:tcMar>
          </w:tcPr>
          <w:p w14:paraId="7D000109" w14:textId="77777777" w:rsidR="0062357D" w:rsidRDefault="007E79DA">
            <w:proofErr w:type="spellStart"/>
            <w:r>
              <w:rPr>
                <w:sz w:val="19"/>
                <w:szCs w:val="19"/>
              </w:rPr>
              <w:t>claim_type</w:t>
            </w:r>
            <w:proofErr w:type="spellEnd"/>
          </w:p>
        </w:tc>
        <w:tc>
          <w:tcPr>
            <w:tcW w:w="1400" w:type="dxa"/>
            <w:tcMar>
              <w:top w:w="80" w:type="dxa"/>
              <w:left w:w="100" w:type="dxa"/>
              <w:bottom w:w="80" w:type="dxa"/>
              <w:right w:w="100" w:type="dxa"/>
            </w:tcMar>
          </w:tcPr>
          <w:p w14:paraId="7D00010A" w14:textId="77777777" w:rsidR="0062357D" w:rsidRDefault="007E79DA">
            <w:proofErr w:type="spellStart"/>
            <w:r>
              <w:rPr>
                <w:sz w:val="19"/>
                <w:szCs w:val="19"/>
              </w:rPr>
              <w:t>enum</w:t>
            </w:r>
            <w:proofErr w:type="spellEnd"/>
          </w:p>
        </w:tc>
        <w:tc>
          <w:tcPr>
            <w:tcW w:w="5600" w:type="dxa"/>
            <w:tcMar>
              <w:top w:w="80" w:type="dxa"/>
              <w:left w:w="100" w:type="dxa"/>
              <w:bottom w:w="80" w:type="dxa"/>
              <w:right w:w="100" w:type="dxa"/>
            </w:tcMar>
          </w:tcPr>
          <w:p w14:paraId="7D00010B" w14:textId="77777777" w:rsidR="0062357D" w:rsidRDefault="007E79DA">
            <w:r>
              <w:rPr>
                <w:sz w:val="19"/>
                <w:szCs w:val="19"/>
              </w:rPr>
              <w:t xml:space="preserve">scope2_market_based | offset | removal | </w:t>
            </w:r>
            <w:proofErr w:type="spellStart"/>
            <w:r>
              <w:rPr>
                <w:sz w:val="19"/>
                <w:szCs w:val="19"/>
              </w:rPr>
              <w:t>water_benefit</w:t>
            </w:r>
            <w:proofErr w:type="spellEnd"/>
            <w:r>
              <w:rPr>
                <w:sz w:val="19"/>
                <w:szCs w:val="19"/>
              </w:rPr>
              <w:t xml:space="preserve"> | </w:t>
            </w:r>
            <w:proofErr w:type="spellStart"/>
            <w:r>
              <w:rPr>
                <w:sz w:val="19"/>
                <w:szCs w:val="19"/>
              </w:rPr>
              <w:t>heat_reuse</w:t>
            </w:r>
            <w:proofErr w:type="spellEnd"/>
            <w:r>
              <w:rPr>
                <w:sz w:val="19"/>
                <w:szCs w:val="19"/>
              </w:rPr>
              <w:t xml:space="preserve"> | </w:t>
            </w:r>
            <w:proofErr w:type="spellStart"/>
            <w:r>
              <w:rPr>
                <w:sz w:val="19"/>
                <w:szCs w:val="19"/>
              </w:rPr>
              <w:t>material_recovery</w:t>
            </w:r>
            <w:proofErr w:type="spellEnd"/>
          </w:p>
        </w:tc>
      </w:tr>
      <w:tr w:rsidR="0062357D" w14:paraId="48D9B8BA" w14:textId="77777777">
        <w:trPr>
          <w:cantSplit/>
        </w:trPr>
        <w:tc>
          <w:tcPr>
            <w:tcW w:w="2600" w:type="dxa"/>
            <w:tcMar>
              <w:top w:w="80" w:type="dxa"/>
              <w:left w:w="100" w:type="dxa"/>
              <w:bottom w:w="80" w:type="dxa"/>
              <w:right w:w="100" w:type="dxa"/>
            </w:tcMar>
          </w:tcPr>
          <w:p w14:paraId="7D00010C" w14:textId="77777777" w:rsidR="0062357D" w:rsidRDefault="007E79DA">
            <w:r>
              <w:rPr>
                <w:sz w:val="19"/>
                <w:szCs w:val="19"/>
              </w:rPr>
              <w:t>beneficiary</w:t>
            </w:r>
          </w:p>
        </w:tc>
        <w:tc>
          <w:tcPr>
            <w:tcW w:w="1400" w:type="dxa"/>
            <w:tcMar>
              <w:top w:w="80" w:type="dxa"/>
              <w:left w:w="100" w:type="dxa"/>
              <w:bottom w:w="80" w:type="dxa"/>
              <w:right w:w="100" w:type="dxa"/>
            </w:tcMar>
          </w:tcPr>
          <w:p w14:paraId="7D00010D" w14:textId="77777777" w:rsidR="0062357D" w:rsidRDefault="007E79DA">
            <w:r>
              <w:rPr>
                <w:sz w:val="19"/>
                <w:szCs w:val="19"/>
              </w:rPr>
              <w:t>string</w:t>
            </w:r>
          </w:p>
        </w:tc>
        <w:tc>
          <w:tcPr>
            <w:tcW w:w="5600" w:type="dxa"/>
            <w:tcMar>
              <w:top w:w="80" w:type="dxa"/>
              <w:left w:w="100" w:type="dxa"/>
              <w:bottom w:w="80" w:type="dxa"/>
              <w:right w:w="100" w:type="dxa"/>
            </w:tcMar>
          </w:tcPr>
          <w:p w14:paraId="7D00010E" w14:textId="77777777" w:rsidR="0062357D" w:rsidRDefault="007E79DA">
            <w:r>
              <w:rPr>
                <w:sz w:val="19"/>
                <w:szCs w:val="19"/>
              </w:rPr>
              <w:t>Subscriber named on the retirement</w:t>
            </w:r>
          </w:p>
        </w:tc>
      </w:tr>
      <w:tr w:rsidR="0062357D" w14:paraId="63908724" w14:textId="77777777">
        <w:trPr>
          <w:cantSplit/>
        </w:trPr>
        <w:tc>
          <w:tcPr>
            <w:tcW w:w="2600" w:type="dxa"/>
            <w:tcMar>
              <w:top w:w="80" w:type="dxa"/>
              <w:left w:w="100" w:type="dxa"/>
              <w:bottom w:w="80" w:type="dxa"/>
              <w:right w:w="100" w:type="dxa"/>
            </w:tcMar>
          </w:tcPr>
          <w:p w14:paraId="7D00010F" w14:textId="77777777" w:rsidR="0062357D" w:rsidRDefault="007E79DA">
            <w:proofErr w:type="spellStart"/>
            <w:r>
              <w:rPr>
                <w:sz w:val="19"/>
                <w:szCs w:val="19"/>
              </w:rPr>
              <w:t>retirement_ref</w:t>
            </w:r>
            <w:proofErr w:type="spellEnd"/>
          </w:p>
        </w:tc>
        <w:tc>
          <w:tcPr>
            <w:tcW w:w="1400" w:type="dxa"/>
            <w:tcMar>
              <w:top w:w="80" w:type="dxa"/>
              <w:left w:w="100" w:type="dxa"/>
              <w:bottom w:w="80" w:type="dxa"/>
              <w:right w:w="100" w:type="dxa"/>
            </w:tcMar>
          </w:tcPr>
          <w:p w14:paraId="7D000110" w14:textId="77777777" w:rsidR="0062357D" w:rsidRDefault="007E79DA">
            <w:r>
              <w:rPr>
                <w:sz w:val="19"/>
                <w:szCs w:val="19"/>
              </w:rPr>
              <w:t>string</w:t>
            </w:r>
          </w:p>
        </w:tc>
        <w:tc>
          <w:tcPr>
            <w:tcW w:w="5600" w:type="dxa"/>
            <w:tcMar>
              <w:top w:w="80" w:type="dxa"/>
              <w:left w:w="100" w:type="dxa"/>
              <w:bottom w:w="80" w:type="dxa"/>
              <w:right w:w="100" w:type="dxa"/>
            </w:tcMar>
          </w:tcPr>
          <w:p w14:paraId="7D000111" w14:textId="77777777" w:rsidR="0062357D" w:rsidRDefault="007E79DA">
            <w:r>
              <w:rPr>
                <w:sz w:val="19"/>
                <w:szCs w:val="19"/>
              </w:rPr>
              <w:t>Registry retirement reference written back to the Net Impact Ledger</w:t>
            </w:r>
          </w:p>
        </w:tc>
      </w:tr>
    </w:tbl>
    <w:p w14:paraId="7D000112" w14:textId="77777777" w:rsidR="0062357D" w:rsidRDefault="0062357D">
      <w:pPr>
        <w:spacing w:after="120"/>
      </w:pPr>
    </w:p>
    <w:p w14:paraId="7D000113" w14:textId="77777777" w:rsidR="0062357D" w:rsidRDefault="007E79DA">
      <w:pPr>
        <w:pStyle w:val="Heading2"/>
        <w:spacing w:before="280" w:after="120"/>
      </w:pPr>
      <w:r>
        <w:rPr>
          <w:b/>
          <w:bCs/>
          <w:color w:val="1E7A4C"/>
          <w:sz w:val="24"/>
          <w:szCs w:val="24"/>
        </w:rPr>
        <w:t>22.6 Net Impact Ledger</w:t>
      </w:r>
    </w:p>
    <w:p w14:paraId="7D000114" w14:textId="77777777" w:rsidR="0062357D" w:rsidRDefault="007E79DA">
      <w:pPr>
        <w:spacing w:after="140"/>
      </w:pPr>
      <w:r>
        <w:rPr>
          <w:sz w:val="21"/>
          <w:szCs w:val="21"/>
        </w:rPr>
        <w:t>The Net Impact Ledger records, for each Subscriber and each dimension: gross footprint (negative impact); reductions achieved through right-sizing (§21); credits retired, by instrument (positive impact); and the residual. Dimensions are shown side by side and are never summed into one number across dimensions. The ledger feeds Return-on-Impact reporting and the dashboards in §6.3.</w:t>
      </w:r>
    </w:p>
    <w:p w14:paraId="7D000115" w14:textId="77777777" w:rsidR="0062357D" w:rsidRDefault="007E79DA">
      <w:pPr>
        <w:keepNext/>
        <w:spacing w:before="120" w:after="60"/>
        <w:jc w:val="center"/>
      </w:pPr>
      <w:r>
        <w:rPr>
          <w:noProof/>
        </w:rPr>
        <w:drawing>
          <wp:inline distT="0" distB="0" distL="0" distR="0" wp14:anchorId="53834E0F" wp14:editId="6F5683E4">
            <wp:extent cx="5852160" cy="3788855"/>
            <wp:effectExtent l="0" t="0" r="0" b="0"/>
            <wp:docPr id="5" name="Figure 5" descr="Multi-attribute credit architecture from Subscriber footprint to Provider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13"/>
                    <a:stretch>
                      <a:fillRect/>
                    </a:stretch>
                  </pic:blipFill>
                  <pic:spPr>
                    <a:xfrm>
                      <a:off x="0" y="0"/>
                      <a:ext cx="5852160" cy="3788855"/>
                    </a:xfrm>
                    <a:prstGeom prst="rect">
                      <a:avLst/>
                    </a:prstGeom>
                  </pic:spPr>
                </pic:pic>
              </a:graphicData>
            </a:graphic>
          </wp:inline>
        </w:drawing>
      </w:r>
    </w:p>
    <w:p w14:paraId="7D000116" w14:textId="77777777" w:rsidR="0062357D" w:rsidRDefault="007E79DA">
      <w:pPr>
        <w:spacing w:after="200"/>
        <w:jc w:val="center"/>
      </w:pPr>
      <w:r>
        <w:rPr>
          <w:i/>
          <w:iCs/>
          <w:color w:val="555555"/>
          <w:sz w:val="18"/>
          <w:szCs w:val="18"/>
        </w:rPr>
        <w:t>Figure 5. Multi-attribute impact credits: a Subscriber’s footprint in carbon, electricity, water, heat and materials flows into the Net Impact Ledger and broker, which use registry and market connectors to procure and retire like-for-like Provider credits.</w:t>
      </w:r>
    </w:p>
    <w:p w14:paraId="7D000117" w14:textId="77777777" w:rsidR="0062357D" w:rsidRDefault="007E79DA">
      <w:pPr>
        <w:pStyle w:val="Heading2"/>
        <w:spacing w:before="280" w:after="120"/>
      </w:pPr>
      <w:r>
        <w:rPr>
          <w:b/>
          <w:bCs/>
          <w:color w:val="1E7A4C"/>
          <w:sz w:val="24"/>
          <w:szCs w:val="24"/>
        </w:rPr>
        <w:t>22.7 Toward an Industry-Wide Impact Measurement Standard</w:t>
      </w:r>
    </w:p>
    <w:p w14:paraId="7D000118" w14:textId="77777777" w:rsidR="0062357D" w:rsidRDefault="007E79DA">
      <w:pPr>
        <w:spacing w:after="140"/>
      </w:pPr>
      <w:r>
        <w:rPr>
          <w:sz w:val="21"/>
          <w:szCs w:val="21"/>
        </w:rPr>
        <w:t>A primary goal of Stardust is to give the industry a standard way to measure impact from negative to positive, and to contribute that standard openly. Stardust’s contributions are:</w:t>
      </w:r>
    </w:p>
    <w:p w14:paraId="7D000119" w14:textId="77777777" w:rsidR="0062357D" w:rsidRDefault="007E79DA">
      <w:pPr>
        <w:numPr>
          <w:ilvl w:val="0"/>
          <w:numId w:val="1"/>
        </w:numPr>
        <w:spacing w:after="60"/>
      </w:pPr>
      <w:r>
        <w:rPr>
          <w:b/>
          <w:bCs/>
          <w:sz w:val="21"/>
          <w:szCs w:val="21"/>
        </w:rPr>
        <w:t>One open schema</w:t>
      </w:r>
      <w:r>
        <w:rPr>
          <w:sz w:val="21"/>
          <w:szCs w:val="21"/>
        </w:rPr>
        <w:t xml:space="preserve"> for negative and positive impact across carbon, electricity, water, heat and materials, with coded fields, units, boundaries and confidence tags (§8, §20–§22).</w:t>
      </w:r>
    </w:p>
    <w:p w14:paraId="7D00011A" w14:textId="77777777" w:rsidR="0062357D" w:rsidRDefault="007E79DA">
      <w:pPr>
        <w:numPr>
          <w:ilvl w:val="0"/>
          <w:numId w:val="1"/>
        </w:numPr>
        <w:spacing w:after="60"/>
      </w:pPr>
      <w:r>
        <w:rPr>
          <w:b/>
          <w:bCs/>
          <w:sz w:val="21"/>
          <w:szCs w:val="21"/>
        </w:rPr>
        <w:t>Mapping to existing standards</w:t>
      </w:r>
      <w:r>
        <w:rPr>
          <w:sz w:val="21"/>
          <w:szCs w:val="21"/>
        </w:rPr>
        <w:t xml:space="preserve"> rather than competing with them: Software Carbon Intensity (ISO/IEC 21031), the GHG Protocol, ISO/IEC 30134 data-center KPIs (PUE, WUE, ERF), WRI Volumetric Water Benefit Accounting, and </w:t>
      </w:r>
      <w:proofErr w:type="spellStart"/>
      <w:r>
        <w:rPr>
          <w:sz w:val="21"/>
          <w:szCs w:val="21"/>
        </w:rPr>
        <w:t>EnergyTag</w:t>
      </w:r>
      <w:proofErr w:type="spellEnd"/>
      <w:r>
        <w:rPr>
          <w:sz w:val="21"/>
          <w:szCs w:val="21"/>
        </w:rPr>
        <w:t xml:space="preserve"> granular certificates.</w:t>
      </w:r>
    </w:p>
    <w:p w14:paraId="7D00011B" w14:textId="77777777" w:rsidR="0062357D" w:rsidRDefault="007E79DA">
      <w:pPr>
        <w:numPr>
          <w:ilvl w:val="0"/>
          <w:numId w:val="1"/>
        </w:numPr>
        <w:spacing w:after="60"/>
      </w:pPr>
      <w:r>
        <w:rPr>
          <w:b/>
          <w:bCs/>
          <w:sz w:val="21"/>
          <w:szCs w:val="21"/>
        </w:rPr>
        <w:t>Interoperable telemetry</w:t>
      </w:r>
      <w:r>
        <w:rPr>
          <w:sz w:val="21"/>
          <w:szCs w:val="21"/>
        </w:rPr>
        <w:t xml:space="preserve"> through proposed </w:t>
      </w:r>
      <w:proofErr w:type="spellStart"/>
      <w:r>
        <w:rPr>
          <w:sz w:val="21"/>
          <w:szCs w:val="21"/>
        </w:rPr>
        <w:t>OpenTelemetry</w:t>
      </w:r>
      <w:proofErr w:type="spellEnd"/>
      <w:r>
        <w:rPr>
          <w:sz w:val="21"/>
          <w:szCs w:val="21"/>
        </w:rPr>
        <w:t xml:space="preserve"> semantic conventions (§11), so the standard travels with existing observability tooling.</w:t>
      </w:r>
    </w:p>
    <w:p w14:paraId="7D00011C" w14:textId="77777777" w:rsidR="0062357D" w:rsidRDefault="007E79DA">
      <w:pPr>
        <w:numPr>
          <w:ilvl w:val="0"/>
          <w:numId w:val="1"/>
        </w:numPr>
        <w:spacing w:after="60"/>
      </w:pPr>
      <w:r>
        <w:rPr>
          <w:b/>
          <w:bCs/>
          <w:sz w:val="21"/>
          <w:szCs w:val="21"/>
        </w:rPr>
        <w:t>Open governance:</w:t>
      </w:r>
      <w:r>
        <w:rPr>
          <w:sz w:val="21"/>
          <w:szCs w:val="21"/>
        </w:rPr>
        <w:t xml:space="preserve"> versioned methodology, public comment, cited sources (Appendix A), and a path to adoption through standards bodies and industry groups.</w:t>
      </w:r>
    </w:p>
    <w:p w14:paraId="000002F7" w14:textId="77777777" w:rsidR="0062357D" w:rsidRDefault="007E79DA">
      <w:pPr>
        <w:pStyle w:val="Heading1"/>
        <w:spacing w:before="360" w:after="160"/>
      </w:pPr>
      <w:r>
        <w:rPr>
          <w:b/>
          <w:bCs/>
          <w:color w:val="0F4A2E"/>
          <w:sz w:val="30"/>
          <w:szCs w:val="30"/>
        </w:rPr>
        <w:t>Appendix A: Cited Sources</w:t>
      </w:r>
    </w:p>
    <w:p w14:paraId="000002F8" w14:textId="77777777" w:rsidR="0062357D" w:rsidRDefault="007E79DA">
      <w:pPr>
        <w:spacing w:after="140"/>
      </w:pPr>
      <w:r>
        <w:rPr>
          <w:sz w:val="21"/>
          <w:szCs w:val="21"/>
        </w:rPr>
        <w:t>Sources referenced in §8.5–§8.7 as of this draft. As stated in §8.4, the source list is versioned configuration and is expected to be updated as better data becomes available.</w:t>
      </w:r>
    </w:p>
    <w:p w14:paraId="000002F9" w14:textId="77777777" w:rsidR="0062357D" w:rsidRDefault="007E79DA">
      <w:pPr>
        <w:pStyle w:val="Heading3"/>
        <w:spacing w:before="200" w:after="100"/>
      </w:pPr>
      <w:r>
        <w:rPr>
          <w:b/>
          <w:bCs/>
          <w:color w:val="333333"/>
          <w:sz w:val="21"/>
          <w:szCs w:val="21"/>
        </w:rPr>
        <w:t>Energy-per-token / per-query research</w:t>
      </w:r>
    </w:p>
    <w:p w14:paraId="000002FA" w14:textId="77777777" w:rsidR="0062357D" w:rsidRDefault="007E79DA">
      <w:pPr>
        <w:spacing w:after="140"/>
      </w:pPr>
      <w:r>
        <w:rPr>
          <w:sz w:val="21"/>
          <w:szCs w:val="21"/>
        </w:rPr>
        <w:t>Oviedo, F. et al. “Energy Use of AI Inference, Efficiency Pathways, and Test-Time Scaling.” Joule (2026). DOI: 10.1016/j.joule.2026.102430; arXiv:2509.20241.</w:t>
      </w:r>
    </w:p>
    <w:p w14:paraId="000002FB" w14:textId="77777777" w:rsidR="0062357D" w:rsidRDefault="007E79DA">
      <w:pPr>
        <w:spacing w:after="140"/>
      </w:pPr>
      <w:r>
        <w:rPr>
          <w:sz w:val="21"/>
          <w:szCs w:val="21"/>
        </w:rPr>
        <w:t xml:space="preserve">You, J. “How much energy does </w:t>
      </w:r>
      <w:proofErr w:type="spellStart"/>
      <w:r>
        <w:rPr>
          <w:sz w:val="21"/>
          <w:szCs w:val="21"/>
        </w:rPr>
        <w:t>ChatGPT</w:t>
      </w:r>
      <w:proofErr w:type="spellEnd"/>
      <w:r>
        <w:rPr>
          <w:sz w:val="21"/>
          <w:szCs w:val="21"/>
        </w:rPr>
        <w:t xml:space="preserve"> use?” Epoch AI, Gradient Updates (2025). </w:t>
      </w:r>
      <w:proofErr w:type="spellStart"/>
      <w:r>
        <w:rPr>
          <w:sz w:val="21"/>
          <w:szCs w:val="21"/>
        </w:rPr>
        <w:t>epoch.ai</w:t>
      </w:r>
      <w:proofErr w:type="spellEnd"/>
      <w:r>
        <w:rPr>
          <w:sz w:val="21"/>
          <w:szCs w:val="21"/>
        </w:rPr>
        <w:t>/gradient-updates/how-much-energy-does-</w:t>
      </w:r>
      <w:proofErr w:type="spellStart"/>
      <w:r>
        <w:rPr>
          <w:sz w:val="21"/>
          <w:szCs w:val="21"/>
        </w:rPr>
        <w:t>chatgpt</w:t>
      </w:r>
      <w:proofErr w:type="spellEnd"/>
      <w:r>
        <w:rPr>
          <w:sz w:val="21"/>
          <w:szCs w:val="21"/>
        </w:rPr>
        <w:t>-use.</w:t>
      </w:r>
    </w:p>
    <w:p w14:paraId="000002FC" w14:textId="77777777" w:rsidR="0062357D" w:rsidRDefault="007E79DA">
      <w:pPr>
        <w:spacing w:after="140"/>
      </w:pPr>
      <w:r>
        <w:rPr>
          <w:sz w:val="21"/>
          <w:szCs w:val="21"/>
        </w:rPr>
        <w:t>Google. “Measuring the environmental impact of delivering AI at Google Scale.” (2026). arXiv:2508.15734.</w:t>
      </w:r>
    </w:p>
    <w:p w14:paraId="000002FD" w14:textId="77777777" w:rsidR="0062357D" w:rsidRDefault="007E79DA">
      <w:pPr>
        <w:spacing w:after="140"/>
      </w:pPr>
      <w:sdt>
        <w:sdtPr>
          <w:tag w:val="goog_rdk_15"/>
          <w:id w:val="-242708702"/>
        </w:sdtPr>
        <w:sdtEndPr/>
        <w:sdtContent>
          <w:r>
            <w:rPr>
              <w:rFonts w:ascii="Gungsuh" w:eastAsia="Gungsuh" w:hAnsi="Gungsuh" w:cs="Gungsuh"/>
              <w:sz w:val="21"/>
              <w:szCs w:val="21"/>
            </w:rPr>
            <w:t xml:space="preserve">De </w:t>
          </w:r>
          <w:proofErr w:type="spellStart"/>
          <w:r>
            <w:rPr>
              <w:rFonts w:ascii="Gungsuh" w:eastAsia="Gungsuh" w:hAnsi="Gungsuh" w:cs="Gungsuh"/>
              <w:sz w:val="21"/>
              <w:szCs w:val="21"/>
            </w:rPr>
            <w:t>Vries</w:t>
          </w:r>
          <w:proofErr w:type="spellEnd"/>
          <w:r>
            <w:rPr>
              <w:rFonts w:ascii="Gungsuh" w:eastAsia="Gungsuh" w:hAnsi="Gungsuh" w:cs="Gungsuh"/>
              <w:sz w:val="21"/>
              <w:szCs w:val="21"/>
            </w:rPr>
            <w:t xml:space="preserve">, A. “The growing energy footprint of artificial intelligence.” Joule (2023) — cited as the earlier, now-superseded ≈3 </w:t>
          </w:r>
          <w:proofErr w:type="spellStart"/>
          <w:r>
            <w:rPr>
              <w:rFonts w:ascii="Gungsuh" w:eastAsia="Gungsuh" w:hAnsi="Gungsuh" w:cs="Gungsuh"/>
              <w:sz w:val="21"/>
              <w:szCs w:val="21"/>
            </w:rPr>
            <w:t>Wh</w:t>
          </w:r>
          <w:proofErr w:type="spellEnd"/>
          <w:r>
            <w:rPr>
              <w:rFonts w:ascii="Gungsuh" w:eastAsia="Gungsuh" w:hAnsi="Gungsuh" w:cs="Gungsuh"/>
              <w:sz w:val="21"/>
              <w:szCs w:val="21"/>
            </w:rPr>
            <w:t>/prompt estimate.</w:t>
          </w:r>
        </w:sdtContent>
      </w:sdt>
    </w:p>
    <w:p w14:paraId="000002FE" w14:textId="77777777" w:rsidR="0062357D" w:rsidRDefault="007E79DA">
      <w:pPr>
        <w:spacing w:after="140"/>
      </w:pPr>
      <w:r>
        <w:rPr>
          <w:sz w:val="21"/>
          <w:szCs w:val="21"/>
        </w:rPr>
        <w:t xml:space="preserve">Wilhelm, P., </w:t>
      </w:r>
      <w:proofErr w:type="spellStart"/>
      <w:r>
        <w:rPr>
          <w:sz w:val="21"/>
          <w:szCs w:val="21"/>
        </w:rPr>
        <w:t>Wittkopp</w:t>
      </w:r>
      <w:proofErr w:type="spellEnd"/>
      <w:r>
        <w:rPr>
          <w:sz w:val="21"/>
          <w:szCs w:val="21"/>
        </w:rPr>
        <w:t xml:space="preserve">, T. &amp; Kao, O. “Beyond Test-Time Compute Strategies: Advocating Energy-per-Token in LLM Inference.” </w:t>
      </w:r>
      <w:proofErr w:type="spellStart"/>
      <w:r>
        <w:rPr>
          <w:sz w:val="21"/>
          <w:szCs w:val="21"/>
        </w:rPr>
        <w:t>EuroMLSys</w:t>
      </w:r>
      <w:proofErr w:type="spellEnd"/>
      <w:r>
        <w:rPr>
          <w:sz w:val="21"/>
          <w:szCs w:val="21"/>
        </w:rPr>
        <w:t xml:space="preserve"> '25, ACM. DOI: 10.1145/3721146.3721953.</w:t>
      </w:r>
    </w:p>
    <w:p w14:paraId="000002FF" w14:textId="77777777" w:rsidR="0062357D" w:rsidRDefault="007E79DA">
      <w:pPr>
        <w:spacing w:after="140"/>
      </w:pPr>
      <w:r>
        <w:rPr>
          <w:sz w:val="21"/>
          <w:szCs w:val="21"/>
        </w:rPr>
        <w:t>Chung, J. et al. “The ML.ENERGY Benchmark: Toward Automated Inference Energy Measurement and Optimization.” (2025). arXiv:2505.06371.</w:t>
      </w:r>
    </w:p>
    <w:p w14:paraId="00000300" w14:textId="77777777" w:rsidR="0062357D" w:rsidRDefault="007E79DA">
      <w:pPr>
        <w:spacing w:after="140"/>
      </w:pPr>
      <w:r>
        <w:rPr>
          <w:sz w:val="21"/>
          <w:szCs w:val="21"/>
        </w:rPr>
        <w:t>“Where Do the Joules Go? Diagnosing Inference Energy Consumption.” (2026). arXiv:2601.22076.</w:t>
      </w:r>
    </w:p>
    <w:p w14:paraId="00000301" w14:textId="77777777" w:rsidR="0062357D" w:rsidRDefault="007E79DA">
      <w:pPr>
        <w:spacing w:after="140"/>
      </w:pPr>
      <w:proofErr w:type="spellStart"/>
      <w:r>
        <w:rPr>
          <w:sz w:val="21"/>
          <w:szCs w:val="21"/>
        </w:rPr>
        <w:t>Niu</w:t>
      </w:r>
      <w:proofErr w:type="spellEnd"/>
      <w:r>
        <w:rPr>
          <w:sz w:val="21"/>
          <w:szCs w:val="21"/>
        </w:rPr>
        <w:t>, C., Zhang, W., Li, J., Zhao, Y., Wang, T., Wang, X. &amp; Chen, Y. “</w:t>
      </w:r>
      <w:proofErr w:type="spellStart"/>
      <w:r>
        <w:rPr>
          <w:sz w:val="21"/>
          <w:szCs w:val="21"/>
        </w:rPr>
        <w:t>TokenPowerBench</w:t>
      </w:r>
      <w:proofErr w:type="spellEnd"/>
      <w:r>
        <w:rPr>
          <w:sz w:val="21"/>
          <w:szCs w:val="21"/>
        </w:rPr>
        <w:t>: Benchmarking the Power Consumption of LLM Inference.” AAAI Conference on Artificial Intelligence, Vol. 40 (2026), pp. 32582–32590.</w:t>
      </w:r>
    </w:p>
    <w:p w14:paraId="00000302" w14:textId="77777777" w:rsidR="0062357D" w:rsidRDefault="007E79DA">
      <w:pPr>
        <w:spacing w:after="140"/>
      </w:pPr>
      <w:proofErr w:type="spellStart"/>
      <w:r>
        <w:rPr>
          <w:sz w:val="21"/>
          <w:szCs w:val="21"/>
        </w:rPr>
        <w:t>Samsi</w:t>
      </w:r>
      <w:proofErr w:type="spellEnd"/>
      <w:r>
        <w:rPr>
          <w:sz w:val="21"/>
          <w:szCs w:val="21"/>
        </w:rPr>
        <w:t>, S. et al. “From Words to Watts: Benchmarking the Energy Costs of Large Language Model Inference.” IEEE High Performance Extreme Computing Conference (2023). arXiv:2310.03003.</w:t>
      </w:r>
    </w:p>
    <w:p w14:paraId="00000303" w14:textId="77777777" w:rsidR="0062357D" w:rsidRDefault="007E79DA">
      <w:pPr>
        <w:spacing w:after="140"/>
      </w:pPr>
      <w:r>
        <w:rPr>
          <w:sz w:val="21"/>
          <w:szCs w:val="21"/>
        </w:rPr>
        <w:t>John Snow Labs. “Tokens per Joule: How to Quantify and Reduce the Energy Footprint of Clinical LLM Inference.” (2026).</w:t>
      </w:r>
    </w:p>
    <w:p w14:paraId="00000304" w14:textId="77777777" w:rsidR="0062357D" w:rsidRDefault="007E79DA">
      <w:pPr>
        <w:pStyle w:val="Heading3"/>
        <w:spacing w:before="200" w:after="100"/>
      </w:pPr>
      <w:r>
        <w:rPr>
          <w:b/>
          <w:bCs/>
          <w:color w:val="333333"/>
          <w:sz w:val="21"/>
          <w:szCs w:val="21"/>
        </w:rPr>
        <w:t>Electricity price and grid data</w:t>
      </w:r>
    </w:p>
    <w:p w14:paraId="00000305" w14:textId="77777777" w:rsidR="0062357D" w:rsidRDefault="007E79DA">
      <w:pPr>
        <w:spacing w:after="140"/>
      </w:pPr>
      <w:r>
        <w:rPr>
          <w:sz w:val="21"/>
          <w:szCs w:val="21"/>
        </w:rPr>
        <w:t>U.S. Energy Information Administration (EIA). Electric Power Monthly, Table 5.6.A (commercial electricity rates by state). eia.gov.</w:t>
      </w:r>
    </w:p>
    <w:p w14:paraId="00000306" w14:textId="77777777" w:rsidR="0062357D" w:rsidRDefault="007E79DA">
      <w:pPr>
        <w:spacing w:after="140"/>
      </w:pPr>
      <w:r>
        <w:rPr>
          <w:sz w:val="21"/>
          <w:szCs w:val="21"/>
        </w:rPr>
        <w:t>U.S. Energy Information Administration (EIA). Electricity Retail Sales, Form EIA-826 (industrial sector). eia.gov.</w:t>
      </w:r>
    </w:p>
    <w:p w14:paraId="00000307" w14:textId="77777777" w:rsidR="0062357D" w:rsidRDefault="007E79DA">
      <w:pPr>
        <w:spacing w:after="140"/>
      </w:pPr>
      <w:r>
        <w:rPr>
          <w:sz w:val="21"/>
          <w:szCs w:val="21"/>
        </w:rPr>
        <w:t>U.S. Energy Information Administration (EIA). Hourly Electric Grid Monitor and Open Data API. eia.gov/opendata; eia.gov/electricity/gridmonitor.</w:t>
      </w:r>
    </w:p>
    <w:p w14:paraId="00000308" w14:textId="77777777" w:rsidR="0062357D" w:rsidRDefault="007E79DA">
      <w:pPr>
        <w:spacing w:after="140"/>
      </w:pPr>
      <w:r>
        <w:rPr>
          <w:sz w:val="21"/>
          <w:szCs w:val="21"/>
        </w:rPr>
        <w:t>U.S. Energy Information Administration (EIA) wholesale price data, cited via Utility Dive, “Average US electricity prices rose 9% year over year in February.” (Apr 2026).</w:t>
      </w:r>
    </w:p>
    <w:p w14:paraId="00000309" w14:textId="77777777" w:rsidR="0062357D" w:rsidRDefault="007E79DA">
      <w:pPr>
        <w:spacing w:after="140"/>
      </w:pPr>
      <w:r>
        <w:rPr>
          <w:sz w:val="21"/>
          <w:szCs w:val="21"/>
        </w:rPr>
        <w:t>Electricity Maps. Developer Hub API documentation (real-time and day-ahead carbon intensity and price signals). app.electricitymaps.com/developer-hub.</w:t>
      </w:r>
    </w:p>
    <w:p w14:paraId="0000030A" w14:textId="77777777" w:rsidR="0062357D" w:rsidRDefault="007E79DA">
      <w:pPr>
        <w:spacing w:after="140"/>
      </w:pPr>
      <w:r>
        <w:rPr>
          <w:sz w:val="21"/>
          <w:szCs w:val="21"/>
        </w:rPr>
        <w:t xml:space="preserve">ENTSO-E Transparency Platform (European day-ahead electricity prices by bidding zone). </w:t>
      </w:r>
      <w:proofErr w:type="spellStart"/>
      <w:r>
        <w:rPr>
          <w:sz w:val="21"/>
          <w:szCs w:val="21"/>
        </w:rPr>
        <w:t>transparency.entsoe.eu</w:t>
      </w:r>
      <w:proofErr w:type="spellEnd"/>
      <w:r>
        <w:rPr>
          <w:sz w:val="21"/>
          <w:szCs w:val="21"/>
        </w:rPr>
        <w:t>.</w:t>
      </w:r>
    </w:p>
    <w:p w14:paraId="0000030B" w14:textId="77777777" w:rsidR="0062357D" w:rsidRDefault="007E79DA">
      <w:pPr>
        <w:spacing w:after="140"/>
      </w:pPr>
      <w:r>
        <w:rPr>
          <w:sz w:val="21"/>
          <w:szCs w:val="21"/>
        </w:rPr>
        <w:t>International Energy Agency (IEA). “Energy and AI.” Special Report (2025). iea.org/reports/energy-and-ai.</w:t>
      </w:r>
    </w:p>
    <w:p w14:paraId="0000030C" w14:textId="77777777" w:rsidR="0062357D" w:rsidRDefault="007E79DA">
      <w:pPr>
        <w:spacing w:after="140"/>
      </w:pPr>
      <w:r>
        <w:rPr>
          <w:sz w:val="21"/>
          <w:szCs w:val="21"/>
        </w:rPr>
        <w:t>International Energy Agency (IEA). Real-Time Electricity Tracker. iea.org/data-and-statistics/data-tools/real-time-electricity-tracker.</w:t>
      </w:r>
    </w:p>
    <w:p w14:paraId="0000030D" w14:textId="77777777" w:rsidR="0062357D" w:rsidRDefault="007E79DA">
      <w:pPr>
        <w:spacing w:after="140"/>
      </w:pPr>
      <w:proofErr w:type="spellStart"/>
      <w:r>
        <w:rPr>
          <w:sz w:val="21"/>
          <w:szCs w:val="21"/>
        </w:rPr>
        <w:t>WattTime</w:t>
      </w:r>
      <w:proofErr w:type="spellEnd"/>
      <w:r>
        <w:rPr>
          <w:sz w:val="21"/>
          <w:szCs w:val="21"/>
        </w:rPr>
        <w:t>. Data API (real-time marginal emissions signals). watttime.org.</w:t>
      </w:r>
    </w:p>
    <w:p w14:paraId="7C000040" w14:textId="77777777" w:rsidR="0062357D" w:rsidRDefault="007E79DA">
      <w:pPr>
        <w:pStyle w:val="Heading3"/>
        <w:spacing w:before="200" w:after="100"/>
      </w:pPr>
      <w:r>
        <w:rPr>
          <w:b/>
          <w:bCs/>
          <w:color w:val="333333"/>
          <w:sz w:val="21"/>
          <w:szCs w:val="21"/>
        </w:rPr>
        <w:t>Lifecycle, training and embodied emissions (§8.8)</w:t>
      </w:r>
    </w:p>
    <w:p w14:paraId="7C000041" w14:textId="77777777" w:rsidR="0062357D" w:rsidRDefault="007E79DA">
      <w:pPr>
        <w:spacing w:after="140"/>
      </w:pPr>
      <w:r>
        <w:rPr>
          <w:sz w:val="21"/>
          <w:szCs w:val="21"/>
        </w:rPr>
        <w:t>Mistral AI. “Our contribution to a global environmental standard for AI.” July 22, 2025 (lifecycle analysis with Carbone 4 and ADEME). mistral.ai/news/our-contribution-to-a-global-environmental-standard-for-ai.</w:t>
      </w:r>
    </w:p>
    <w:p w14:paraId="7C000042" w14:textId="77777777" w:rsidR="0062357D" w:rsidRDefault="007E79DA">
      <w:pPr>
        <w:spacing w:after="140"/>
      </w:pPr>
      <w:proofErr w:type="spellStart"/>
      <w:r>
        <w:rPr>
          <w:sz w:val="21"/>
          <w:szCs w:val="21"/>
        </w:rPr>
        <w:t>Elsworth</w:t>
      </w:r>
      <w:proofErr w:type="spellEnd"/>
      <w:r>
        <w:rPr>
          <w:sz w:val="21"/>
          <w:szCs w:val="21"/>
        </w:rPr>
        <w:t>, C. et al. “Measuring the environmental impact of delivering AI at Google Scale.” Google (Aug 2025). arXiv:2508.15734.</w:t>
      </w:r>
    </w:p>
    <w:p w14:paraId="7C000043" w14:textId="77777777" w:rsidR="0062357D" w:rsidRDefault="007E79DA">
      <w:pPr>
        <w:spacing w:after="140"/>
      </w:pPr>
      <w:r>
        <w:rPr>
          <w:sz w:val="21"/>
          <w:szCs w:val="21"/>
        </w:rPr>
        <w:t xml:space="preserve">Meta. Llama 3.1 model card: Training Greenhouse Gas Emissions (Jul 2024). </w:t>
      </w:r>
      <w:proofErr w:type="spellStart"/>
      <w:r>
        <w:rPr>
          <w:sz w:val="21"/>
          <w:szCs w:val="21"/>
        </w:rPr>
        <w:t>huggingface.co</w:t>
      </w:r>
      <w:proofErr w:type="spellEnd"/>
      <w:r>
        <w:rPr>
          <w:sz w:val="21"/>
          <w:szCs w:val="21"/>
        </w:rPr>
        <w:t>/meta-llama.</w:t>
      </w:r>
    </w:p>
    <w:p w14:paraId="7C000044" w14:textId="77777777" w:rsidR="0062357D" w:rsidRDefault="007E79DA">
      <w:pPr>
        <w:spacing w:after="140"/>
      </w:pPr>
      <w:proofErr w:type="spellStart"/>
      <w:r>
        <w:rPr>
          <w:sz w:val="21"/>
          <w:szCs w:val="21"/>
        </w:rPr>
        <w:t>Luccioni</w:t>
      </w:r>
      <w:proofErr w:type="spellEnd"/>
      <w:r>
        <w:rPr>
          <w:sz w:val="21"/>
          <w:szCs w:val="21"/>
        </w:rPr>
        <w:t xml:space="preserve">, A. S., </w:t>
      </w:r>
      <w:proofErr w:type="spellStart"/>
      <w:r>
        <w:rPr>
          <w:sz w:val="21"/>
          <w:szCs w:val="21"/>
        </w:rPr>
        <w:t>Viguier</w:t>
      </w:r>
      <w:proofErr w:type="spellEnd"/>
      <w:r>
        <w:rPr>
          <w:sz w:val="21"/>
          <w:szCs w:val="21"/>
        </w:rPr>
        <w:t xml:space="preserve">, S., </w:t>
      </w:r>
      <w:proofErr w:type="spellStart"/>
      <w:r>
        <w:rPr>
          <w:sz w:val="21"/>
          <w:szCs w:val="21"/>
        </w:rPr>
        <w:t>Ligozat</w:t>
      </w:r>
      <w:proofErr w:type="spellEnd"/>
      <w:r>
        <w:rPr>
          <w:sz w:val="21"/>
          <w:szCs w:val="21"/>
        </w:rPr>
        <w:t>, A.-L. “Estimating the Carbon Footprint of BLOOM, a 176B Parameter Language Model.” JMLR (2023).</w:t>
      </w:r>
    </w:p>
    <w:p w14:paraId="7C000045" w14:textId="77777777" w:rsidR="0062357D" w:rsidRDefault="007E79DA">
      <w:pPr>
        <w:spacing w:after="140"/>
      </w:pPr>
      <w:r>
        <w:rPr>
          <w:sz w:val="21"/>
          <w:szCs w:val="21"/>
        </w:rPr>
        <w:t>NVIDIA. Product Carbon Footprint summaries, HGX H100 and HGX B200 (2025); “NVIDIA HGX B200 Reduces Embodied Carbon Emissions Intensity.” developer.nvidia.com.</w:t>
      </w:r>
    </w:p>
    <w:p w14:paraId="7C000046" w14:textId="77777777" w:rsidR="0062357D" w:rsidRDefault="007E79DA">
      <w:pPr>
        <w:spacing w:after="140"/>
      </w:pPr>
      <w:r>
        <w:rPr>
          <w:sz w:val="21"/>
          <w:szCs w:val="21"/>
        </w:rPr>
        <w:t xml:space="preserve">Falk, S. et al. “More than carbon: Cradle-to-grave environmental impacts of </w:t>
      </w:r>
      <w:proofErr w:type="spellStart"/>
      <w:r>
        <w:rPr>
          <w:sz w:val="21"/>
          <w:szCs w:val="21"/>
        </w:rPr>
        <w:t>GenAI</w:t>
      </w:r>
      <w:proofErr w:type="spellEnd"/>
      <w:r>
        <w:rPr>
          <w:sz w:val="21"/>
          <w:szCs w:val="21"/>
        </w:rPr>
        <w:t xml:space="preserve"> training on the </w:t>
      </w:r>
      <w:proofErr w:type="spellStart"/>
      <w:r>
        <w:rPr>
          <w:sz w:val="21"/>
          <w:szCs w:val="21"/>
        </w:rPr>
        <w:t>Nvidia</w:t>
      </w:r>
      <w:proofErr w:type="spellEnd"/>
      <w:r>
        <w:rPr>
          <w:sz w:val="21"/>
          <w:szCs w:val="21"/>
        </w:rPr>
        <w:t xml:space="preserve"> A100 GPU.” Environmental Impact Assessment Review (2026). sciencedirect.com.</w:t>
      </w:r>
    </w:p>
    <w:p w14:paraId="7D00011D" w14:textId="77777777" w:rsidR="0062357D" w:rsidRDefault="007E79DA">
      <w:pPr>
        <w:pStyle w:val="Heading3"/>
        <w:spacing w:before="200" w:after="100"/>
      </w:pPr>
      <w:r>
        <w:rPr>
          <w:b/>
          <w:bCs/>
          <w:color w:val="333333"/>
          <w:sz w:val="21"/>
          <w:szCs w:val="21"/>
        </w:rPr>
        <w:t>Multi-attribute credits and measurement standards (§22)</w:t>
      </w:r>
    </w:p>
    <w:p w14:paraId="7D00011E" w14:textId="77777777" w:rsidR="0062357D" w:rsidRDefault="007E79DA">
      <w:pPr>
        <w:spacing w:after="140"/>
      </w:pPr>
      <w:r>
        <w:rPr>
          <w:sz w:val="21"/>
          <w:szCs w:val="21"/>
        </w:rPr>
        <w:t>Bonneville Environmental Foundation. Water Restoration Certificates program. b-e-f.org/programs/water-restoration-certificates.</w:t>
      </w:r>
    </w:p>
    <w:p w14:paraId="7D00011F" w14:textId="77777777" w:rsidR="0062357D" w:rsidRDefault="007E79DA">
      <w:pPr>
        <w:spacing w:after="140"/>
      </w:pPr>
      <w:r>
        <w:rPr>
          <w:sz w:val="21"/>
          <w:szCs w:val="21"/>
        </w:rPr>
        <w:t>World Resources Institute. Volumetric Water Benefit Accounting (VWBA) 2.0.</w:t>
      </w:r>
    </w:p>
    <w:p w14:paraId="7D000120" w14:textId="77777777" w:rsidR="0062357D" w:rsidRDefault="007E79DA">
      <w:pPr>
        <w:spacing w:after="140"/>
      </w:pPr>
      <w:r>
        <w:rPr>
          <w:sz w:val="21"/>
          <w:szCs w:val="21"/>
        </w:rPr>
        <w:t xml:space="preserve">ISO/IEC 30134-6:2021. Data </w:t>
      </w:r>
      <w:proofErr w:type="spellStart"/>
      <w:r>
        <w:rPr>
          <w:sz w:val="21"/>
          <w:szCs w:val="21"/>
        </w:rPr>
        <w:t>centres</w:t>
      </w:r>
      <w:proofErr w:type="spellEnd"/>
      <w:r>
        <w:rPr>
          <w:sz w:val="21"/>
          <w:szCs w:val="21"/>
        </w:rPr>
        <w:t xml:space="preserve"> key performance indicators, Part 6: Energy Reuse Factor (ERF). iso.org/standard/71717.html.</w:t>
      </w:r>
    </w:p>
    <w:p w14:paraId="7D000121" w14:textId="77777777" w:rsidR="0062357D" w:rsidRDefault="007E79DA">
      <w:pPr>
        <w:spacing w:after="140"/>
      </w:pPr>
      <w:r>
        <w:rPr>
          <w:sz w:val="21"/>
          <w:szCs w:val="21"/>
        </w:rPr>
        <w:t>Germany. Energy Efficiency Act (</w:t>
      </w:r>
      <w:proofErr w:type="spellStart"/>
      <w:r>
        <w:rPr>
          <w:sz w:val="21"/>
          <w:szCs w:val="21"/>
        </w:rPr>
        <w:t>Energieeffizienzgesetz</w:t>
      </w:r>
      <w:proofErr w:type="spellEnd"/>
      <w:r>
        <w:rPr>
          <w:sz w:val="21"/>
          <w:szCs w:val="21"/>
        </w:rPr>
        <w:t xml:space="preserve">, </w:t>
      </w:r>
      <w:proofErr w:type="spellStart"/>
      <w:r>
        <w:rPr>
          <w:sz w:val="21"/>
          <w:szCs w:val="21"/>
        </w:rPr>
        <w:t>EnEfG</w:t>
      </w:r>
      <w:proofErr w:type="spellEnd"/>
      <w:r>
        <w:rPr>
          <w:sz w:val="21"/>
          <w:szCs w:val="21"/>
        </w:rPr>
        <w:t>), 2023: data-center ERF requirements.</w:t>
      </w:r>
    </w:p>
    <w:p w14:paraId="7D000122" w14:textId="77777777" w:rsidR="0062357D" w:rsidRDefault="007E79DA">
      <w:pPr>
        <w:spacing w:after="140"/>
      </w:pPr>
      <w:proofErr w:type="spellStart"/>
      <w:r>
        <w:rPr>
          <w:sz w:val="21"/>
          <w:szCs w:val="21"/>
        </w:rPr>
        <w:t>EnergyTag</w:t>
      </w:r>
      <w:proofErr w:type="spellEnd"/>
      <w:r>
        <w:rPr>
          <w:sz w:val="21"/>
          <w:szCs w:val="21"/>
        </w:rPr>
        <w:t>. Granular Certificate Scheme Standard; I-TRACK Foundation (I-REC Standard) endorsement. trackingstandard.org.</w:t>
      </w:r>
    </w:p>
    <w:p w14:paraId="7D000123" w14:textId="77777777" w:rsidR="0062357D" w:rsidRDefault="007E79DA">
      <w:pPr>
        <w:spacing w:after="140"/>
      </w:pPr>
      <w:proofErr w:type="spellStart"/>
      <w:r>
        <w:rPr>
          <w:sz w:val="21"/>
          <w:szCs w:val="21"/>
        </w:rPr>
        <w:t>Verra</w:t>
      </w:r>
      <w:proofErr w:type="spellEnd"/>
      <w:r>
        <w:rPr>
          <w:sz w:val="21"/>
          <w:szCs w:val="21"/>
        </w:rPr>
        <w:t>. Plastic Waste Reduction Standard. verra.org.</w:t>
      </w:r>
    </w:p>
    <w:sectPr w:rsidR="0062357D">
      <w:pgSz w:w="12240" w:h="15840"/>
      <w:pgMar w:top="1080" w:right="1260" w:bottom="1080" w:left="12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es Finkelstein" w:date="2026-09-01T06:37:00Z" w:initials="">
    <w:p w14:paraId="0000030E" w14:textId="77777777" w:rsidR="0062357D" w:rsidRDefault="007E79D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@jack@aifore.org plese scan over this one - significant changes based on your feedback and more thinking on my part...</w:t>
      </w:r>
    </w:p>
    <w:p w14:paraId="0000030F" w14:textId="77777777" w:rsidR="0062357D" w:rsidRDefault="007E79DA">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_Assigned to jack@aifore.org_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0F" w16cid:durableId="000003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1" w:fontKey="{FDA63713-DEC2-8C41-9D8C-87D003B76123}"/>
    <w:embedBold r:id="rId2" w:fontKey="{3D6E26B4-576F-4240-86E2-37C3D3198A9F}"/>
    <w:embedItalic r:id="rId3" w:fontKey="{34F44F3C-CF79-BB41-9C42-4A13BD70B02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1667E"/>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6987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57D"/>
    <w:rsid w:val="001778EC"/>
    <w:rsid w:val="0062357D"/>
    <w:rsid w:val="007E79DA"/>
    <w:rsid w:val="009C4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3159A4C-E248-CC41-9DB5-3AE48EADA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 /><Relationship Id="rId13" Type="http://schemas.openxmlformats.org/officeDocument/2006/relationships/image" Target="media/image5.png" /><Relationship Id="rId3" Type="http://schemas.openxmlformats.org/officeDocument/2006/relationships/styles" Target="styles.xml" /><Relationship Id="rId7" Type="http://schemas.microsoft.com/office/2011/relationships/commentsExtended" Target="commentsExtended.xml" /><Relationship Id="rId12" Type="http://schemas.openxmlformats.org/officeDocument/2006/relationships/image" Target="media/image4.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comments" Target="comment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gWZ4aI2+dnSUdrfqUhRrWxIQ==">CgMxLjAaJwoBMBIiCiAIBCocCgtBQUFDR1N4X3hmVRAIGgtBQUFDR1N4X3hmV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18430</Words>
  <Characters>105055</Characters>
  <Application>Microsoft Office Word</Application>
  <DocSecurity>0</DocSecurity>
  <Lines>875</Lines>
  <Paragraphs>246</Paragraphs>
  <ScaleCrop>false</ScaleCrop>
  <Company/>
  <LinksUpToDate>false</LinksUpToDate>
  <CharactersWithSpaces>123239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Finkelstein</cp:lastModifiedBy>
  <cp:revision>2</cp:revision>
  <dcterms:created xsi:type="dcterms:W3CDTF">2026-09-24T18:42:00Z</dcterms:created>
  <dcterms:modified xsi:type="dcterms:W3CDTF">2026-09-24T18:42:00Z</dcterms:modified>
</cp:coreProperties>
</file>