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sdt>
        <w:sdtPr>
          <w:id w:val="794165766"/>
          <w:tag w:val="goog_rdk_0"/>
        </w:sdtPr>
        <w:sdtContent>
          <w:commentRangeStart w:id="0"/>
        </w:sdtContent>
      </w:sdt>
      <w:r>
        <w:rPr>
          <w:rtl w:val="0"/>
        </w:rPr>
      </w:r>
    </w:p>
    <w:p w:rsidR="00000000" w:rsidDel="00000000" w:rsidP="00000000" w:rsidRDefault="00000000" w:rsidRPr="00000000" w14:paraId="00000002">
      <w:pPr>
        <w:jc w:val="center"/>
        <w:rPr/>
      </w:pPr>
      <w:commentRangeEnd w:id="0"/>
      <w:r>
        <w:commentReference w:id="0"/>
      </w:r>
      <w:r>
        <w:rPr>
          <w:b w:val="1"/>
          <w:bCs w:val="1"/>
          <w:color w:val="0f4a2e"/>
          <w:sz w:val="44"/>
          <w:szCs w:val="44"/>
          <w:rtl w:val="0"/>
        </w:rPr>
        <w:t xml:space="preserve">AIForE Sustainable Ecosystems SDK with Telemetry for Big Data</w:t>
      </w:r>
      <w:r>
        <w:rPr>
          <w:rtl w:val="0"/>
        </w:rPr>
      </w:r>
    </w:p>
    <w:p w:rsidR="00000000" w:rsidDel="00000000" w:rsidP="00000000" w:rsidRDefault="00000000" w:rsidRPr="00000000" w14:paraId="00000003">
      <w:pPr>
        <w:spacing w:after="60" w:before="120" w:lineRule="auto"/>
        <w:jc w:val="center"/>
        <w:rPr/>
      </w:pPr>
      <w:r>
        <w:rPr>
          <w:b w:val="1"/>
          <w:bCs w:val="1"/>
          <w:i w:val="1"/>
          <w:iCs w:val="1"/>
          <w:color w:val="1e7a4c"/>
          <w:sz w:val="32"/>
          <w:szCs w:val="32"/>
          <w:rtl w:val="0"/>
        </w:rPr>
        <w:t xml:space="preserve">Code Name: STARDUST</w:t>
      </w:r>
      <w:r>
        <w:rPr>
          <w:rtl w:val="0"/>
        </w:rPr>
      </w:r>
    </w:p>
    <w:p w:rsidR="00000000" w:rsidDel="00000000" w:rsidP="00000000" w:rsidRDefault="00000000" w:rsidRPr="00000000" w14:paraId="00000004">
      <w:pPr>
        <w:spacing w:before="200" w:lineRule="auto"/>
        <w:jc w:val="center"/>
        <w:rPr/>
      </w:pPr>
      <w:r>
        <w:rPr>
          <w:color w:val="5a5a5a"/>
          <w:sz w:val="24"/>
          <w:szCs w:val="24"/>
          <w:rtl w:val="0"/>
        </w:rPr>
        <w:t xml:space="preserve">Product Specification — v1.4 (Draft)</w:t>
      </w:r>
      <w:r>
        <w:rPr>
          <w:rtl w:val="0"/>
        </w:rPr>
      </w:r>
    </w:p>
    <w:p w:rsidR="00000000" w:rsidDel="00000000" w:rsidP="00000000" w:rsidRDefault="00000000" w:rsidRPr="00000000" w14:paraId="00000005">
      <w:pPr>
        <w:spacing w:before="40" w:lineRule="auto"/>
        <w:jc w:val="center"/>
        <w:rPr/>
      </w:pPr>
      <w:r>
        <w:rPr>
          <w:color w:val="5a5a5a"/>
          <w:sz w:val="22"/>
          <w:szCs w:val="22"/>
          <w:rtl w:val="0"/>
        </w:rPr>
        <w:t xml:space="preserve">AI for Ecology (AIforE.org)</w:t>
      </w:r>
      <w:r>
        <w:rPr>
          <w:rtl w:val="0"/>
        </w:rPr>
      </w:r>
    </w:p>
    <w:p w:rsidR="00000000" w:rsidDel="00000000" w:rsidP="00000000" w:rsidRDefault="00000000" w:rsidRPr="00000000" w14:paraId="00000006">
      <w:pPr>
        <w:spacing w:before="40" w:lineRule="auto"/>
        <w:jc w:val="center"/>
        <w:rPr/>
      </w:pPr>
      <w:r>
        <w:rPr>
          <w:color w:val="5a5a5a"/>
          <w:sz w:val="20"/>
          <w:szCs w:val="20"/>
          <w:rtl w:val="0"/>
        </w:rPr>
        <w:t xml:space="preserve">Prepared for Charles Finkelstein, President &amp; Chairman</w:t>
      </w:r>
      <w:r>
        <w:rPr>
          <w:rtl w:val="0"/>
        </w:rPr>
      </w:r>
    </w:p>
    <w:p w:rsidR="00000000" w:rsidDel="00000000" w:rsidP="00000000" w:rsidRDefault="00000000" w:rsidRPr="00000000" w14:paraId="00000007">
      <w:pPr>
        <w:spacing w:before="40" w:lineRule="auto"/>
        <w:jc w:val="center"/>
        <w:rPr/>
      </w:pPr>
      <w:r>
        <w:rPr>
          <w:color w:val="5a5a5a"/>
          <w:sz w:val="20"/>
          <w:szCs w:val="20"/>
          <w:rtl w:val="0"/>
        </w:rPr>
        <w:t xml:space="preserve">August 2026</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10D8">
      <w:pPr>
        <w:spacing w:after="360" w:before="0" w:lineRule="auto"/>
        <w:jc w:val="center"/>
        <w:rPr/>
      </w:pPr>
      <w:r>
        <w:rPr>
          <w:b w:val="1"/>
          <w:bCs w:val="1"/>
          <w:color w:val="0f4a2e"/>
          <w:sz w:val="34"/>
          <w:szCs w:val="34"/>
          <w:rtl w:val="0"/>
        </w:rPr>
        <w:t xml:space="preserve">Table of Contents</w:t>
      </w:r>
      <w:r>
        <w:rPr>
          <w:rtl w:val="0"/>
        </w:rPr>
      </w:r>
    </w:p>
    <w:sdt>
      <w:sdtPr>
        <w:id w:val="1000001"/>
        <w:docPartObj>
          <w:docPartGallery w:val="Table of Contents"/>
          <w:docPartUnique/>
        </w:docPartObj>
      </w:sdtPr>
      <w:sdtContent>
        <w:p w:rsidR="00000000" w:rsidDel="00000000" w:rsidP="00000000" w:rsidRDefault="00000000" w:rsidRPr="00000000" w14:paraId="000010D9">
          <w:pPr>
            <w:spacing w:after="140" w:lineRule="auto"/>
            <w:rPr/>
          </w:pPr>
          <w:r>
            <w:rPr>
              <w:sz w:val="21"/>
              <w:szCs w:val="21"/>
              <w:rtl w:val="0"/>
            </w:rPr>
            <w:fldChar w:fldCharType="begin" w:dirty="true"/>
            <w:instrText xml:space="preserve"> TOC \o "1-3" \h \z \u </w:instrText>
            <w:fldChar w:fldCharType="separate"/>
          </w:r>
          <w:r>
            <w:rPr>
              <w:i w:val="1"/>
              <w:iCs w:val="1"/>
              <w:color w:val="808080"/>
              <w:sz w:val="21"/>
              <w:szCs w:val="21"/>
              <w:rtl w:val="0"/>
            </w:rPr>
            <w:t xml:space="preserve">Right-click and choose “Update Field” (or press F9) to generate the table of contents with page numbers and clickable links.</w:t>
          </w:r>
          <w:r>
            <w:rPr>
              <w:sz w:val="21"/>
              <w:szCs w:val="21"/>
              <w:rtl w:val="0"/>
            </w:rPr>
            <w:fldChar w:fldCharType="end"/>
          </w:r>
        </w:p>
      </w:sdtContent>
    </w:sdt>
    <w:p w:rsidR="00000000" w:rsidDel="00000000" w:rsidP="00000000" w:rsidRDefault="00000000" w:rsidRPr="00000000" w14:paraId="000010DB">
      <w:pPr>
        <w:rPr/>
      </w:pPr>
      <w:r>
        <w:br w:type="page"/>
      </w:r>
      <w:r>
        <w:rPr>
          <w:rtl w:val="0"/>
        </w:rPr>
      </w:r>
    </w:p>
    <w:p w:rsidR="00000000" w:rsidDel="00000000" w:rsidP="00000000" w:rsidRDefault="00000000" w:rsidRPr="00000000" w14:paraId="00000009">
      <w:pPr>
        <w:pStyle w:val="Heading1"/>
        <w:spacing w:after="160" w:before="360" w:lineRule="auto"/>
        <w:rPr/>
      </w:pPr>
      <w:r>
        <w:rPr>
          <w:b w:val="1"/>
          <w:bCs w:val="1"/>
          <w:color w:val="0f4a2e"/>
          <w:sz w:val="30"/>
          <w:szCs w:val="30"/>
          <w:rtl w:val="0"/>
        </w:rPr>
        <w:t xml:space="preserve">1. Executive Summary</w:t>
      </w:r>
      <w:r>
        <w:rPr>
          <w:rtl w:val="0"/>
        </w:rPr>
      </w:r>
    </w:p>
    <w:p w:rsidR="00000000" w:rsidDel="00000000" w:rsidP="00000000" w:rsidRDefault="00000000" w:rsidRPr="00000000" w14:paraId="0000000A">
      <w:pPr>
        <w:spacing w:after="140" w:lineRule="auto"/>
        <w:rPr/>
      </w:pPr>
      <w:r>
        <w:rPr>
          <w:sz w:val="21"/>
          <w:szCs w:val="21"/>
          <w:rtl w:val="0"/>
        </w:rPr>
        <w:t xml:space="preserve">Stardust is a universal usage-and-impact metering layer for AI and cloud computing. It is delivered as a family of pluggable clients — an AI-chat-app plugin, a cross-browser extension, and an infrastructure-level SDK/agent — that all report into a common Stardust measurement core. Wherever a token is generated, a query is run, or a cloud resource is consumed, Stardust captures what was used, what it cost, and what it cost the planet, then renders that back to the user as a compact alphanumeric indicator and a richer visual breakdown.</w:t>
      </w:r>
      <w:r>
        <w:rPr>
          <w:rtl w:val="0"/>
        </w:rPr>
      </w:r>
    </w:p>
    <w:p w:rsidR="00000000" w:rsidDel="00000000" w:rsidP="00000000" w:rsidRDefault="00000000" w:rsidRPr="00000000" w14:paraId="0000000B">
      <w:pPr>
        <w:spacing w:after="140" w:lineRule="auto"/>
        <w:rPr/>
      </w:pPr>
      <w:r>
        <w:rPr>
          <w:sz w:val="21"/>
          <w:szCs w:val="21"/>
          <w:rtl w:val="0"/>
        </w:rPr>
        <w:t xml:space="preserve">Stardust operationalizes AIforE's mission of building AI sustainability certification standards and universal energy-efficiency benchmarks. It is the metering backbone that the existing AIforE token-cost calculator prototype and 'Project 1' browser plug-in concept were the first sketch of, expanded here into a full cross-surface specification, and it is designed to interoperate with (but remain independent of) third-party remediation and offset marketplaces.</w:t>
      </w:r>
      <w:r>
        <w:rPr>
          <w:rtl w:val="0"/>
        </w:rPr>
      </w:r>
    </w:p>
    <w:p w:rsidR="00000000" w:rsidDel="00000000" w:rsidP="00000000" w:rsidRDefault="00000000" w:rsidRPr="00000000" w14:paraId="00003001">
      <w:pPr>
        <w:spacing w:after="140" w:lineRule="auto"/>
        <w:rPr/>
      </w:pPr>
      <w:r>
        <w:rPr>
          <w:sz w:val="21"/>
          <w:szCs w:val="21"/>
          <w:rtl w:val="0"/>
        </w:rPr>
        <w:t xml:space="preserve">Beyond metering, Stardust intends to become the standard way to measure AI sustainability and right-sized efficiency — wherever possible, pairing Return on Investment (ROI) with Return on Impact, so a model, provider, or infrastructure choice can be judged by cost and environmental outcome together, not either one in isolation.</w:t>
      </w:r>
      <w:r>
        <w:rPr>
          <w:rtl w:val="0"/>
        </w:rPr>
      </w:r>
    </w:p>
    <w:p w:rsidR="00000000" w:rsidRDefault="00000000" w14:paraId="7D000001">
      <w:pPr>
        <w:spacing w:after="140" w:lineRule="auto"/>
        <w:rPr/>
      </w:pPr>
      <w:r>
        <w:rPr>
          <w:sz w:val="21"/>
          <w:szCs w:val="21"/>
        </w:rPr>
        <w:t xml:space="preserve">Stardust’s larger purpose is to establish an industry-wide standard way of measuring environmental impact end to end: the negative impact of computing (carbon, electricity, water, heat and materials) and the positive impact of the solutions that answer it (carbon removal, renewable generation, water restoration and recycling, heat reuse, and materials recovery), expressed in one schema, one set of units, and one confidence framework. This is a major goal of the project, and the standard Stardust builds is AIforE’s contribution to the world as open, citable methodology (§22.7).</w:t>
      </w:r>
    </w:p>
    <w:p w:rsidR="00000000" w:rsidDel="00000000" w:rsidP="00000000" w:rsidRDefault="00000000" w:rsidRPr="00000000" w14:paraId="0000000C">
      <w:pPr>
        <w:spacing w:after="140" w:lineRule="auto"/>
        <w:rPr/>
      </w:pPr>
      <w:r>
        <w:rPr>
          <w:sz w:val="21"/>
          <w:szCs w:val="21"/>
          <w:rtl w:val="0"/>
        </w:rPr>
        <w:t xml:space="preserve">Stardust is intended to be released as open source. AIforE's role is to build and steward the core metering layer, the environmental methodology, and the indicator standard; third-party companies building remediation marketplaces, enterprise dashboards, vertical integrations, or managed hosting on top of Stardust, are expected and encouraged to build their own products and revenue on top of the open core rather than around it. See §17 for the licensing model and ecosystem strategy, and §18 for how individual donations to AIforE itself fit alongside that.</w:t>
      </w:r>
      <w:r>
        <w:rPr>
          <w:rtl w:val="0"/>
        </w:rPr>
      </w:r>
    </w:p>
    <w:p w:rsidR="00000000" w:rsidDel="00000000" w:rsidP="00000000" w:rsidRDefault="00000000" w:rsidRPr="00000000" w14:paraId="0000000D">
      <w:pPr>
        <w:spacing w:after="140" w:lineRule="auto"/>
        <w:rPr/>
      </w:pPr>
      <w:r>
        <w:rPr>
          <w:sz w:val="21"/>
          <w:szCs w:val="21"/>
          <w:rtl w:val="0"/>
        </w:rPr>
        <w:t xml:space="preserve">This document defines product scope, target integration surfaces, the metrics taxonomy, the alphanumeric indicator system, UI/UX requirements, system architecture, data sourcing and methodology for environmental-impact estimation, non-functional requirements, open source and ecosystem strategy, and a phased roadmap. It is a working draft intended to be reviewed and iterated with the AIforE board and technical contributors.</w:t>
      </w:r>
      <w:r>
        <w:rPr>
          <w:rtl w:val="0"/>
        </w:rPr>
      </w:r>
    </w:p>
    <w:p w:rsidR="00000000" w:rsidDel="00000000" w:rsidP="00000000" w:rsidRDefault="00000000" w:rsidRPr="00000000" w14:paraId="0000000E">
      <w:pPr>
        <w:pStyle w:val="Heading2"/>
        <w:spacing w:after="120" w:before="280" w:lineRule="auto"/>
        <w:rPr/>
      </w:pPr>
      <w:r>
        <w:rPr>
          <w:b w:val="1"/>
          <w:bCs w:val="1"/>
          <w:color w:val="1e7a4c"/>
          <w:sz w:val="24"/>
          <w:szCs w:val="24"/>
          <w:rtl w:val="0"/>
        </w:rPr>
        <w:t xml:space="preserve">1.1 Problem Statement</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usage cost and environmental footprint are complex and not readily transparent to end users at the point of consumption — a chat reply typically shows neither; an API call's response does return raw token counts (§12 documents this for Claude, OpenAI, and Gemini) but no dollar cost or environmental figure; and a database or infrastructure query gives no indication of any of the three.</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Existing cost/usage dashboards (provider billing consoles) are siloed per vendor and lag by hours or days. Where cloud providers do publish separate environmental-impact tools (e.g., AWS's Sustainability service, Azure's Emissions Impact Dashboard, Google Cloud's Carbon Footprint export — §12.9), these run on a monthly cadence, live apart from the cost dashboards, and don't exist at all for AI token/query usage specifically.</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While the Software Carbon Intensity specification (ISO/IEC 21031:2024) defines how to measure a software system's carbon rate in the abstract, there is no ratified way to represent it in telemetry or observability tooling (§11.2), no AI-inference-specific adaptation of it, and no consumer-facing, at-a-glance format a normal user or IT administrator can actually read.</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Without a visible, standardized, per-operation signal, the market and regulatory pressure that does exist (rising enterprise LLM spend, emerging carbon-disclosure requirements) has no consistent way to reach an individual model, provider, or infrastructure choice at the point of use.</w:t>
      </w:r>
      <w:r>
        <w:rPr>
          <w:rtl w:val="0"/>
        </w:rPr>
      </w:r>
    </w:p>
    <w:p w:rsidR="00000000" w:rsidDel="00000000" w:rsidP="00000000" w:rsidRDefault="00000000" w:rsidRPr="00000000" w14:paraId="00000013">
      <w:pPr>
        <w:pStyle w:val="Heading2"/>
        <w:spacing w:after="120" w:before="280" w:lineRule="auto"/>
        <w:rPr/>
      </w:pPr>
      <w:r>
        <w:rPr>
          <w:b w:val="1"/>
          <w:bCs w:val="1"/>
          <w:color w:val="1e7a4c"/>
          <w:sz w:val="24"/>
          <w:szCs w:val="24"/>
          <w:rtl w:val="0"/>
        </w:rPr>
        <w:t xml:space="preserve">1.2 Product Goals</w:t>
      </w:r>
      <w:r>
        <w:rPr>
          <w:rtl w:val="0"/>
        </w:rPr>
      </w:r>
    </w:p>
    <w:p w:rsidR="00000000" w:rsidRDefault="00000000" w14:paraId="7D000002">
      <w:pPr>
        <w:numPr>
          <w:ilvl w:val="0"/>
          <w:numId w:val="1"/>
        </w:numPr>
        <w:spacing w:after="60" w:before="0" w:line="240" w:lineRule="auto"/>
        <w:ind w:left="720" w:right="0" w:hanging="360"/>
        <w:rPr/>
      </w:pPr>
      <w:r>
        <w:rPr>
          <w:b w:val="1"/>
          <w:bCs w:val="1"/>
          <w:sz w:val="21"/>
          <w:szCs w:val="21"/>
        </w:rPr>
        <w:t xml:space="preserve">Develop and contribute an industry-wide measurement standard</w:t>
      </w:r>
      <w:r>
        <w:rPr>
          <w:sz w:val="21"/>
          <w:szCs w:val="21"/>
        </w:rPr>
        <w:t xml:space="preserve"> covering the full range from negative impact (emissions, energy, water, heat, materials) to positive impact (removals, renewable energy, water restoration, heat reuse, recycling), published openly so any organization can measure, compare and claim impact the same way (§22.7). This is a primary goal of Stardust.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real-time or near-real-time visibility into token usage, dollar cost, and environmental impact across AI chat apps, browsers, and cloud/IT infrastructure.</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Standardize that visibility behind a single alphanumeric indicator system and a single visual design language, regardless of which underlying service produced the usage.</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 genuinely pluggable: no forked browser, no proprietary client required from the underlying AI or cloud vendor — Stardust attaches as an extension, plugin, or lightweight SDK/sidecar.</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Produce data clean enough to (optionally) drive remediation — feeding metered impact into an offset/restoration partner — without requiring that integration to use the core product.</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Establish the measurement methodology as the seed of an open, citable AIforE efficiency/sustainability benchmark.</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Release Stardust as open source so third-party companies — remediation and offset marketplaces, enterprise dashboard vendors, hosting providers, and others — can build their own value-added products and revenue on top of the metering layer, rather than needing AIforE's permission or a commercial license to do so.</w:t>
      </w:r>
      <w:r>
        <w:rPr>
          <w:rtl w:val="0"/>
        </w:rPr>
      </w:r>
    </w:p>
    <w:p w:rsidR="00000000" w:rsidDel="00000000" w:rsidP="00000000" w:rsidRDefault="00000000" w:rsidRPr="00000000" w14:paraId="00003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Measure AI sustainability and right-sized efficiency directly, surfacing Return on Investment (ROI) alongside Return on Impact wherever possible so cost and environmental decisions are made jointly rather than separately.</w:t>
      </w:r>
      <w:r>
        <w:rPr>
          <w:rtl w:val="0"/>
        </w:rPr>
      </w:r>
    </w:p>
    <w:p w:rsidR="00000000" w:rsidDel="00000000" w:rsidP="00000000" w:rsidRDefault="00000000" w:rsidRPr="00000000" w14:paraId="00002000">
      <w:pPr>
        <w:spacing w:before="120" w:after="60" w:lineRule="auto"/>
        <w:jc w:val="center"/>
        <w:rPr/>
      </w:pPr>
      <w:r>
        <w:rPr>
          <w:noProof/>
          <w:rtl w:val="0"/>
        </w:rPr>
        <w:drawing>
          <wp:inline distT="0" distB="0" distL="0" distR="0">
            <wp:extent cx="5852160" cy="4684068"/>
            <wp:effectExtent l="0" t="0" r="0" b="0"/>
            <wp:docPr id="1" name="Figure 1" descr="Stardust ecosystem diagram showing Providers, Subscribers, the Big Data and Telemetry core, and Carbon Credits and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9"/>
                    <a:stretch>
                      <a:fillRect/>
                    </a:stretch>
                  </pic:blipFill>
                  <pic:spPr>
                    <a:xfrm>
                      <a:off x="0" y="0"/>
                      <a:ext cx="5852160" cy="4684068"/>
                    </a:xfrm>
                    <a:prstGeom prst="rect">
                      <a:avLst/>
                    </a:prstGeom>
                  </pic:spPr>
                </pic:pic>
              </a:graphicData>
            </a:graphic>
          </wp:inline>
        </w:drawing>
      </w:r>
    </w:p>
    <w:p w:rsidR="00000000" w:rsidDel="00000000" w:rsidP="00000000" w:rsidRDefault="00000000" w:rsidRPr="00000000" w14:paraId="00002001">
      <w:pPr>
        <w:spacing w:after="200" w:lineRule="auto"/>
        <w:jc w:val="center"/>
        <w:rPr/>
      </w:pPr>
      <w:r>
        <w:rPr>
          <w:i w:val="1"/>
          <w:iCs w:val="1"/>
          <w:color w:val="555555"/>
          <w:sz w:val="18"/>
          <w:szCs w:val="18"/>
          <w:rtl w:val="0"/>
        </w:rPr>
        <w:t xml:space="preserve">Figure 1. The Stardust ecosystem: Providers (carbon capture facilities and sequestration credit sources) feed verified telemetry into the Big Data core; Subscribers — including the AI chat apps, browser extensions, cloud/AI infrastructure, and databases they use — generate usage events and consume cost/impact indicators, and can purchase credits through the exchange.</w:t>
      </w:r>
      <w:r>
        <w:rPr>
          <w:rtl w:val="0"/>
        </w:rPr>
      </w:r>
    </w:p>
    <w:p w:rsidR="00000000" w:rsidDel="00000000" w:rsidP="00000000" w:rsidRDefault="00000000" w:rsidRPr="00000000" w14:paraId="0000001A">
      <w:pPr>
        <w:pStyle w:val="Heading1"/>
        <w:spacing w:after="160" w:before="360" w:lineRule="auto"/>
        <w:rPr/>
      </w:pPr>
      <w:r>
        <w:rPr>
          <w:b w:val="1"/>
          <w:bCs w:val="1"/>
          <w:color w:val="0f4a2e"/>
          <w:sz w:val="30"/>
          <w:szCs w:val="30"/>
          <w:rtl w:val="0"/>
        </w:rPr>
        <w:t xml:space="preserve">2. Naming &amp; Product Structure</w:t>
      </w:r>
      <w:r>
        <w:rPr>
          <w:rtl w:val="0"/>
        </w:rPr>
      </w:r>
    </w:p>
    <w:p w:rsidR="00000000" w:rsidDel="00000000" w:rsidP="00000000" w:rsidRDefault="00000000" w:rsidRPr="00000000" w14:paraId="0000001B">
      <w:pPr>
        <w:spacing w:after="140" w:lineRule="auto"/>
        <w:rPr/>
      </w:pPr>
      <w:r>
        <w:rPr>
          <w:sz w:val="21"/>
          <w:szCs w:val="21"/>
          <w:rtl w:val="0"/>
        </w:rPr>
        <w:t xml:space="preserve">“Stardust” is the internal code name for the engineering effort. The market-facing name is the AIforE Subscriber Plugin. “Subscriber” reflects that end users (individuals, teams, and IT departments) subscribe to the metering/reporting service; the underlying AI and cloud platforms being measured are not partners the product depends on for its core function, only integration surfaces.</w:t>
      </w:r>
      <w:r>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3000"/>
        <w:tblGridChange w:id="0">
          <w:tblGrid>
            <w:gridCol w:w="2800"/>
            <w:gridCol w:w="4200"/>
            <w:gridCol w:w="3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1C">
            <w:pPr>
              <w:rPr/>
            </w:pPr>
            <w:r>
              <w:rPr>
                <w:b w:val="1"/>
                <w:bCs w:val="1"/>
                <w:color w:val="ffffff"/>
                <w:sz w:val="19"/>
                <w:szCs w:val="19"/>
                <w:rtl w:val="0"/>
              </w:rPr>
              <w:t xml:space="preserve">Layer</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1D">
            <w:pPr>
              <w:rPr/>
            </w:pPr>
            <w:r>
              <w:rPr>
                <w:b w:val="1"/>
                <w:bCs w:val="1"/>
                <w:color w:val="ffffff"/>
                <w:sz w:val="19"/>
                <w:szCs w:val="19"/>
                <w:rtl w:val="0"/>
              </w:rPr>
              <w:t xml:space="preserve">Distribution form</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1E">
            <w:pPr>
              <w:rPr/>
            </w:pPr>
            <w:r>
              <w:rPr>
                <w:b w:val="1"/>
                <w:bCs w:val="1"/>
                <w:color w:val="ffffff"/>
                <w:sz w:val="19"/>
                <w:szCs w:val="19"/>
                <w:rtl w:val="0"/>
              </w:rPr>
              <w:t xml:space="preserve">Primary users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rPr/>
            </w:pPr>
            <w:r>
              <w:rPr>
                <w:sz w:val="19"/>
                <w:szCs w:val="19"/>
                <w:rtl w:val="0"/>
              </w:rPr>
              <w:t xml:space="preserve">Stardust Chat Plugin</w:t>
            </w:r>
            <w:r>
              <w:rPr>
                <w:rtl w:val="0"/>
              </w:rPr>
            </w:r>
          </w:p>
        </w:tc>
        <w:tc>
          <w:tcPr>
            <w:tcMar>
              <w:top w:w="80.0" w:type="dxa"/>
              <w:left w:w="100.0" w:type="dxa"/>
              <w:bottom w:w="80.0" w:type="dxa"/>
              <w:right w:w="100.0" w:type="dxa"/>
            </w:tcMar>
          </w:tcPr>
          <w:p w:rsidR="00000000" w:rsidDel="00000000" w:rsidP="00000000" w:rsidRDefault="00000000" w:rsidRPr="00000000" w14:paraId="00000020">
            <w:pPr>
              <w:rPr/>
            </w:pPr>
            <w:r>
              <w:rPr>
                <w:sz w:val="19"/>
                <w:szCs w:val="19"/>
                <w:rtl w:val="0"/>
              </w:rPr>
              <w:t xml:space="preserve">Native plugin/connector inside Claude, ChatGPT, Gemini, and other AI chat apps where a plugin API exists</w:t>
            </w:r>
            <w:r>
              <w:rPr>
                <w:rtl w:val="0"/>
              </w:rPr>
            </w:r>
          </w:p>
        </w:tc>
        <w:tc>
          <w:tcPr>
            <w:tcMar>
              <w:top w:w="80.0" w:type="dxa"/>
              <w:left w:w="100.0" w:type="dxa"/>
              <w:bottom w:w="80.0" w:type="dxa"/>
              <w:right w:w="100.0" w:type="dxa"/>
            </w:tcMar>
          </w:tcPr>
          <w:p w:rsidR="00000000" w:rsidDel="00000000" w:rsidP="00000000" w:rsidRDefault="00000000" w:rsidRPr="00000000" w14:paraId="00000021">
            <w:pPr>
              <w:rPr/>
            </w:pPr>
            <w:r>
              <w:rPr>
                <w:sz w:val="19"/>
                <w:szCs w:val="19"/>
                <w:rtl w:val="0"/>
              </w:rPr>
              <w:t xml:space="preserve">Individual AI users, prosumers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2">
            <w:pPr>
              <w:rPr/>
            </w:pPr>
            <w:r>
              <w:rPr>
                <w:sz w:val="19"/>
                <w:szCs w:val="19"/>
                <w:rtl w:val="0"/>
              </w:rPr>
              <w:t xml:space="preserve">Stardust Browser Extension</w:t>
            </w:r>
            <w:r>
              <w:rPr>
                <w:rtl w:val="0"/>
              </w:rPr>
            </w:r>
          </w:p>
        </w:tc>
        <w:tc>
          <w:tcPr>
            <w:tcMar>
              <w:top w:w="80.0" w:type="dxa"/>
              <w:left w:w="100.0" w:type="dxa"/>
              <w:bottom w:w="80.0" w:type="dxa"/>
              <w:right w:w="100.0" w:type="dxa"/>
            </w:tcMar>
          </w:tcPr>
          <w:p w:rsidR="00000000" w:rsidDel="00000000" w:rsidP="00000000" w:rsidRDefault="00000000" w:rsidRPr="00000000" w14:paraId="00000023">
            <w:pPr>
              <w:rPr/>
            </w:pPr>
            <w:r>
              <w:rPr>
                <w:sz w:val="19"/>
                <w:szCs w:val="19"/>
                <w:rtl w:val="0"/>
              </w:rPr>
              <w:t xml:space="preserve">Chrome, Edge, Safari, and Firefox extension (Manifest V3 + Safari Web Extension)</w:t>
            </w:r>
            <w:r>
              <w:rPr>
                <w:rtl w:val="0"/>
              </w:rPr>
            </w:r>
          </w:p>
        </w:tc>
        <w:tc>
          <w:tcPr>
            <w:tcMar>
              <w:top w:w="80.0" w:type="dxa"/>
              <w:left w:w="100.0" w:type="dxa"/>
              <w:bottom w:w="80.0" w:type="dxa"/>
              <w:right w:w="100.0" w:type="dxa"/>
            </w:tcMar>
          </w:tcPr>
          <w:p w:rsidR="00000000" w:rsidDel="00000000" w:rsidP="00000000" w:rsidRDefault="00000000" w:rsidRPr="00000000" w14:paraId="00000024">
            <w:pPr>
              <w:rPr/>
            </w:pPr>
            <w:r>
              <w:rPr>
                <w:sz w:val="19"/>
                <w:szCs w:val="19"/>
                <w:rtl w:val="0"/>
              </w:rPr>
              <w:t xml:space="preserve">Any browser user, including AI web-app usage without a native plugin API</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5">
            <w:pPr>
              <w:rPr/>
            </w:pPr>
            <w:r>
              <w:rPr>
                <w:sz w:val="19"/>
                <w:szCs w:val="19"/>
                <w:rtl w:val="0"/>
              </w:rPr>
              <w:t xml:space="preserve">Stardust Infra Agent / SDK</w:t>
            </w:r>
            <w:r>
              <w:rPr>
                <w:rtl w:val="0"/>
              </w:rPr>
            </w:r>
          </w:p>
        </w:tc>
        <w:tc>
          <w:tcPr>
            <w:tcMar>
              <w:top w:w="80.0" w:type="dxa"/>
              <w:left w:w="100.0" w:type="dxa"/>
              <w:bottom w:w="80.0" w:type="dxa"/>
              <w:right w:w="100.0" w:type="dxa"/>
            </w:tcMar>
          </w:tcPr>
          <w:p w:rsidR="00000000" w:rsidDel="00000000" w:rsidP="00000000" w:rsidRDefault="00000000" w:rsidRPr="00000000" w14:paraId="00000026">
            <w:pPr>
              <w:rPr/>
            </w:pPr>
            <w:r>
              <w:rPr>
                <w:sz w:val="19"/>
                <w:szCs w:val="19"/>
                <w:rtl w:val="0"/>
              </w:rPr>
              <w:t xml:space="preserve">Lightweight SDK, sidecar container, or reverse-proxy agent instrumenting databases and cloud/AI infrastructure</w:t>
            </w:r>
            <w:r>
              <w:rPr>
                <w:rtl w:val="0"/>
              </w:rPr>
            </w:r>
          </w:p>
        </w:tc>
        <w:tc>
          <w:tcPr>
            <w:tcMar>
              <w:top w:w="80.0" w:type="dxa"/>
              <w:left w:w="100.0" w:type="dxa"/>
              <w:bottom w:w="80.0" w:type="dxa"/>
              <w:right w:w="100.0" w:type="dxa"/>
            </w:tcMar>
          </w:tcPr>
          <w:p w:rsidR="00000000" w:rsidDel="00000000" w:rsidP="00000000" w:rsidRDefault="00000000" w:rsidRPr="00000000" w14:paraId="00000027">
            <w:pPr>
              <w:rPr/>
            </w:pPr>
            <w:r>
              <w:rPr>
                <w:sz w:val="19"/>
                <w:szCs w:val="19"/>
                <w:rtl w:val="0"/>
              </w:rPr>
              <w:t xml:space="preserve">IT administrators, DevOps/MLOps teams, cloud architects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rPr/>
            </w:pPr>
            <w:r>
              <w:rPr>
                <w:sz w:val="19"/>
                <w:szCs w:val="19"/>
                <w:rtl w:val="0"/>
              </w:rPr>
              <w:t xml:space="preserve">Stardust Core</w:t>
            </w:r>
            <w:r>
              <w:rPr>
                <w:rtl w:val="0"/>
              </w:rPr>
            </w:r>
          </w:p>
        </w:tc>
        <w:tc>
          <w:tcPr>
            <w:tcMar>
              <w:top w:w="80.0" w:type="dxa"/>
              <w:left w:w="100.0" w:type="dxa"/>
              <w:bottom w:w="80.0" w:type="dxa"/>
              <w:right w:w="100.0" w:type="dxa"/>
            </w:tcMar>
          </w:tcPr>
          <w:p w:rsidR="00000000" w:rsidDel="00000000" w:rsidP="00000000" w:rsidRDefault="00000000" w:rsidRPr="00000000" w14:paraId="00000029">
            <w:pPr>
              <w:rPr/>
            </w:pPr>
            <w:r>
              <w:rPr>
                <w:sz w:val="19"/>
                <w:szCs w:val="19"/>
                <w:rtl w:val="0"/>
              </w:rPr>
              <w:t xml:space="preserve">Shared measurement, normalization, and reporting service consumed by all three clients</w:t>
            </w:r>
            <w:r>
              <w:rPr>
                <w:rtl w:val="0"/>
              </w:rPr>
            </w:r>
          </w:p>
        </w:tc>
        <w:tc>
          <w:tcPr>
            <w:tcMar>
              <w:top w:w="80.0" w:type="dxa"/>
              <w:left w:w="100.0" w:type="dxa"/>
              <w:bottom w:w="80.0" w:type="dxa"/>
              <w:right w:w="100.0" w:type="dxa"/>
            </w:tcMar>
          </w:tcPr>
          <w:p w:rsidR="00000000" w:rsidDel="00000000" w:rsidP="00000000" w:rsidRDefault="00000000" w:rsidRPr="00000000" w14:paraId="0000002A">
            <w:pPr>
              <w:rPr/>
            </w:pPr>
            <w:r>
              <w:rPr>
                <w:sz w:val="19"/>
                <w:szCs w:val="19"/>
                <w:rtl w:val="0"/>
              </w:rPr>
              <w:t xml:space="preserve">N/A — internal service layer</w:t>
            </w:r>
            <w:r>
              <w:rPr>
                <w:rtl w:val="0"/>
              </w:rPr>
            </w:r>
          </w:p>
        </w:tc>
      </w:tr>
    </w:tbl>
    <w:p w:rsidR="00000000" w:rsidDel="00000000" w:rsidP="00000000" w:rsidRDefault="00000000" w:rsidRPr="00000000" w14:paraId="0000002B">
      <w:pPr>
        <w:spacing w:after="140" w:lineRule="auto"/>
        <w:rPr/>
      </w:pPr>
      <w:r>
        <w:rPr>
          <w:rtl w:val="0"/>
        </w:rPr>
      </w:r>
    </w:p>
    <w:p w:rsidR="00000000" w:rsidDel="00000000" w:rsidP="00000000" w:rsidRDefault="00000000" w:rsidRPr="00000000" w14:paraId="0000002C">
      <w:pPr>
        <w:pStyle w:val="Heading1"/>
        <w:spacing w:after="160" w:before="360" w:lineRule="auto"/>
        <w:rPr/>
      </w:pPr>
      <w:r>
        <w:rPr>
          <w:b w:val="1"/>
          <w:bCs w:val="1"/>
          <w:color w:val="0f4a2e"/>
          <w:sz w:val="30"/>
          <w:szCs w:val="30"/>
          <w:rtl w:val="0"/>
        </w:rPr>
        <w:t xml:space="preserve">3. Target Integration Surfaces</w:t>
      </w:r>
      <w:r>
        <w:rPr>
          <w:rtl w:val="0"/>
        </w:rPr>
      </w:r>
    </w:p>
    <w:p w:rsidR="00000000" w:rsidDel="00000000" w:rsidP="00000000" w:rsidRDefault="00000000" w:rsidRPr="00000000" w14:paraId="0000002D">
      <w:pPr>
        <w:pStyle w:val="Heading2"/>
        <w:spacing w:after="120" w:before="280" w:lineRule="auto"/>
        <w:rPr/>
      </w:pPr>
      <w:r>
        <w:rPr>
          <w:b w:val="1"/>
          <w:bCs w:val="1"/>
          <w:color w:val="1e7a4c"/>
          <w:sz w:val="24"/>
          <w:szCs w:val="24"/>
          <w:rtl w:val="0"/>
        </w:rPr>
        <w:t xml:space="preserve">3.1 AI Chat Applications</w:t>
      </w:r>
      <w:r>
        <w:rPr>
          <w:rtl w:val="0"/>
        </w:rPr>
      </w:r>
    </w:p>
    <w:p w:rsidR="00000000" w:rsidDel="00000000" w:rsidP="00000000" w:rsidRDefault="00000000" w:rsidRPr="00000000" w14:paraId="0000002E">
      <w:pPr>
        <w:spacing w:after="140" w:lineRule="auto"/>
        <w:rPr/>
      </w:pPr>
      <w:r>
        <w:rPr>
          <w:sz w:val="21"/>
          <w:szCs w:val="21"/>
          <w:rtl w:val="0"/>
        </w:rPr>
        <w:t xml:space="preserve">Target platforms at launch: Claude (claude.ai, Claude Code, Claude Desktop), ChatGPT (web and desktop), and Gemini (web and Workspace surfaces), with an extensible connector model for others (e.g., Perplexity, Copilot, Mistral le Chat) added post-launch.</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a first-party plugin/connector or extension API exists, Stardust integrates natively (e.g., a Claude connector, a ChatGPT plugin/GPT, a Gemini extension).</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no native plugin surface exists, or a platform restricts third-party metering, Stardust falls back to the browser-extension layer reading the rendered conversation and any exposed usage telemetry (token counters, model indicators) in the page.</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API-based usage (a user's own API key traffic to a given model provider) is captured via the Infra Agent/SDK layer, not the chat-app layer.</w:t>
      </w:r>
      <w:r>
        <w:rPr>
          <w:rtl w:val="0"/>
        </w:rPr>
      </w:r>
    </w:p>
    <w:p w:rsidR="00000000" w:rsidDel="00000000" w:rsidP="00000000" w:rsidRDefault="00000000" w:rsidRPr="00000000" w14:paraId="00000032">
      <w:pPr>
        <w:pStyle w:val="Heading2"/>
        <w:spacing w:after="120" w:before="280" w:lineRule="auto"/>
        <w:rPr/>
      </w:pPr>
      <w:r>
        <w:rPr>
          <w:b w:val="1"/>
          <w:bCs w:val="1"/>
          <w:color w:val="1e7a4c"/>
          <w:sz w:val="24"/>
          <w:szCs w:val="24"/>
          <w:rtl w:val="0"/>
        </w:rPr>
        <w:t xml:space="preserve">3.2 Browsers</w:t>
      </w:r>
      <w:r>
        <w:rPr>
          <w:rtl w:val="0"/>
        </w:rPr>
      </w:r>
    </w:p>
    <w:p w:rsidR="00000000" w:rsidDel="00000000" w:rsidP="00000000" w:rsidRDefault="00000000" w:rsidRPr="00000000" w14:paraId="00000033">
      <w:pPr>
        <w:spacing w:after="140" w:lineRule="auto"/>
        <w:rPr/>
      </w:pPr>
      <w:r>
        <w:rPr>
          <w:sz w:val="21"/>
          <w:szCs w:val="21"/>
          <w:rtl w:val="0"/>
        </w:rPr>
        <w:t xml:space="preserve">Target browsers at launch: Chrome, Edge, and Firefox on Manifest V3 (Edge and Chrome share a codebase; Firefox requires MV3 event-page adaptations). Safari is targeted via the Safari Web Extension converter, acknowledging Apple's stricter background-execution and telemetry constraints.</w:t>
      </w:r>
      <w:r>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extension is the universal fallback: any AI web app, whether or not it has a native Stardust plugin, can be measured here if it exposes usage data in its own UI or network responses that the extension is permitted to read.</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extension also captures general cloud-console browsing (e.g., a user viewing their own AWS/Azure/GCP billing dashboard) to enrich cost/impact context, subject to the domain allow-list in §14.</w:t>
      </w:r>
      <w:r>
        <w:rPr>
          <w:rtl w:val="0"/>
        </w:rPr>
      </w:r>
    </w:p>
    <w:p w:rsidR="00000000" w:rsidDel="00000000" w:rsidP="00000000" w:rsidRDefault="00000000" w:rsidRPr="00000000" w14:paraId="00000036">
      <w:pPr>
        <w:pStyle w:val="Heading2"/>
        <w:spacing w:after="120" w:before="280" w:lineRule="auto"/>
        <w:rPr/>
      </w:pPr>
      <w:r>
        <w:rPr>
          <w:b w:val="1"/>
          <w:bCs w:val="1"/>
          <w:color w:val="1e7a4c"/>
          <w:sz w:val="24"/>
          <w:szCs w:val="24"/>
          <w:rtl w:val="0"/>
        </w:rPr>
        <w:t xml:space="preserve">3.3 IT Infrastructure and Cloud Services</w:t>
      </w:r>
      <w:r>
        <w:rPr>
          <w:rtl w:val="0"/>
        </w:rPr>
      </w:r>
    </w:p>
    <w:p w:rsidR="00000000" w:rsidDel="00000000" w:rsidP="00000000" w:rsidRDefault="00000000" w:rsidRPr="00000000" w14:paraId="00000037">
      <w:pPr>
        <w:spacing w:after="140" w:lineRule="auto"/>
        <w:rPr/>
      </w:pPr>
      <w:r>
        <w:rPr>
          <w:sz w:val="21"/>
          <w:szCs w:val="21"/>
          <w:rtl w:val="0"/>
        </w:rPr>
        <w:t xml:space="preserve">Stardust extends past the browser into the infrastructure that AI and web applications run on, so organizations can see cost and environmental impact at the service level, not just the chat level.</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Databases: managed and self-hosted (PostgreSQL, MySQL, MongoDB, DynamoDB, Snowflake, etc.) instrumented via a lightweight driver wrapper or sidecar that observes query volume, compute time, and storage I/O.</w:t>
      </w: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infrastructure: inference endpoints and model-serving layers (e.g., vector databases, GPU inference clusters, managed model APIs) instrumented via SDK middleware or a reverse-proxy agent that sits in front of the endpoint.</w:t>
      </w:r>
      <w:r>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General cloud compute and storage: virtual machines, containers/Kubernetes, serverless functions, and object storage, instrumented via cloud-provider billing and metering APIs (AWS Cost Explorer, Azure Cost Management, GCP Billing) plus, where available, provider carbon/sustainability APIs.</w:t>
      </w:r>
      <w:r>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layer is designed for opt-in deployment by an IT administrator, distinct from the individual-consumer chat/browser layers, and reports at a service or workload granularity rather than a per-message granularity.</w:t>
      </w:r>
      <w:r>
        <w:rPr>
          <w:rtl w:val="0"/>
        </w:rPr>
      </w:r>
    </w:p>
    <w:p w:rsidR="00000000" w:rsidDel="00000000" w:rsidP="00000000" w:rsidRDefault="00000000" w:rsidRPr="00000000" w14:paraId="0000003C">
      <w:pPr>
        <w:pStyle w:val="Heading1"/>
        <w:spacing w:after="160" w:before="360" w:lineRule="auto"/>
        <w:rPr/>
      </w:pPr>
      <w:r>
        <w:rPr>
          <w:b w:val="1"/>
          <w:bCs w:val="1"/>
          <w:color w:val="0f4a2e"/>
          <w:sz w:val="30"/>
          <w:szCs w:val="30"/>
          <w:rtl w:val="0"/>
        </w:rPr>
        <w:t xml:space="preserve">4. Core Metrics Tracked</w:t>
      </w:r>
      <w:r>
        <w:rPr>
          <w:rtl w:val="0"/>
        </w:rPr>
      </w:r>
    </w:p>
    <w:p w:rsidR="00000000" w:rsidDel="00000000" w:rsidP="00000000" w:rsidRDefault="00000000" w:rsidRPr="00000000" w14:paraId="0000003D">
      <w:pPr>
        <w:pStyle w:val="Heading2"/>
        <w:spacing w:after="120" w:before="280" w:lineRule="auto"/>
        <w:rPr/>
      </w:pPr>
      <w:r>
        <w:rPr>
          <w:b w:val="1"/>
          <w:bCs w:val="1"/>
          <w:color w:val="1e7a4c"/>
          <w:sz w:val="24"/>
          <w:szCs w:val="24"/>
          <w:rtl w:val="0"/>
        </w:rPr>
        <w:t xml:space="preserve">4.1 Usage Metrics</w:t>
      </w:r>
      <w:r>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200"/>
        <w:gridCol w:w="2200"/>
        <w:tblGridChange w:id="0">
          <w:tblGrid>
            <w:gridCol w:w="2600"/>
            <w:gridCol w:w="5200"/>
            <w:gridCol w:w="22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3E">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3F">
            <w:pPr>
              <w:rPr/>
            </w:pPr>
            <w:r>
              <w:rPr>
                <w:b w:val="1"/>
                <w:bCs w:val="1"/>
                <w:color w:val="ffffff"/>
                <w:sz w:val="19"/>
                <w:szCs w:val="19"/>
                <w:rtl w:val="0"/>
              </w:rPr>
              <w:t xml:space="preserve">Description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40">
            <w:pPr>
              <w:rPr/>
            </w:pPr>
            <w:r>
              <w:rPr>
                <w:b w:val="1"/>
                <w:bCs w:val="1"/>
                <w:color w:val="ffffff"/>
                <w:sz w:val="19"/>
                <w:szCs w:val="19"/>
                <w:rtl w:val="0"/>
              </w:rPr>
              <w:t xml:space="preserve">Captured at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pPr>
            <w:r>
              <w:rPr>
                <w:sz w:val="19"/>
                <w:szCs w:val="19"/>
                <w:rtl w:val="0"/>
              </w:rPr>
              <w:t xml:space="preserve">Input tokens</w:t>
            </w:r>
            <w:r>
              <w:rPr>
                <w:rtl w:val="0"/>
              </w:rPr>
            </w:r>
          </w:p>
        </w:tc>
        <w:tc>
          <w:tcPr>
            <w:tcMar>
              <w:top w:w="80.0" w:type="dxa"/>
              <w:left w:w="100.0" w:type="dxa"/>
              <w:bottom w:w="80.0" w:type="dxa"/>
              <w:right w:w="100.0" w:type="dxa"/>
            </w:tcMar>
          </w:tcPr>
          <w:p w:rsidR="00000000" w:rsidDel="00000000" w:rsidP="00000000" w:rsidRDefault="00000000" w:rsidRPr="00000000" w14:paraId="00000042">
            <w:pPr>
              <w:rPr/>
            </w:pPr>
            <w:r>
              <w:rPr>
                <w:sz w:val="19"/>
                <w:szCs w:val="19"/>
                <w:rtl w:val="0"/>
              </w:rPr>
              <w:t xml:space="preserve">Tokens sent to the model (prompt, context, system instructions)</w:t>
            </w:r>
            <w:r>
              <w:rPr>
                <w:rtl w:val="0"/>
              </w:rPr>
            </w:r>
          </w:p>
        </w:tc>
        <w:tc>
          <w:tcPr>
            <w:tcMar>
              <w:top w:w="80.0" w:type="dxa"/>
              <w:left w:w="100.0" w:type="dxa"/>
              <w:bottom w:w="80.0" w:type="dxa"/>
              <w:right w:w="100.0" w:type="dxa"/>
            </w:tcMar>
          </w:tcPr>
          <w:p w:rsidR="00000000" w:rsidDel="00000000" w:rsidP="00000000" w:rsidRDefault="00000000" w:rsidRPr="00000000" w14:paraId="00000043">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Pr>
                <w:sz w:val="19"/>
                <w:szCs w:val="19"/>
                <w:rtl w:val="0"/>
              </w:rPr>
              <w:t xml:space="preserve">Output tokens</w:t>
            </w:r>
            <w:r>
              <w:rPr>
                <w:rtl w:val="0"/>
              </w:rPr>
            </w:r>
          </w:p>
        </w:tc>
        <w:tc>
          <w:tcPr>
            <w:tcMar>
              <w:top w:w="80.0" w:type="dxa"/>
              <w:left w:w="100.0" w:type="dxa"/>
              <w:bottom w:w="80.0" w:type="dxa"/>
              <w:right w:w="100.0" w:type="dxa"/>
            </w:tcMar>
          </w:tcPr>
          <w:p w:rsidR="00000000" w:rsidDel="00000000" w:rsidP="00000000" w:rsidRDefault="00000000" w:rsidRPr="00000000" w14:paraId="00000045">
            <w:pPr>
              <w:rPr/>
            </w:pPr>
            <w:r>
              <w:rPr>
                <w:sz w:val="19"/>
                <w:szCs w:val="19"/>
                <w:rtl w:val="0"/>
              </w:rPr>
              <w:t xml:space="preserve">Tokens generated by the model in response</w:t>
            </w:r>
            <w:r>
              <w:rPr>
                <w:rtl w:val="0"/>
              </w:rPr>
            </w:r>
          </w:p>
        </w:tc>
        <w:tc>
          <w:tcPr>
            <w:tcMar>
              <w:top w:w="80.0" w:type="dxa"/>
              <w:left w:w="100.0" w:type="dxa"/>
              <w:bottom w:w="80.0" w:type="dxa"/>
              <w:right w:w="100.0" w:type="dxa"/>
            </w:tcMar>
          </w:tcPr>
          <w:p w:rsidR="00000000" w:rsidDel="00000000" w:rsidP="00000000" w:rsidRDefault="00000000" w:rsidRPr="00000000" w14:paraId="00000046">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pPr>
            <w:r>
              <w:rPr>
                <w:sz w:val="19"/>
                <w:szCs w:val="19"/>
                <w:rtl w:val="0"/>
              </w:rPr>
              <w:t xml:space="preserve">Requests / queries</w:t>
            </w:r>
            <w:r>
              <w:rPr>
                <w:rtl w:val="0"/>
              </w:rPr>
            </w:r>
          </w:p>
        </w:tc>
        <w:tc>
          <w:tcPr>
            <w:tcMar>
              <w:top w:w="80.0" w:type="dxa"/>
              <w:left w:w="100.0" w:type="dxa"/>
              <w:bottom w:w="80.0" w:type="dxa"/>
              <w:right w:w="100.0" w:type="dxa"/>
            </w:tcMar>
          </w:tcPr>
          <w:p w:rsidR="00000000" w:rsidDel="00000000" w:rsidP="00000000" w:rsidRDefault="00000000" w:rsidRPr="00000000" w14:paraId="00000048">
            <w:pPr>
              <w:rPr/>
            </w:pPr>
            <w:r>
              <w:rPr>
                <w:sz w:val="19"/>
                <w:szCs w:val="19"/>
                <w:rtl w:val="0"/>
              </w:rPr>
              <w:t xml:space="preserve">Count of discrete calls (chat turns, API calls, DB queries)</w:t>
            </w:r>
            <w:r>
              <w:rPr>
                <w:rtl w:val="0"/>
              </w:rPr>
            </w:r>
          </w:p>
        </w:tc>
        <w:tc>
          <w:tcPr>
            <w:tcMar>
              <w:top w:w="80.0" w:type="dxa"/>
              <w:left w:w="100.0" w:type="dxa"/>
              <w:bottom w:w="80.0" w:type="dxa"/>
              <w:right w:w="100.0" w:type="dxa"/>
            </w:tcMar>
          </w:tcPr>
          <w:p w:rsidR="00000000" w:rsidDel="00000000" w:rsidP="00000000" w:rsidRDefault="00000000" w:rsidRPr="00000000" w14:paraId="00000049">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rPr/>
            </w:pPr>
            <w:r>
              <w:rPr>
                <w:sz w:val="19"/>
                <w:szCs w:val="19"/>
                <w:rtl w:val="0"/>
              </w:rPr>
              <w:t xml:space="preserve">Compute time</w:t>
            </w:r>
            <w:r>
              <w:rPr>
                <w:rtl w:val="0"/>
              </w:rPr>
            </w:r>
          </w:p>
        </w:tc>
        <w:tc>
          <w:tcPr>
            <w:tcMar>
              <w:top w:w="80.0" w:type="dxa"/>
              <w:left w:w="100.0" w:type="dxa"/>
              <w:bottom w:w="80.0" w:type="dxa"/>
              <w:right w:w="100.0" w:type="dxa"/>
            </w:tcMar>
          </w:tcPr>
          <w:p w:rsidR="00000000" w:rsidDel="00000000" w:rsidP="00000000" w:rsidRDefault="00000000" w:rsidRPr="00000000" w14:paraId="0000004B">
            <w:pPr>
              <w:rPr/>
            </w:pPr>
            <w:r>
              <w:rPr>
                <w:sz w:val="19"/>
                <w:szCs w:val="19"/>
                <w:rtl w:val="0"/>
              </w:rPr>
              <w:t xml:space="preserve">Wall-clock and/or GPU/CPU-seconds consumed to produce the result</w:t>
            </w:r>
            <w:r>
              <w:rPr>
                <w:rtl w:val="0"/>
              </w:rPr>
            </w:r>
          </w:p>
        </w:tc>
        <w:tc>
          <w:tcPr>
            <w:tcMar>
              <w:top w:w="80.0" w:type="dxa"/>
              <w:left w:w="100.0" w:type="dxa"/>
              <w:bottom w:w="80.0" w:type="dxa"/>
              <w:right w:w="100.0" w:type="dxa"/>
            </w:tcMar>
          </w:tcPr>
          <w:p w:rsidR="00000000" w:rsidDel="00000000" w:rsidP="00000000" w:rsidRDefault="00000000" w:rsidRPr="00000000" w14:paraId="0000004C">
            <w:pPr>
              <w:rPr/>
            </w:pPr>
            <w:r>
              <w:rPr>
                <w:sz w:val="19"/>
                <w:szCs w:val="19"/>
                <w:rtl w:val="0"/>
              </w:rPr>
              <w:t xml:space="preserve">Infra SDK, Browser (est.)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rPr/>
            </w:pPr>
            <w:r>
              <w:rPr>
                <w:sz w:val="19"/>
                <w:szCs w:val="19"/>
                <w:rtl w:val="0"/>
              </w:rPr>
              <w:t xml:space="preserve">Model / service identifier</w:t>
            </w:r>
            <w:r>
              <w:rPr>
                <w:rtl w:val="0"/>
              </w:rPr>
            </w:r>
          </w:p>
        </w:tc>
        <w:tc>
          <w:tcPr>
            <w:tcMar>
              <w:top w:w="80.0" w:type="dxa"/>
              <w:left w:w="100.0" w:type="dxa"/>
              <w:bottom w:w="80.0" w:type="dxa"/>
              <w:right w:w="100.0" w:type="dxa"/>
            </w:tcMar>
          </w:tcPr>
          <w:p w:rsidR="00000000" w:rsidDel="00000000" w:rsidP="00000000" w:rsidRDefault="00000000" w:rsidRPr="00000000" w14:paraId="0000004E">
            <w:pPr>
              <w:rPr/>
            </w:pPr>
            <w:r>
              <w:rPr>
                <w:sz w:val="19"/>
                <w:szCs w:val="19"/>
                <w:rtl w:val="0"/>
              </w:rPr>
              <w:t xml:space="preserve">Which model or service version handled the request</w:t>
            </w:r>
            <w:r>
              <w:rPr>
                <w:rtl w:val="0"/>
              </w:rPr>
            </w:r>
          </w:p>
        </w:tc>
        <w:tc>
          <w:tcPr>
            <w:tcMar>
              <w:top w:w="80.0" w:type="dxa"/>
              <w:left w:w="100.0" w:type="dxa"/>
              <w:bottom w:w="80.0" w:type="dxa"/>
              <w:right w:w="100.0" w:type="dxa"/>
            </w:tcMar>
          </w:tcPr>
          <w:p w:rsidR="00000000" w:rsidDel="00000000" w:rsidP="00000000" w:rsidRDefault="00000000" w:rsidRPr="00000000" w14:paraId="0000004F">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rPr/>
            </w:pPr>
            <w:r>
              <w:rPr>
                <w:sz w:val="19"/>
                <w:szCs w:val="19"/>
                <w:rtl w:val="0"/>
              </w:rPr>
              <w:t xml:space="preserve">Data transferred</w:t>
            </w:r>
            <w:r>
              <w:rPr>
                <w:rtl w:val="0"/>
              </w:rPr>
            </w:r>
          </w:p>
        </w:tc>
        <w:tc>
          <w:tcPr>
            <w:tcMar>
              <w:top w:w="80.0" w:type="dxa"/>
              <w:left w:w="100.0" w:type="dxa"/>
              <w:bottom w:w="80.0" w:type="dxa"/>
              <w:right w:w="100.0" w:type="dxa"/>
            </w:tcMar>
          </w:tcPr>
          <w:p w:rsidR="00000000" w:rsidDel="00000000" w:rsidP="00000000" w:rsidRDefault="00000000" w:rsidRPr="00000000" w14:paraId="00000051">
            <w:pPr>
              <w:rPr/>
            </w:pPr>
            <w:r>
              <w:rPr>
                <w:sz w:val="19"/>
                <w:szCs w:val="19"/>
                <w:rtl w:val="0"/>
              </w:rPr>
              <w:t xml:space="preserve">Bytes sent/received for the operation</w:t>
            </w:r>
            <w:r>
              <w:rPr>
                <w:rtl w:val="0"/>
              </w:rPr>
            </w:r>
          </w:p>
        </w:tc>
        <w:tc>
          <w:tcPr>
            <w:tcMar>
              <w:top w:w="80.0" w:type="dxa"/>
              <w:left w:w="100.0" w:type="dxa"/>
              <w:bottom w:w="80.0" w:type="dxa"/>
              <w:right w:w="100.0" w:type="dxa"/>
            </w:tcMar>
          </w:tcPr>
          <w:p w:rsidR="00000000" w:rsidDel="00000000" w:rsidP="00000000" w:rsidRDefault="00000000" w:rsidRPr="00000000" w14:paraId="00000052">
            <w:pPr>
              <w:rPr/>
            </w:pPr>
            <w:r>
              <w:rPr>
                <w:sz w:val="19"/>
                <w:szCs w:val="19"/>
                <w:rtl w:val="0"/>
              </w:rPr>
              <w:t xml:space="preserve">Browser,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Pr>
                <w:sz w:val="19"/>
                <w:szCs w:val="19"/>
                <w:rtl w:val="0"/>
              </w:rPr>
              <w:t xml:space="preserve">Storage delta</w:t>
            </w:r>
            <w:r>
              <w:rPr>
                <w:rtl w:val="0"/>
              </w:rPr>
            </w:r>
          </w:p>
        </w:tc>
        <w:tc>
          <w:tcPr>
            <w:tcMar>
              <w:top w:w="80.0" w:type="dxa"/>
              <w:left w:w="100.0" w:type="dxa"/>
              <w:bottom w:w="80.0" w:type="dxa"/>
              <w:right w:w="100.0" w:type="dxa"/>
            </w:tcMar>
          </w:tcPr>
          <w:p w:rsidR="00000000" w:rsidDel="00000000" w:rsidP="00000000" w:rsidRDefault="00000000" w:rsidRPr="00000000" w14:paraId="00000054">
            <w:pPr>
              <w:rPr/>
            </w:pPr>
            <w:r>
              <w:rPr>
                <w:sz w:val="19"/>
                <w:szCs w:val="19"/>
                <w:rtl w:val="0"/>
              </w:rPr>
              <w:t xml:space="preserve">Net new data written/retained (for DB and storage operations)</w:t>
            </w:r>
            <w:r>
              <w:rPr>
                <w:rtl w:val="0"/>
              </w:rPr>
            </w:r>
          </w:p>
        </w:tc>
        <w:tc>
          <w:tcPr>
            <w:tcMar>
              <w:top w:w="80.0" w:type="dxa"/>
              <w:left w:w="100.0" w:type="dxa"/>
              <w:bottom w:w="80.0" w:type="dxa"/>
              <w:right w:w="100.0" w:type="dxa"/>
            </w:tcMar>
          </w:tcPr>
          <w:p w:rsidR="00000000" w:rsidDel="00000000" w:rsidP="00000000" w:rsidRDefault="00000000" w:rsidRPr="00000000" w14:paraId="00000055">
            <w:pPr>
              <w:rPr/>
            </w:pPr>
            <w:r>
              <w:rPr>
                <w:sz w:val="19"/>
                <w:szCs w:val="19"/>
                <w:rtl w:val="0"/>
              </w:rPr>
              <w:t xml:space="preserve">Infra SDK</w:t>
            </w:r>
            <w:r>
              <w:rPr>
                <w:rtl w:val="0"/>
              </w:rPr>
            </w:r>
          </w:p>
        </w:tc>
      </w:tr>
    </w:tbl>
    <w:p w:rsidR="00000000" w:rsidDel="00000000" w:rsidP="00000000" w:rsidRDefault="00000000" w:rsidRPr="00000000" w14:paraId="00000056">
      <w:pPr>
        <w:spacing w:after="140" w:lineRule="auto"/>
        <w:rPr/>
      </w:pPr>
      <w:r>
        <w:rPr>
          <w:rtl w:val="0"/>
        </w:rPr>
      </w:r>
    </w:p>
    <w:p w:rsidR="00000000" w:rsidDel="00000000" w:rsidP="00000000" w:rsidRDefault="00000000" w:rsidRPr="00000000" w14:paraId="00000057">
      <w:pPr>
        <w:pStyle w:val="Heading2"/>
        <w:spacing w:after="120" w:before="280" w:lineRule="auto"/>
        <w:rPr/>
      </w:pPr>
      <w:r>
        <w:rPr>
          <w:b w:val="1"/>
          <w:bCs w:val="1"/>
          <w:color w:val="1e7a4c"/>
          <w:sz w:val="24"/>
          <w:szCs w:val="24"/>
          <w:rtl w:val="0"/>
        </w:rPr>
        <w:t xml:space="preserve">4.2 Cost Metrics</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token (input and output, priced per the originating provider's published or metered rate) and blended cost per request.</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compute-second / per GB-transferred / per GB-stored, for infrastructure-layer operations, sourced from the provider's billing API where available.</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Running session, daily, and monthly cost totals, with per-service and per-model breakdowns.</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Currency-normalized reporting (default USD, configurable).</w:t>
      </w:r>
      <w:r>
        <w:rPr>
          <w:rtl w:val="0"/>
        </w:rPr>
      </w:r>
    </w:p>
    <w:p w:rsidR="00000000" w:rsidDel="00000000" w:rsidP="00000000" w:rsidRDefault="00000000" w:rsidRPr="00000000" w14:paraId="0000005C">
      <w:pPr>
        <w:pStyle w:val="Heading2"/>
        <w:spacing w:after="120" w:before="280" w:lineRule="auto"/>
        <w:rPr/>
      </w:pPr>
      <w:r>
        <w:rPr>
          <w:b w:val="1"/>
          <w:bCs w:val="1"/>
          <w:color w:val="1e7a4c"/>
          <w:sz w:val="24"/>
          <w:szCs w:val="24"/>
          <w:rtl w:val="0"/>
        </w:rPr>
        <w:t xml:space="preserve">4.3 Environmental Impact Metrics</w:t>
      </w:r>
      <w:r>
        <w:rPr>
          <w:rtl w:val="0"/>
        </w:rPr>
      </w:r>
    </w:p>
    <w:p w:rsidR="00000000" w:rsidDel="00000000" w:rsidP="00000000" w:rsidRDefault="00000000" w:rsidRPr="00000000" w14:paraId="0000005D">
      <w:pPr>
        <w:spacing w:after="140" w:lineRule="auto"/>
        <w:rPr/>
      </w:pPr>
      <w:r>
        <w:rPr>
          <w:sz w:val="21"/>
          <w:szCs w:val="21"/>
          <w:rtl w:val="0"/>
        </w:rPr>
        <w:t xml:space="preserve">Environmental metrics are estimated from usage metrics using the methodology in §8. Every estimate carries a confidence tier (Measured / Modeled / Estimated) so users can see how directly a figure was sourced versus inferred.</w:t>
      </w:r>
      <w:r>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200"/>
        <w:gridCol w:w="2600"/>
        <w:tblGridChange w:id="0">
          <w:tblGrid>
            <w:gridCol w:w="3200"/>
            <w:gridCol w:w="4200"/>
            <w:gridCol w:w="2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5E">
            <w:pPr>
              <w:rPr/>
            </w:pPr>
            <w:r>
              <w:rPr>
                <w:b w:val="1"/>
                <w:bCs w:val="1"/>
                <w:color w:val="ffffff"/>
                <w:sz w:val="19"/>
                <w:szCs w:val="19"/>
                <w:rtl w:val="0"/>
              </w:rPr>
              <w:t xml:space="preserve">Category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5F">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60">
            <w:pPr>
              <w:rPr/>
            </w:pPr>
            <w:r>
              <w:rPr>
                <w:b w:val="1"/>
                <w:bCs w:val="1"/>
                <w:color w:val="ffffff"/>
                <w:sz w:val="19"/>
                <w:szCs w:val="19"/>
                <w:rtl w:val="0"/>
              </w:rPr>
              <w:t xml:space="preserve">Unit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2">
            <w:pPr>
              <w:rPr/>
            </w:pPr>
            <w:r>
              <w:rPr>
                <w:sz w:val="19"/>
                <w:szCs w:val="19"/>
                <w:rtl w:val="0"/>
              </w:rPr>
              <w:t xml:space="preserve">Energy consumed</w:t>
            </w:r>
            <w:r>
              <w:rPr>
                <w:rtl w:val="0"/>
              </w:rPr>
            </w:r>
          </w:p>
        </w:tc>
        <w:tc>
          <w:tcPr>
            <w:tcMar>
              <w:top w:w="80.0" w:type="dxa"/>
              <w:left w:w="100.0" w:type="dxa"/>
              <w:bottom w:w="80.0" w:type="dxa"/>
              <w:right w:w="100.0" w:type="dxa"/>
            </w:tcMar>
          </w:tcPr>
          <w:p w:rsidR="00000000" w:rsidDel="00000000" w:rsidP="00000000" w:rsidRDefault="00000000" w:rsidRPr="00000000" w14:paraId="00000063">
            <w:pPr>
              <w:rPr/>
            </w:pPr>
            <w:r>
              <w:rPr>
                <w:sz w:val="19"/>
                <w:szCs w:val="19"/>
                <w:rtl w:val="0"/>
              </w:rPr>
              <w:t xml:space="preserve">Wh / 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4">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5">
            <w:pPr>
              <w:rPr/>
            </w:pPr>
            <w:r>
              <w:rPr>
                <w:sz w:val="19"/>
                <w:szCs w:val="19"/>
                <w:rtl w:val="0"/>
              </w:rPr>
              <w:t xml:space="preserve">Grid carbon intensity applied</w:t>
            </w:r>
            <w:r>
              <w:rPr>
                <w:rtl w:val="0"/>
              </w:rPr>
            </w:r>
          </w:p>
        </w:tc>
        <w:tc>
          <w:tcPr>
            <w:tcMar>
              <w:top w:w="80.0" w:type="dxa"/>
              <w:left w:w="100.0" w:type="dxa"/>
              <w:bottom w:w="80.0" w:type="dxa"/>
              <w:right w:w="100.0" w:type="dxa"/>
            </w:tcMar>
          </w:tcPr>
          <w:p w:rsidR="00000000" w:rsidDel="00000000" w:rsidP="00000000" w:rsidRDefault="00000000" w:rsidRPr="00000000" w14:paraId="00000066">
            <w:pPr>
              <w:rPr/>
            </w:pPr>
            <w:r>
              <w:rPr>
                <w:sz w:val="19"/>
                <w:szCs w:val="19"/>
                <w:rtl w:val="0"/>
              </w:rPr>
              <w:t xml:space="preserve">gCO₂e/kWh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rPr/>
            </w:pPr>
            <w:r>
              <w:rPr>
                <w:sz w:val="19"/>
                <w:szCs w:val="19"/>
                <w:rtl w:val="0"/>
              </w:rPr>
              <w:t xml:space="preserve">Greenhouse gases</w:t>
            </w:r>
            <w:r>
              <w:rPr>
                <w:rtl w:val="0"/>
              </w:rPr>
            </w:r>
          </w:p>
        </w:tc>
        <w:tc>
          <w:tcPr>
            <w:tcMar>
              <w:top w:w="80.0" w:type="dxa"/>
              <w:left w:w="100.0" w:type="dxa"/>
              <w:bottom w:w="80.0" w:type="dxa"/>
              <w:right w:w="100.0" w:type="dxa"/>
            </w:tcMar>
          </w:tcPr>
          <w:p w:rsidR="00000000" w:rsidDel="00000000" w:rsidP="00000000" w:rsidRDefault="00000000" w:rsidRPr="00000000" w14:paraId="00000068">
            <w:pPr>
              <w:rPr/>
            </w:pPr>
            <w:r>
              <w:rPr>
                <w:sz w:val="19"/>
                <w:szCs w:val="19"/>
                <w:rtl w:val="0"/>
              </w:rPr>
              <w:t xml:space="preserve">Carbon dioxide equivalent emitted</w:t>
            </w:r>
            <w:r>
              <w:rPr>
                <w:rtl w:val="0"/>
              </w:rPr>
            </w:r>
          </w:p>
        </w:tc>
        <w:tc>
          <w:tcPr>
            <w:tcMar>
              <w:top w:w="80.0" w:type="dxa"/>
              <w:left w:w="100.0" w:type="dxa"/>
              <w:bottom w:w="80.0" w:type="dxa"/>
              <w:right w:w="100.0" w:type="dxa"/>
            </w:tcMar>
          </w:tcPr>
          <w:p w:rsidR="00000000" w:rsidDel="00000000" w:rsidP="00000000" w:rsidRDefault="00000000" w:rsidRPr="00000000" w14:paraId="00000069">
            <w:pPr>
              <w:rPr/>
            </w:pPr>
            <w:r>
              <w:rPr>
                <w:sz w:val="19"/>
                <w:szCs w:val="19"/>
                <w:rtl w:val="0"/>
              </w:rPr>
              <w:t xml:space="preserve">gCO₂e / kgCO₂e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rPr/>
            </w:pPr>
            <w:r>
              <w:rPr>
                <w:sz w:val="19"/>
                <w:szCs w:val="19"/>
                <w:rtl w:val="0"/>
              </w:rPr>
              <w:t xml:space="preserve">Water</w:t>
            </w:r>
            <w:r>
              <w:rPr>
                <w:rtl w:val="0"/>
              </w:rPr>
            </w:r>
          </w:p>
        </w:tc>
        <w:tc>
          <w:tcPr>
            <w:tcMar>
              <w:top w:w="80.0" w:type="dxa"/>
              <w:left w:w="100.0" w:type="dxa"/>
              <w:bottom w:w="80.0" w:type="dxa"/>
              <w:right w:w="100.0" w:type="dxa"/>
            </w:tcMar>
          </w:tcPr>
          <w:p w:rsidR="00000000" w:rsidDel="00000000" w:rsidP="00000000" w:rsidRDefault="00000000" w:rsidRPr="00000000" w14:paraId="0000006B">
            <w:pPr>
              <w:rPr/>
            </w:pPr>
            <w:r>
              <w:rPr>
                <w:sz w:val="19"/>
                <w:szCs w:val="19"/>
                <w:rtl w:val="0"/>
              </w:rPr>
              <w:t xml:space="preserve">Water withdrawn (cooling + power generation)</w:t>
            </w:r>
            <w:r>
              <w:rPr>
                <w:rtl w:val="0"/>
              </w:rPr>
            </w:r>
          </w:p>
        </w:tc>
        <w:tc>
          <w:tcPr>
            <w:tcMar>
              <w:top w:w="80.0" w:type="dxa"/>
              <w:left w:w="100.0" w:type="dxa"/>
              <w:bottom w:w="80.0" w:type="dxa"/>
              <w:right w:w="100.0" w:type="dxa"/>
            </w:tcMar>
          </w:tcPr>
          <w:p w:rsidR="00000000" w:rsidDel="00000000" w:rsidP="00000000" w:rsidRDefault="00000000" w:rsidRPr="00000000" w14:paraId="0000006C">
            <w:pPr>
              <w:rPr/>
            </w:pPr>
            <w:r>
              <w:rPr>
                <w:sz w:val="19"/>
                <w:szCs w:val="19"/>
                <w:rtl w:val="0"/>
              </w:rPr>
              <w:t xml:space="preserve">mL / 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6E">
            <w:pPr>
              <w:rPr/>
            </w:pPr>
            <w:r>
              <w:rPr>
                <w:sz w:val="19"/>
                <w:szCs w:val="19"/>
                <w:rtl w:val="0"/>
              </w:rPr>
              <w:t xml:space="preserve">Associated particulate matter / air pollutant burden</w:t>
            </w:r>
            <w:r>
              <w:rPr>
                <w:rtl w:val="0"/>
              </w:rPr>
            </w:r>
          </w:p>
        </w:tc>
        <w:tc>
          <w:tcPr>
            <w:tcMar>
              <w:top w:w="80.0" w:type="dxa"/>
              <w:left w:w="100.0" w:type="dxa"/>
              <w:bottom w:w="80.0" w:type="dxa"/>
              <w:right w:w="100.0" w:type="dxa"/>
            </w:tcMar>
          </w:tcPr>
          <w:p w:rsidR="00000000" w:rsidDel="00000000" w:rsidP="00000000" w:rsidRDefault="00000000" w:rsidRPr="00000000" w14:paraId="0000006F">
            <w:pPr>
              <w:rPr/>
            </w:pPr>
            <w:r>
              <w:rPr>
                <w:sz w:val="19"/>
                <w:szCs w:val="19"/>
                <w:rtl w:val="0"/>
              </w:rPr>
              <w:t xml:space="preserve">mg PM2.5-eq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0">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71">
            <w:pPr>
              <w:rPr/>
            </w:pPr>
            <w:r>
              <w:rPr>
                <w:sz w:val="19"/>
                <w:szCs w:val="19"/>
                <w:rtl w:val="0"/>
              </w:rPr>
              <w:t xml:space="preserve">Hardware/e-waste amortization share</w:t>
            </w:r>
            <w:r>
              <w:rPr>
                <w:rtl w:val="0"/>
              </w:rPr>
            </w:r>
          </w:p>
        </w:tc>
        <w:tc>
          <w:tcPr>
            <w:tcMar>
              <w:top w:w="80.0" w:type="dxa"/>
              <w:left w:w="100.0" w:type="dxa"/>
              <w:bottom w:w="80.0" w:type="dxa"/>
              <w:right w:w="100.0" w:type="dxa"/>
            </w:tcMar>
          </w:tcPr>
          <w:p w:rsidR="00000000" w:rsidDel="00000000" w:rsidP="00000000" w:rsidRDefault="00000000" w:rsidRPr="00000000" w14:paraId="00000072">
            <w:pPr>
              <w:rPr/>
            </w:pPr>
            <w:r>
              <w:rPr>
                <w:sz w:val="19"/>
                <w:szCs w:val="19"/>
                <w:rtl w:val="0"/>
              </w:rPr>
              <w:t xml:space="preserve">mg e-waste-eq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Pr>
                <w:sz w:val="19"/>
                <w:szCs w:val="19"/>
                <w:rtl w:val="0"/>
              </w:rPr>
              <w:t xml:space="preserve">Land &amp; materials (extended)</w:t>
            </w:r>
            <w:r>
              <w:rPr>
                <w:rtl w:val="0"/>
              </w:rPr>
            </w:r>
          </w:p>
        </w:tc>
        <w:tc>
          <w:tcPr>
            <w:tcMar>
              <w:top w:w="80.0" w:type="dxa"/>
              <w:left w:w="100.0" w:type="dxa"/>
              <w:bottom w:w="80.0" w:type="dxa"/>
              <w:right w:w="100.0" w:type="dxa"/>
            </w:tcMar>
          </w:tcPr>
          <w:p w:rsidR="00000000" w:rsidDel="00000000" w:rsidP="00000000" w:rsidRDefault="00000000" w:rsidRPr="00000000" w14:paraId="00000074">
            <w:pPr>
              <w:rPr/>
            </w:pPr>
            <w:r>
              <w:rPr>
                <w:sz w:val="19"/>
                <w:szCs w:val="19"/>
                <w:rtl w:val="0"/>
              </w:rPr>
              <w:t xml:space="preserve">Mineral/material footprint share (rare-earth, silicon)</w:t>
            </w:r>
            <w:r>
              <w:rPr>
                <w:rtl w:val="0"/>
              </w:rPr>
            </w:r>
          </w:p>
        </w:tc>
        <w:tc>
          <w:tcPr>
            <w:tcMar>
              <w:top w:w="80.0" w:type="dxa"/>
              <w:left w:w="100.0" w:type="dxa"/>
              <w:bottom w:w="80.0" w:type="dxa"/>
              <w:right w:w="100.0" w:type="dxa"/>
            </w:tcMar>
          </w:tcPr>
          <w:p w:rsidR="00000000" w:rsidDel="00000000" w:rsidP="00000000" w:rsidRDefault="00000000" w:rsidRPr="00000000" w14:paraId="00000075">
            <w:pPr>
              <w:rPr/>
            </w:pPr>
            <w:r>
              <w:rPr>
                <w:sz w:val="19"/>
                <w:szCs w:val="19"/>
                <w:rtl w:val="0"/>
              </w:rPr>
              <w:t xml:space="preserve">mg material-eq</w:t>
            </w:r>
            <w:r>
              <w:rPr>
                <w:rtl w:val="0"/>
              </w:rPr>
            </w:r>
          </w:p>
        </w:tc>
      </w:tr>
    </w:tbl>
    <w:p w:rsidR="00000000" w:rsidDel="00000000" w:rsidP="00000000" w:rsidRDefault="00000000" w:rsidRPr="00000000" w14:paraId="00000076">
      <w:pPr>
        <w:spacing w:after="140" w:lineRule="auto"/>
        <w:rPr/>
      </w:pPr>
      <w:r>
        <w:rPr>
          <w:sz w:val="21"/>
          <w:szCs w:val="21"/>
          <w:rtl w:val="0"/>
        </w:rPr>
        <w:t xml:space="preserve">The category list is deliberately extensible: additional impact categories (e.g., noise, biodiversity-adjacent land use for data-center siting) can be added as AIforE's benchmark methodology matures, without changing the client-side data model.</w:t>
      </w:r>
      <w:r>
        <w:rPr>
          <w:rtl w:val="0"/>
        </w:rPr>
      </w:r>
    </w:p>
    <w:p w:rsidR="00000000" w:rsidDel="00000000" w:rsidP="00000000" w:rsidRDefault="00000000" w:rsidRPr="00000000" w14:paraId="00000077">
      <w:pPr>
        <w:pStyle w:val="Heading1"/>
        <w:spacing w:after="160" w:before="360" w:lineRule="auto"/>
        <w:rPr/>
      </w:pPr>
      <w:r>
        <w:rPr>
          <w:b w:val="1"/>
          <w:bCs w:val="1"/>
          <w:color w:val="0f4a2e"/>
          <w:sz w:val="30"/>
          <w:szCs w:val="30"/>
          <w:rtl w:val="0"/>
        </w:rPr>
        <w:t xml:space="preserve">5. Alphanumeric Indicator System</w:t>
      </w:r>
      <w:r>
        <w:rPr>
          <w:rtl w:val="0"/>
        </w:rPr>
      </w:r>
    </w:p>
    <w:p w:rsidR="00000000" w:rsidDel="00000000" w:rsidP="00000000" w:rsidRDefault="00000000" w:rsidRPr="00000000" w14:paraId="00000078">
      <w:pPr>
        <w:spacing w:after="140" w:lineRule="auto"/>
        <w:rPr/>
      </w:pPr>
      <w:r>
        <w:rPr>
          <w:sz w:val="21"/>
          <w:szCs w:val="21"/>
          <w:rtl w:val="0"/>
        </w:rPr>
        <w:t xml:space="preserve">Every measured operation resolves to a compact code so impact can be read, compared, and logged without opening the full visual breakdown — similar in spirit to an EU energy-efficiency label or a nutrition-facts shorthand, but AI/cloud-native.</w:t>
      </w:r>
      <w:r>
        <w:rPr>
          <w:rtl w:val="0"/>
        </w:rPr>
      </w:r>
    </w:p>
    <w:p w:rsidR="00000000" w:rsidDel="00000000" w:rsidP="00000000" w:rsidRDefault="00000000" w:rsidRPr="00000000" w14:paraId="00000079">
      <w:pPr>
        <w:pStyle w:val="Heading2"/>
        <w:spacing w:after="120" w:before="280" w:lineRule="auto"/>
        <w:rPr/>
      </w:pPr>
      <w:r>
        <w:rPr>
          <w:b w:val="1"/>
          <w:bCs w:val="1"/>
          <w:color w:val="1e7a4c"/>
          <w:sz w:val="24"/>
          <w:szCs w:val="24"/>
          <w:rtl w:val="0"/>
        </w:rPr>
        <w:t xml:space="preserve">5.1 Code Structure</w:t>
      </w:r>
      <w:r>
        <w:rPr>
          <w:rtl w:val="0"/>
        </w:rPr>
      </w:r>
    </w:p>
    <w:p w:rsidR="00000000" w:rsidDel="00000000" w:rsidP="00000000" w:rsidRDefault="00000000" w:rsidRPr="00000000" w14:paraId="0000007A">
      <w:pPr>
        <w:spacing w:after="140" w:lineRule="auto"/>
        <w:rPr/>
      </w:pPr>
      <w:r>
        <w:rPr>
          <w:sz w:val="21"/>
          <w:szCs w:val="21"/>
          <w:rtl w:val="0"/>
        </w:rPr>
        <w:t xml:space="preserve">Proposed format: [Impact Grade][Cost Tier]-[Token Volume Class] — e.g. B2-M, D4-XL.</w:t>
      </w:r>
      <w:r>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800"/>
        <w:tblGridChange w:id="0">
          <w:tblGrid>
            <w:gridCol w:w="2600"/>
            <w:gridCol w:w="2600"/>
            <w:gridCol w:w="4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7B">
            <w:pPr>
              <w:rPr/>
            </w:pPr>
            <w:r>
              <w:rPr>
                <w:b w:val="1"/>
                <w:bCs w:val="1"/>
                <w:color w:val="ffffff"/>
                <w:sz w:val="19"/>
                <w:szCs w:val="19"/>
                <w:rtl w:val="0"/>
              </w:rPr>
              <w:t xml:space="preserve">Segment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7C">
            <w:pPr>
              <w:rPr/>
            </w:pPr>
            <w:r>
              <w:rPr>
                <w:b w:val="1"/>
                <w:bCs w:val="1"/>
                <w:color w:val="ffffff"/>
                <w:sz w:val="19"/>
                <w:szCs w:val="19"/>
                <w:rtl w:val="0"/>
              </w:rPr>
              <w:t xml:space="preserve">Values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7D">
            <w:pPr>
              <w:rPr/>
            </w:pPr>
            <w:r>
              <w:rPr>
                <w:b w:val="1"/>
                <w:bCs w:val="1"/>
                <w:color w:val="ffffff"/>
                <w:sz w:val="19"/>
                <w:szCs w:val="19"/>
                <w:rtl w:val="0"/>
              </w:rPr>
              <w:t xml:space="preserve">Meaning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Pr>
                <w:sz w:val="19"/>
                <w:szCs w:val="19"/>
                <w:rtl w:val="0"/>
              </w:rPr>
              <w:t xml:space="preserve">Impact Grade</w:t>
            </w:r>
            <w:r>
              <w:rPr>
                <w:rtl w:val="0"/>
              </w:rPr>
            </w:r>
          </w:p>
        </w:tc>
        <w:tc>
          <w:tcPr>
            <w:tcMar>
              <w:top w:w="80.0" w:type="dxa"/>
              <w:left w:w="100.0" w:type="dxa"/>
              <w:bottom w:w="80.0" w:type="dxa"/>
              <w:right w:w="100.0" w:type="dxa"/>
            </w:tcMar>
          </w:tcPr>
          <w:p w:rsidR="00000000" w:rsidDel="00000000" w:rsidP="00000000" w:rsidRDefault="00000000" w:rsidRPr="00000000" w14:paraId="0000007F">
            <w:pPr>
              <w:rPr/>
            </w:pPr>
            <w:r>
              <w:rPr>
                <w:sz w:val="19"/>
                <w:szCs w:val="19"/>
                <w:rtl w:val="0"/>
              </w:rPr>
              <w:t xml:space="preserve">A – F</w:t>
            </w:r>
            <w:r>
              <w:rPr>
                <w:rtl w:val="0"/>
              </w:rPr>
            </w:r>
          </w:p>
        </w:tc>
        <w:tc>
          <w:tcPr>
            <w:tcMar>
              <w:top w:w="80.0" w:type="dxa"/>
              <w:left w:w="100.0" w:type="dxa"/>
              <w:bottom w:w="80.0" w:type="dxa"/>
              <w:right w:w="100.0" w:type="dxa"/>
            </w:tcMar>
          </w:tcPr>
          <w:p w:rsidR="00000000" w:rsidDel="00000000" w:rsidP="00000000" w:rsidRDefault="00000000" w:rsidRPr="00000000" w14:paraId="00000080">
            <w:pPr>
              <w:rPr/>
            </w:pPr>
            <w:r>
              <w:rPr>
                <w:sz w:val="19"/>
                <w:szCs w:val="19"/>
                <w:rtl w:val="0"/>
              </w:rPr>
              <w:t xml:space="preserve">Composite environmental grade for this operation relative to a rolling benchmark of comparable operations (A = lowest impact per unit of output)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pPr>
            <w:r>
              <w:rPr>
                <w:sz w:val="19"/>
                <w:szCs w:val="19"/>
                <w:rtl w:val="0"/>
              </w:rPr>
              <w:t xml:space="preserve">Cost Tier</w:t>
            </w:r>
            <w:r>
              <w:rPr>
                <w:rtl w:val="0"/>
              </w:rPr>
            </w:r>
          </w:p>
        </w:tc>
        <w:tc>
          <w:tcPr>
            <w:tcMar>
              <w:top w:w="80.0" w:type="dxa"/>
              <w:left w:w="100.0" w:type="dxa"/>
              <w:bottom w:w="80.0" w:type="dxa"/>
              <w:right w:w="100.0" w:type="dxa"/>
            </w:tcMar>
          </w:tcPr>
          <w:p w:rsidR="00000000" w:rsidDel="00000000" w:rsidP="00000000" w:rsidRDefault="00000000" w:rsidRPr="00000000" w14:paraId="00000082">
            <w:pPr>
              <w:rPr/>
            </w:pPr>
            <w:r>
              <w:rPr>
                <w:sz w:val="19"/>
                <w:szCs w:val="19"/>
                <w:rtl w:val="0"/>
              </w:rPr>
              <w:t xml:space="preserve">1 – 5</w:t>
            </w:r>
            <w:r>
              <w:rPr>
                <w:rtl w:val="0"/>
              </w:rPr>
            </w:r>
          </w:p>
        </w:tc>
        <w:tc>
          <w:tcPr>
            <w:tcMar>
              <w:top w:w="80.0" w:type="dxa"/>
              <w:left w:w="100.0" w:type="dxa"/>
              <w:bottom w:w="80.0" w:type="dxa"/>
              <w:right w:w="100.0" w:type="dxa"/>
            </w:tcMar>
          </w:tcPr>
          <w:p w:rsidR="00000000" w:rsidDel="00000000" w:rsidP="00000000" w:rsidRDefault="00000000" w:rsidRPr="00000000" w14:paraId="00000083">
            <w:pPr>
              <w:rPr/>
            </w:pPr>
            <w:r>
              <w:rPr>
                <w:sz w:val="19"/>
                <w:szCs w:val="19"/>
                <w:rtl w:val="0"/>
              </w:rPr>
              <w:t xml:space="preserve">Relative dollar-cost tier for this operation vs. the user's own historical baseline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pPr>
            <w:r>
              <w:rPr>
                <w:sz w:val="19"/>
                <w:szCs w:val="19"/>
                <w:rtl w:val="0"/>
              </w:rPr>
              <w:t xml:space="preserve">Token Volume Class</w:t>
            </w:r>
            <w:r>
              <w:rPr>
                <w:rtl w:val="0"/>
              </w:rPr>
            </w:r>
          </w:p>
        </w:tc>
        <w:tc>
          <w:tcPr>
            <w:tcMar>
              <w:top w:w="80.0" w:type="dxa"/>
              <w:left w:w="100.0" w:type="dxa"/>
              <w:bottom w:w="80.0" w:type="dxa"/>
              <w:right w:w="100.0" w:type="dxa"/>
            </w:tcMar>
          </w:tcPr>
          <w:p w:rsidR="00000000" w:rsidDel="00000000" w:rsidP="00000000" w:rsidRDefault="00000000" w:rsidRPr="00000000" w14:paraId="00000085">
            <w:pPr>
              <w:rPr/>
            </w:pPr>
            <w:r>
              <w:rPr>
                <w:sz w:val="19"/>
                <w:szCs w:val="19"/>
                <w:rtl w:val="0"/>
              </w:rPr>
              <w:t xml:space="preserve">XS / S / M / L / XL</w:t>
            </w:r>
            <w:r>
              <w:rPr>
                <w:rtl w:val="0"/>
              </w:rPr>
            </w:r>
          </w:p>
        </w:tc>
        <w:tc>
          <w:tcPr>
            <w:tcMar>
              <w:top w:w="80.0" w:type="dxa"/>
              <w:left w:w="100.0" w:type="dxa"/>
              <w:bottom w:w="80.0" w:type="dxa"/>
              <w:right w:w="100.0" w:type="dxa"/>
            </w:tcMar>
          </w:tcPr>
          <w:p w:rsidR="00000000" w:rsidDel="00000000" w:rsidP="00000000" w:rsidRDefault="00000000" w:rsidRPr="00000000" w14:paraId="00000086">
            <w:pPr>
              <w:rPr/>
            </w:pPr>
            <w:r>
              <w:rPr>
                <w:sz w:val="19"/>
                <w:szCs w:val="19"/>
                <w:rtl w:val="0"/>
              </w:rPr>
              <w:t xml:space="preserve">Size class of the operation by total tokens or compute consumed</w:t>
            </w:r>
            <w:r>
              <w:rPr>
                <w:rtl w:val="0"/>
              </w:rPr>
            </w:r>
          </w:p>
        </w:tc>
      </w:tr>
    </w:tbl>
    <w:p w:rsidR="00000000" w:rsidDel="00000000" w:rsidP="00000000" w:rsidRDefault="00000000" w:rsidRPr="00000000" w14:paraId="00000087">
      <w:pPr>
        <w:spacing w:after="140" w:lineRule="auto"/>
        <w:rPr/>
      </w:pPr>
      <w:r>
        <w:rPr>
          <w:rtl w:val="0"/>
        </w:rPr>
      </w:r>
    </w:p>
    <w:p w:rsidR="00000000" w:rsidDel="00000000" w:rsidP="00000000" w:rsidRDefault="00000000" w:rsidRPr="00000000" w14:paraId="00000088">
      <w:pPr>
        <w:spacing w:after="140" w:lineRule="auto"/>
        <w:rPr/>
      </w:pPr>
      <w:r>
        <w:rPr>
          <w:sz w:val="21"/>
          <w:szCs w:val="21"/>
          <w:rtl w:val="0"/>
        </w:rPr>
        <w:t xml:space="preserve">The grading benchmark, weighting between categories in the Impact Grade, and the exact thresholds per class are open design questions to be validated with real usage data before the code is finalized (see §19).</w:t>
      </w:r>
      <w:r>
        <w:rPr>
          <w:rtl w:val="0"/>
        </w:rPr>
      </w:r>
    </w:p>
    <w:p w:rsidR="00000000" w:rsidDel="00000000" w:rsidP="00000000" w:rsidRDefault="00000000" w:rsidRPr="00000000" w14:paraId="00000089">
      <w:pPr>
        <w:pStyle w:val="Heading2"/>
        <w:spacing w:after="120" w:before="280" w:lineRule="auto"/>
        <w:rPr/>
      </w:pPr>
      <w:r>
        <w:rPr>
          <w:b w:val="1"/>
          <w:bCs w:val="1"/>
          <w:color w:val="1e7a4c"/>
          <w:sz w:val="24"/>
          <w:szCs w:val="24"/>
          <w:rtl w:val="0"/>
        </w:rPr>
        <w:t xml:space="preserve">5.2 Display Rules</w:t>
      </w:r>
      <w:r>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code appears inline next to the measured item: beside a chat response, in a browser-extension badge, or attached to an infrastructure log line / dashboard row.</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Hovering, tapping, or clicking the code expands the full visual breakdown (§6).</w:t>
      </w:r>
      <w:r>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Codes are cumulative-aware: a session or dashboard view can show an aggregated code alongside the per-operation codes.</w:t>
      </w:r>
      <w:r>
        <w:rPr>
          <w:rtl w:val="0"/>
        </w:rPr>
      </w:r>
    </w:p>
    <w:p w:rsidR="00000000" w:rsidDel="00000000" w:rsidP="00000000" w:rsidRDefault="00000000" w:rsidRPr="00000000" w14:paraId="0000008D">
      <w:pPr>
        <w:pStyle w:val="Heading2"/>
        <w:spacing w:after="120" w:before="280" w:lineRule="auto"/>
        <w:rPr/>
      </w:pPr>
      <w:r>
        <w:rPr>
          <w:b w:val="1"/>
          <w:bCs w:val="1"/>
          <w:color w:val="1e7a4c"/>
          <w:sz w:val="24"/>
          <w:szCs w:val="24"/>
          <w:rtl w:val="0"/>
        </w:rPr>
        <w:t xml:space="preserve">5.3 Stardust Job Identifier (SJI) and Energy-Source Code</w:t>
      </w:r>
      <w:r>
        <w:rPr>
          <w:rtl w:val="0"/>
        </w:rPr>
      </w:r>
    </w:p>
    <w:p w:rsidR="00000000" w:rsidDel="00000000" w:rsidP="00000000" w:rsidRDefault="00000000" w:rsidRPr="00000000" w14:paraId="0000008E">
      <w:pPr>
        <w:spacing w:after="140" w:lineRule="auto"/>
        <w:rPr/>
      </w:pPr>
      <w:r>
        <w:rPr>
          <w:sz w:val="21"/>
          <w:szCs w:val="21"/>
          <w:rtl w:val="0"/>
        </w:rPr>
        <w:t xml:space="preserve">Each measured AI job — a chat turn, an API call, an inference request — is identified by a Stardust Job Identifier (SJI): a GUID-formatted token that, unlike a standard random RFC 4122 UUID, has one reserved segment carrying a human-readable 3-character Energy Source Code (ESC) for the power plant type or category believed to have supplied the electricity behind that job. This keeps the uniqueness guarantee of a GUID while making the dominant energy source legible at a glance in logs, dashboards, and exports, without a lookup.</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 XXXXXXXX-ESC-XXXX-XXXX-XXXXXXXXXXXX — a standard 8-4-4-4-12 GUID shape with the ESC in the second segment (e.g. 3F2A9C10-HYD-4E1A-9C3D-2B6F1A0E7C55 for a job attributed to hydroelectric generation).</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a 3-letter alphabetic code in that segment is not valid hexadecimal, the SJI is a Stardust-specific structured identifier, not a strict RFC 4122 UUID. It is kept separate from the event_id field in the data model (§7), which remains a standard RFC 4122 UUID for database keys, joins, and any system that expects a compliant UUID. The SJI is a human-facing companion identifier for the same event, generated alongside event_id, not a replacement for it.</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the electricity source is a blend from a regional grid rather than a single identifiable plant (the common case), the ESC reflects the dominant source in the applicable grid mix at the job's timestamp and region (§8.5–§8.6), with the full mix breakdown available in the expanded panel (§6.2) and the underlying data model (§7) — see §5.3.3 for how that dominant-source bias is flagged and quantified rather than left implicit.</w:t>
      </w:r>
      <w:r>
        <w:rPr>
          <w:rtl w:val="0"/>
        </w:rPr>
      </w:r>
    </w:p>
    <w:p w:rsidR="00000000" w:rsidDel="00000000" w:rsidP="00000000" w:rsidRDefault="00000000" w:rsidRPr="00000000" w14:paraId="00000092">
      <w:pPr>
        <w:pStyle w:val="Heading3"/>
        <w:spacing w:after="100" w:before="200" w:lineRule="auto"/>
        <w:rPr/>
      </w:pPr>
      <w:r>
        <w:rPr>
          <w:b w:val="1"/>
          <w:bCs w:val="1"/>
          <w:color w:val="333333"/>
          <w:sz w:val="21"/>
          <w:szCs w:val="21"/>
          <w:rtl w:val="0"/>
        </w:rPr>
        <w:t xml:space="preserve">5.3.1 Energy Source Codes (ESC)</w:t>
      </w:r>
      <w:r>
        <w:rPr>
          <w:rtl w:val="0"/>
        </w:rPr>
      </w:r>
    </w:p>
    <w:p w:rsidR="00000000" w:rsidDel="00000000" w:rsidP="00000000" w:rsidRDefault="00000000" w:rsidRPr="00000000" w14:paraId="00000093">
      <w:pPr>
        <w:spacing w:after="140" w:lineRule="auto"/>
        <w:rPr/>
      </w:pPr>
      <w:r>
        <w:rPr>
          <w:sz w:val="21"/>
          <w:szCs w:val="21"/>
          <w:rtl w:val="0"/>
        </w:rPr>
        <w:t xml:space="preserve">Working code list, keyed by power-plant/energy-source type. Extensible: additional codes are added the same way as any other factor-table entry (§8.4) — via versioned configuration, not a client release.</w:t>
      </w:r>
      <w:r>
        <w:rPr>
          <w:rtl w:val="0"/>
        </w:rPr>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0"/>
        <w:tblGridChange w:id="0">
          <w:tblGrid>
            <w:gridCol w:w="1800"/>
            <w:gridCol w:w="8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94">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95">
            <w:pPr>
              <w:rPr/>
            </w:pPr>
            <w:r>
              <w:rPr>
                <w:b w:val="1"/>
                <w:bCs w:val="1"/>
                <w:color w:val="ffffff"/>
                <w:sz w:val="19"/>
                <w:szCs w:val="19"/>
                <w:rtl w:val="0"/>
              </w:rPr>
              <w:t xml:space="preserve">Source / plant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rPr/>
            </w:pPr>
            <w:r>
              <w:rPr>
                <w:sz w:val="19"/>
                <w:szCs w:val="19"/>
                <w:rtl w:val="0"/>
              </w:rPr>
              <w:t xml:space="preserve">NGP</w:t>
            </w:r>
            <w:r>
              <w:rPr>
                <w:rtl w:val="0"/>
              </w:rPr>
            </w:r>
          </w:p>
        </w:tc>
        <w:tc>
          <w:tcPr>
            <w:tcMar>
              <w:top w:w="80.0" w:type="dxa"/>
              <w:left w:w="100.0" w:type="dxa"/>
              <w:bottom w:w="80.0" w:type="dxa"/>
              <w:right w:w="100.0" w:type="dxa"/>
            </w:tcMar>
          </w:tcPr>
          <w:p w:rsidR="00000000" w:rsidDel="00000000" w:rsidP="00000000" w:rsidRDefault="00000000" w:rsidRPr="00000000" w14:paraId="00000097">
            <w:pPr>
              <w:rPr/>
            </w:pPr>
            <w:r>
              <w:rPr>
                <w:sz w:val="19"/>
                <w:szCs w:val="19"/>
                <w:rtl w:val="0"/>
              </w:rPr>
              <w:t xml:space="preserve">Natural 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Pr>
                <w:sz w:val="19"/>
                <w:szCs w:val="19"/>
                <w:rtl w:val="0"/>
              </w:rPr>
              <w:t xml:space="preserve">RNG</w:t>
            </w:r>
            <w:r>
              <w:rPr>
                <w:rtl w:val="0"/>
              </w:rPr>
            </w:r>
          </w:p>
        </w:tc>
        <w:tc>
          <w:tcPr>
            <w:tcMar>
              <w:top w:w="80.0" w:type="dxa"/>
              <w:left w:w="100.0" w:type="dxa"/>
              <w:bottom w:w="80.0" w:type="dxa"/>
              <w:right w:w="100.0" w:type="dxa"/>
            </w:tcMar>
          </w:tcPr>
          <w:p w:rsidR="00000000" w:rsidDel="00000000" w:rsidP="00000000" w:rsidRDefault="00000000" w:rsidRPr="00000000" w14:paraId="00000099">
            <w:pPr>
              <w:rPr/>
            </w:pPr>
            <w:r>
              <w:rPr>
                <w:sz w:val="19"/>
                <w:szCs w:val="19"/>
                <w:rtl w:val="0"/>
              </w:rPr>
              <w:t xml:space="preserve">Renewable natural gas / biogas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A">
            <w:pPr>
              <w:rPr/>
            </w:pPr>
            <w:r>
              <w:rPr>
                <w:sz w:val="19"/>
                <w:szCs w:val="19"/>
                <w:rtl w:val="0"/>
              </w:rPr>
              <w:t xml:space="preserve">OPP</w:t>
            </w:r>
            <w:r>
              <w:rPr>
                <w:rtl w:val="0"/>
              </w:rPr>
            </w:r>
          </w:p>
        </w:tc>
        <w:tc>
          <w:tcPr>
            <w:tcMar>
              <w:top w:w="80.0" w:type="dxa"/>
              <w:left w:w="100.0" w:type="dxa"/>
              <w:bottom w:w="80.0" w:type="dxa"/>
              <w:right w:w="100.0" w:type="dxa"/>
            </w:tcMar>
          </w:tcPr>
          <w:p w:rsidR="00000000" w:rsidDel="00000000" w:rsidP="00000000" w:rsidRDefault="00000000" w:rsidRPr="00000000" w14:paraId="0000009B">
            <w:pPr>
              <w:rPr/>
            </w:pPr>
            <w:r>
              <w:rPr>
                <w:sz w:val="19"/>
                <w:szCs w:val="19"/>
                <w:rtl w:val="0"/>
              </w:rPr>
              <w:t xml:space="preserve">Oil-fired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rPr/>
            </w:pPr>
            <w:r>
              <w:rPr>
                <w:sz w:val="19"/>
                <w:szCs w:val="19"/>
                <w:rtl w:val="0"/>
              </w:rPr>
              <w:t xml:space="preserve">NPP</w:t>
            </w:r>
            <w:r>
              <w:rPr>
                <w:rtl w:val="0"/>
              </w:rPr>
            </w:r>
          </w:p>
        </w:tc>
        <w:tc>
          <w:tcPr>
            <w:tcMar>
              <w:top w:w="80.0" w:type="dxa"/>
              <w:left w:w="100.0" w:type="dxa"/>
              <w:bottom w:w="80.0" w:type="dxa"/>
              <w:right w:w="100.0" w:type="dxa"/>
            </w:tcMar>
          </w:tcPr>
          <w:p w:rsidR="00000000" w:rsidDel="00000000" w:rsidP="00000000" w:rsidRDefault="00000000" w:rsidRPr="00000000" w14:paraId="0000009D">
            <w:pPr>
              <w:rPr/>
            </w:pPr>
            <w:r>
              <w:rPr>
                <w:sz w:val="19"/>
                <w:szCs w:val="19"/>
                <w:rtl w:val="0"/>
              </w:rPr>
              <w:t xml:space="preserve">Nuclear power plant (conventional)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rPr/>
            </w:pPr>
            <w:r>
              <w:rPr>
                <w:sz w:val="19"/>
                <w:szCs w:val="19"/>
                <w:rtl w:val="0"/>
              </w:rPr>
              <w:t xml:space="preserve">SMR</w:t>
            </w:r>
            <w:r>
              <w:rPr>
                <w:rtl w:val="0"/>
              </w:rPr>
            </w:r>
          </w:p>
        </w:tc>
        <w:tc>
          <w:tcPr>
            <w:tcMar>
              <w:top w:w="80.0" w:type="dxa"/>
              <w:left w:w="100.0" w:type="dxa"/>
              <w:bottom w:w="80.0" w:type="dxa"/>
              <w:right w:w="100.0" w:type="dxa"/>
            </w:tcMar>
          </w:tcPr>
          <w:p w:rsidR="00000000" w:rsidDel="00000000" w:rsidP="00000000" w:rsidRDefault="00000000" w:rsidRPr="00000000" w14:paraId="0000009F">
            <w:pPr>
              <w:rPr/>
            </w:pPr>
            <w:r>
              <w:rPr>
                <w:sz w:val="19"/>
                <w:szCs w:val="19"/>
                <w:rtl w:val="0"/>
              </w:rPr>
              <w:t xml:space="preserve">Small modular reactor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0">
            <w:pPr>
              <w:rPr/>
            </w:pPr>
            <w:r>
              <w:rPr>
                <w:sz w:val="19"/>
                <w:szCs w:val="19"/>
                <w:rtl w:val="0"/>
              </w:rPr>
              <w:t xml:space="preserve">WEC</w:t>
            </w:r>
            <w:r>
              <w:rPr>
                <w:rtl w:val="0"/>
              </w:rPr>
            </w:r>
          </w:p>
        </w:tc>
        <w:tc>
          <w:tcPr>
            <w:tcMar>
              <w:top w:w="80.0" w:type="dxa"/>
              <w:left w:w="100.0" w:type="dxa"/>
              <w:bottom w:w="80.0" w:type="dxa"/>
              <w:right w:w="100.0" w:type="dxa"/>
            </w:tcMar>
          </w:tcPr>
          <w:p w:rsidR="00000000" w:rsidDel="00000000" w:rsidP="00000000" w:rsidRDefault="00000000" w:rsidRPr="00000000" w14:paraId="000000A1">
            <w:pPr>
              <w:rPr/>
            </w:pPr>
            <w:r>
              <w:rPr>
                <w:sz w:val="19"/>
                <w:szCs w:val="19"/>
                <w:rtl w:val="0"/>
              </w:rPr>
              <w:t xml:space="preserve">Wave/marine energy converter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2">
            <w:pPr>
              <w:rPr/>
            </w:pPr>
            <w:r>
              <w:rPr>
                <w:sz w:val="19"/>
                <w:szCs w:val="19"/>
                <w:rtl w:val="0"/>
              </w:rPr>
              <w:t xml:space="preserve">HYD</w:t>
            </w:r>
            <w:r>
              <w:rPr>
                <w:rtl w:val="0"/>
              </w:rPr>
            </w:r>
          </w:p>
        </w:tc>
        <w:tc>
          <w:tcPr>
            <w:tcMar>
              <w:top w:w="80.0" w:type="dxa"/>
              <w:left w:w="100.0" w:type="dxa"/>
              <w:bottom w:w="80.0" w:type="dxa"/>
              <w:right w:w="100.0" w:type="dxa"/>
            </w:tcMar>
          </w:tcPr>
          <w:p w:rsidR="00000000" w:rsidDel="00000000" w:rsidP="00000000" w:rsidRDefault="00000000" w:rsidRPr="00000000" w14:paraId="000000A3">
            <w:pPr>
              <w:rPr/>
            </w:pPr>
            <w:r>
              <w:rPr>
                <w:sz w:val="19"/>
                <w:szCs w:val="19"/>
                <w:rtl w:val="0"/>
              </w:rPr>
              <w:t xml:space="preserve">Hydroelectric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Pr>
                <w:sz w:val="19"/>
                <w:szCs w:val="19"/>
                <w:rtl w:val="0"/>
              </w:rPr>
              <w:t xml:space="preserve">SPP</w:t>
            </w:r>
            <w:r>
              <w:rPr>
                <w:rtl w:val="0"/>
              </w:rPr>
            </w:r>
          </w:p>
        </w:tc>
        <w:tc>
          <w:tcPr>
            <w:tcMar>
              <w:top w:w="80.0" w:type="dxa"/>
              <w:left w:w="100.0" w:type="dxa"/>
              <w:bottom w:w="80.0" w:type="dxa"/>
              <w:right w:w="100.0" w:type="dxa"/>
            </w:tcMar>
          </w:tcPr>
          <w:p w:rsidR="00000000" w:rsidDel="00000000" w:rsidP="00000000" w:rsidRDefault="00000000" w:rsidRPr="00000000" w14:paraId="000000A5">
            <w:pPr>
              <w:rPr/>
            </w:pPr>
            <w:r>
              <w:rPr>
                <w:sz w:val="19"/>
                <w:szCs w:val="19"/>
                <w:rtl w:val="0"/>
              </w:rPr>
              <w:t xml:space="preserve">Solar power plant (utility-scale PV or thermal)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rPr/>
            </w:pPr>
            <w:r>
              <w:rPr>
                <w:sz w:val="19"/>
                <w:szCs w:val="19"/>
                <w:rtl w:val="0"/>
              </w:rPr>
              <w:t xml:space="preserve">WPP</w:t>
            </w:r>
            <w:r>
              <w:rPr>
                <w:rtl w:val="0"/>
              </w:rPr>
            </w:r>
          </w:p>
        </w:tc>
        <w:tc>
          <w:tcPr>
            <w:tcMar>
              <w:top w:w="80.0" w:type="dxa"/>
              <w:left w:w="100.0" w:type="dxa"/>
              <w:bottom w:w="80.0" w:type="dxa"/>
              <w:right w:w="100.0" w:type="dxa"/>
            </w:tcMar>
          </w:tcPr>
          <w:p w:rsidR="00000000" w:rsidDel="00000000" w:rsidP="00000000" w:rsidRDefault="00000000" w:rsidRPr="00000000" w14:paraId="000000A7">
            <w:pPr>
              <w:rPr/>
            </w:pPr>
            <w:r>
              <w:rPr>
                <w:sz w:val="19"/>
                <w:szCs w:val="19"/>
                <w:rtl w:val="0"/>
              </w:rPr>
              <w:t xml:space="preserve">Wind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rPr/>
            </w:pPr>
            <w:r>
              <w:rPr>
                <w:sz w:val="19"/>
                <w:szCs w:val="19"/>
                <w:rtl w:val="0"/>
              </w:rPr>
              <w:t xml:space="preserve">GPP</w:t>
            </w:r>
            <w:r>
              <w:rPr>
                <w:rtl w:val="0"/>
              </w:rPr>
            </w:r>
          </w:p>
        </w:tc>
        <w:tc>
          <w:tcPr>
            <w:tcMar>
              <w:top w:w="80.0" w:type="dxa"/>
              <w:left w:w="100.0" w:type="dxa"/>
              <w:bottom w:w="80.0" w:type="dxa"/>
              <w:right w:w="100.0" w:type="dxa"/>
            </w:tcMar>
          </w:tcPr>
          <w:p w:rsidR="00000000" w:rsidDel="00000000" w:rsidP="00000000" w:rsidRDefault="00000000" w:rsidRPr="00000000" w14:paraId="000000A9">
            <w:pPr>
              <w:rPr/>
            </w:pPr>
            <w:r>
              <w:rPr>
                <w:sz w:val="19"/>
                <w:szCs w:val="19"/>
                <w:rtl w:val="0"/>
              </w:rPr>
              <w:t xml:space="preserve">Geothermal power plant</w:t>
            </w:r>
            <w:r>
              <w:rPr>
                <w:rtl w:val="0"/>
              </w:rPr>
            </w:r>
          </w:p>
        </w:tc>
      </w:tr>
    </w:tbl>
    <w:p w:rsidR="00000000" w:rsidDel="00000000" w:rsidP="00000000" w:rsidRDefault="00000000" w:rsidRPr="00000000" w14:paraId="000000AA">
      <w:pPr>
        <w:spacing w:after="140" w:lineRule="auto"/>
        <w:rPr/>
      </w:pPr>
      <w:r>
        <w:rPr>
          <w:rtl w:val="0"/>
        </w:rPr>
      </w:r>
    </w:p>
    <w:p w:rsidR="00000000" w:rsidDel="00000000" w:rsidP="00000000" w:rsidRDefault="00000000" w:rsidRPr="00000000" w14:paraId="000000AB">
      <w:pPr>
        <w:spacing w:after="140" w:lineRule="auto"/>
        <w:rPr/>
      </w:pPr>
      <w:r>
        <w:rPr>
          <w:sz w:val="21"/>
          <w:szCs w:val="21"/>
          <w:rtl w:val="0"/>
        </w:rPr>
        <w:t xml:space="preserve">Additional codes (e.g., for coal, biomass, tidal, or battery storage discharge) are added as appropriate following the same convention, subject to board/technical review before being added to the published code table.</w:t>
      </w:r>
      <w:r>
        <w:rPr>
          <w:rtl w:val="0"/>
        </w:rPr>
      </w:r>
    </w:p>
    <w:p w:rsidR="00000000" w:rsidDel="00000000" w:rsidP="00000000" w:rsidRDefault="00000000" w:rsidRPr="00000000" w14:paraId="000000AC">
      <w:pPr>
        <w:pStyle w:val="Heading3"/>
        <w:spacing w:after="100" w:before="200" w:lineRule="auto"/>
        <w:rPr/>
      </w:pPr>
      <w:r>
        <w:rPr>
          <w:b w:val="1"/>
          <w:bCs w:val="1"/>
          <w:color w:val="333333"/>
          <w:sz w:val="21"/>
          <w:szCs w:val="21"/>
          <w:rtl w:val="0"/>
        </w:rPr>
        <w:t xml:space="preserve">5.3.2 Fallback Codes for Partial Confidence</w:t>
      </w:r>
      <w:r>
        <w:rPr>
          <w:rtl w:val="0"/>
        </w:rPr>
      </w:r>
    </w:p>
    <w:p w:rsidR="00000000" w:rsidDel="00000000" w:rsidP="00000000" w:rsidRDefault="00000000" w:rsidRPr="00000000" w14:paraId="000000AD">
      <w:pPr>
        <w:spacing w:after="140" w:lineRule="auto"/>
        <w:rPr/>
      </w:pPr>
      <w:r>
        <w:rPr>
          <w:sz w:val="21"/>
          <w:szCs w:val="21"/>
          <w:rtl w:val="0"/>
        </w:rPr>
        <w:t xml:space="preserve">Grid mix and per-plant attribution are not always resolvable to a specific plant type, especially at Estimated confidence (§8.3) or where a provider/region discloses only an aggregate split. Three fallback codes cover the cases where only a broader category is known:</w:t>
      </w:r>
      <w:r>
        <w:rPr>
          <w:rtl w:val="0"/>
        </w:rPr>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600"/>
        <w:tblGridChange w:id="0">
          <w:tblGrid>
            <w:gridCol w:w="1600"/>
            <w:gridCol w:w="3600"/>
            <w:gridCol w:w="4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A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AF">
            <w:pPr>
              <w:rPr/>
            </w:pPr>
            <w:r>
              <w:rPr>
                <w:b w:val="1"/>
                <w:bCs w:val="1"/>
                <w:color w:val="ffffff"/>
                <w:sz w:val="19"/>
                <w:szCs w:val="19"/>
                <w:rtl w:val="0"/>
              </w:rPr>
              <w:t xml:space="preserve">Meaning</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B0">
            <w:pPr>
              <w:rPr/>
            </w:pPr>
            <w:r>
              <w:rPr>
                <w:b w:val="1"/>
                <w:bCs w:val="1"/>
                <w:color w:val="ffffff"/>
                <w:sz w:val="19"/>
                <w:szCs w:val="19"/>
                <w:rtl w:val="0"/>
              </w:rPr>
              <w:t xml:space="preserve">Used when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rPr/>
            </w:pPr>
            <w:r>
              <w:rPr>
                <w:sz w:val="19"/>
                <w:szCs w:val="19"/>
                <w:rtl w:val="0"/>
              </w:rPr>
              <w:t xml:space="preserve">FPP</w:t>
            </w:r>
            <w:r>
              <w:rPr>
                <w:rtl w:val="0"/>
              </w:rPr>
            </w:r>
          </w:p>
        </w:tc>
        <w:tc>
          <w:tcPr>
            <w:tcMar>
              <w:top w:w="80.0" w:type="dxa"/>
              <w:left w:w="100.0" w:type="dxa"/>
              <w:bottom w:w="80.0" w:type="dxa"/>
              <w:right w:w="100.0" w:type="dxa"/>
            </w:tcMar>
          </w:tcPr>
          <w:p w:rsidR="00000000" w:rsidDel="00000000" w:rsidP="00000000" w:rsidRDefault="00000000" w:rsidRPr="00000000" w14:paraId="000000B2">
            <w:pPr>
              <w:rPr/>
            </w:pPr>
            <w:r>
              <w:rPr>
                <w:sz w:val="19"/>
                <w:szCs w:val="19"/>
                <w:rtl w:val="0"/>
              </w:rPr>
              <w:t xml:space="preserve">Fossil fuel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3">
            <w:pPr>
              <w:rPr/>
            </w:pPr>
            <w:r>
              <w:rPr>
                <w:sz w:val="19"/>
                <w:szCs w:val="19"/>
                <w:rtl w:val="0"/>
              </w:rPr>
              <w:t xml:space="preserve">Known to be fossil-sourced, but the specific fuel (gas/oil/coal) isn't resolvable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rPr/>
            </w:pPr>
            <w:r>
              <w:rPr>
                <w:sz w:val="19"/>
                <w:szCs w:val="19"/>
                <w:rtl w:val="0"/>
              </w:rPr>
              <w:t xml:space="preserve">ZEP</w:t>
            </w:r>
            <w:r>
              <w:rPr>
                <w:rtl w:val="0"/>
              </w:rPr>
            </w:r>
          </w:p>
        </w:tc>
        <w:tc>
          <w:tcPr>
            <w:tcMar>
              <w:top w:w="80.0" w:type="dxa"/>
              <w:left w:w="100.0" w:type="dxa"/>
              <w:bottom w:w="80.0" w:type="dxa"/>
              <w:right w:w="100.0" w:type="dxa"/>
            </w:tcMar>
          </w:tcPr>
          <w:p w:rsidR="00000000" w:rsidDel="00000000" w:rsidP="00000000" w:rsidRDefault="00000000" w:rsidRPr="00000000" w14:paraId="000000B5">
            <w:pPr>
              <w:rPr/>
            </w:pPr>
            <w:r>
              <w:rPr>
                <w:sz w:val="19"/>
                <w:szCs w:val="19"/>
                <w:rtl w:val="0"/>
              </w:rPr>
              <w:t xml:space="preserve">Zero-emissions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6">
            <w:pPr>
              <w:rPr/>
            </w:pPr>
            <w:r>
              <w:rPr>
                <w:sz w:val="19"/>
                <w:szCs w:val="19"/>
                <w:rtl w:val="0"/>
              </w:rPr>
              <w:t xml:space="preserve">Known to be a zero-carbon-at-generation source, but not resolvable to nuclear vs. SMR vs. another zero-emission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7">
            <w:pPr>
              <w:rPr/>
            </w:pPr>
            <w:r>
              <w:rPr>
                <w:sz w:val="19"/>
                <w:szCs w:val="19"/>
                <w:rtl w:val="0"/>
              </w:rPr>
              <w:t xml:space="preserve">REP</w:t>
            </w:r>
            <w:r>
              <w:rPr>
                <w:rtl w:val="0"/>
              </w:rPr>
            </w:r>
          </w:p>
        </w:tc>
        <w:tc>
          <w:tcPr>
            <w:tcMar>
              <w:top w:w="80.0" w:type="dxa"/>
              <w:left w:w="100.0" w:type="dxa"/>
              <w:bottom w:w="80.0" w:type="dxa"/>
              <w:right w:w="100.0" w:type="dxa"/>
            </w:tcMar>
          </w:tcPr>
          <w:p w:rsidR="00000000" w:rsidDel="00000000" w:rsidP="00000000" w:rsidRDefault="00000000" w:rsidRPr="00000000" w14:paraId="000000B8">
            <w:pPr>
              <w:rPr/>
            </w:pPr>
            <w:r>
              <w:rPr>
                <w:sz w:val="19"/>
                <w:szCs w:val="19"/>
                <w:rtl w:val="0"/>
              </w:rPr>
              <w:t xml:space="preserve">Renewable energy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9">
            <w:pPr>
              <w:rPr/>
            </w:pPr>
            <w:r>
              <w:rPr>
                <w:sz w:val="19"/>
                <w:szCs w:val="19"/>
                <w:rtl w:val="0"/>
              </w:rPr>
              <w:t xml:space="preserve">Known to be renewable, but not resolvable to solar/wind/hydro/geothermal/wave specifically</w:t>
            </w:r>
            <w:r>
              <w:rPr>
                <w:rtl w:val="0"/>
              </w:rPr>
            </w:r>
          </w:p>
        </w:tc>
      </w:tr>
    </w:tbl>
    <w:p w:rsidR="00000000" w:rsidDel="00000000" w:rsidP="00000000" w:rsidRDefault="00000000" w:rsidRPr="00000000" w14:paraId="000000BA">
      <w:pPr>
        <w:spacing w:after="140" w:lineRule="auto"/>
        <w:rPr/>
      </w:pP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even the fossil/zero-carbon/renewable category can't be determined, the SJI's ESC segment uses UNK (unknown), and the job's environmental figures stay at Estimated confidence (§8.3) using the generic factors described there.</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Fallback codes are chosen by matching the best available data to the narrowest code the evidence supports — a job should never be assigned a specific plant-type code (e.g. HYD) on the strength of only a category-level data source; it gets the matching fallback code (e.g. REP) instead, consistent with the confidence-tier discipline in §8.</w:t>
      </w:r>
      <w:r>
        <w:rPr>
          <w:rtl w:val="0"/>
        </w:rPr>
      </w:r>
    </w:p>
    <w:p w:rsidR="00000000" w:rsidDel="00000000" w:rsidP="00000000" w:rsidRDefault="00000000" w:rsidRPr="00000000" w14:paraId="000000BD">
      <w:pPr>
        <w:pStyle w:val="Heading3"/>
        <w:spacing w:after="100" w:before="200" w:lineRule="auto"/>
        <w:rPr/>
      </w:pPr>
      <w:r>
        <w:rPr>
          <w:b w:val="1"/>
          <w:bCs w:val="1"/>
          <w:color w:val="333333"/>
          <w:sz w:val="21"/>
          <w:szCs w:val="21"/>
          <w:rtl w:val="0"/>
        </w:rPr>
        <w:t xml:space="preserve">5.3.3 Grid Style and Majority-Source Bias</w:t>
      </w:r>
      <w:r>
        <w:rPr>
          <w:rtl w:val="0"/>
        </w:rPr>
      </w:r>
    </w:p>
    <w:p w:rsidR="00000000" w:rsidDel="00000000" w:rsidP="00000000" w:rsidRDefault="00000000" w:rsidRPr="00000000" w14:paraId="000000BE">
      <w:pPr>
        <w:spacing w:after="140" w:lineRule="auto"/>
        <w:rPr/>
      </w:pPr>
      <w:r>
        <w:rPr>
          <w:sz w:val="21"/>
          <w:szCs w:val="21"/>
          <w:rtl w:val="0"/>
        </w:rPr>
        <w:t xml:space="preserve">Most jobs are not powered by one identifiable plant — they draw from a regional grid mixing several generation types at once. In that common case, the ESC (§5.3.1–§5.3.2) is set to whichever source holds the largest share of the mix, a plurality rather than a true majority. Left on its own, that single code could read as if the job ran on 100% of that source, so two additional fields make the bias explicit rather than implied:</w:t>
      </w:r>
      <w:r>
        <w:rPr>
          <w:rtl w:val="0"/>
        </w:rPr>
      </w:r>
    </w:p>
    <w:tbl>
      <w:tblPr>
        <w:tblStyle w:val="Table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5000"/>
        <w:tblGridChange w:id="0">
          <w:tblGrid>
            <w:gridCol w:w="2600"/>
            <w:gridCol w:w="2600"/>
            <w:gridCol w:w="5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B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0">
            <w:pPr>
              <w:rPr/>
            </w:pPr>
            <w:r>
              <w:rPr>
                <w:b w:val="1"/>
                <w:bCs w:val="1"/>
                <w:color w:val="ffffff"/>
                <w:sz w:val="19"/>
                <w:szCs w:val="19"/>
                <w:rtl w:val="0"/>
              </w:rPr>
              <w:t xml:space="preserve">Values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1">
            <w:pPr>
              <w:rPr/>
            </w:pPr>
            <w:r>
              <w:rPr>
                <w:b w:val="1"/>
                <w:bCs w:val="1"/>
                <w:color w:val="ffffff"/>
                <w:sz w:val="19"/>
                <w:szCs w:val="19"/>
                <w:rtl w:val="0"/>
              </w:rPr>
              <w:t xml:space="preserve">Meaning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Pr>
                <w:sz w:val="19"/>
                <w:szCs w:val="19"/>
                <w:rtl w:val="0"/>
              </w:rPr>
              <w:t xml:space="preserve">grid_style</w:t>
            </w:r>
            <w:r>
              <w:rPr>
                <w:rtl w:val="0"/>
              </w:rPr>
            </w:r>
          </w:p>
        </w:tc>
        <w:tc>
          <w:tcPr>
            <w:tcMar>
              <w:top w:w="80.0" w:type="dxa"/>
              <w:left w:w="100.0" w:type="dxa"/>
              <w:bottom w:w="80.0" w:type="dxa"/>
              <w:right w:w="100.0" w:type="dxa"/>
            </w:tcMar>
          </w:tcPr>
          <w:p w:rsidR="00000000" w:rsidDel="00000000" w:rsidP="00000000" w:rsidRDefault="00000000" w:rsidRPr="00000000" w14:paraId="000000C3">
            <w:pPr>
              <w:rPr/>
            </w:pPr>
            <w:r>
              <w:rPr>
                <w:sz w:val="19"/>
                <w:szCs w:val="19"/>
                <w:rtl w:val="0"/>
              </w:rPr>
              <w:t xml:space="preserve">dedicated | grid-blend</w:t>
            </w:r>
            <w:r>
              <w:rPr>
                <w:rtl w:val="0"/>
              </w:rPr>
            </w:r>
          </w:p>
        </w:tc>
        <w:tc>
          <w:tcPr>
            <w:tcMar>
              <w:top w:w="80.0" w:type="dxa"/>
              <w:left w:w="100.0" w:type="dxa"/>
              <w:bottom w:w="80.0" w:type="dxa"/>
              <w:right w:w="100.0" w:type="dxa"/>
            </w:tcMar>
          </w:tcPr>
          <w:p w:rsidR="00000000" w:rsidDel="00000000" w:rsidP="00000000" w:rsidRDefault="00000000" w:rsidRPr="00000000" w14:paraId="000000C4">
            <w:pPr>
              <w:rPr/>
            </w:pPr>
            <w:r>
              <w:rPr>
                <w:sz w:val="19"/>
                <w:szCs w:val="19"/>
                <w:rtl w:val="0"/>
              </w:rPr>
              <w:t xml:space="preserve">Whether the ESC reflects a single directly-attributable source (on-site generation, a dedicated PPA — §12.9) or the plurality source within a blended regional grid at the job's timestamp</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rPr/>
            </w:pPr>
            <w:r>
              <w:rPr>
                <w:sz w:val="19"/>
                <w:szCs w:val="19"/>
                <w:rtl w:val="0"/>
              </w:rPr>
              <w:t xml:space="preserve">grid_majority_share_pct</w:t>
            </w:r>
            <w:r>
              <w:rPr>
                <w:rtl w:val="0"/>
              </w:rPr>
            </w:r>
          </w:p>
        </w:tc>
        <w:tc>
          <w:tcPr>
            <w:tcMar>
              <w:top w:w="80.0" w:type="dxa"/>
              <w:left w:w="100.0" w:type="dxa"/>
              <w:bottom w:w="80.0" w:type="dxa"/>
              <w:right w:w="100.0" w:type="dxa"/>
            </w:tcMar>
          </w:tcPr>
          <w:p w:rsidR="00000000" w:rsidDel="00000000" w:rsidP="00000000" w:rsidRDefault="00000000" w:rsidRPr="00000000" w14:paraId="000000C6">
            <w:pPr>
              <w:rPr/>
            </w:pPr>
            <w:r>
              <w:rPr>
                <w:sz w:val="19"/>
                <w:szCs w:val="19"/>
                <w:rtl w:val="0"/>
              </w:rPr>
              <w:t xml:space="preserve">0–100</w:t>
            </w:r>
            <w:r>
              <w:rPr>
                <w:rtl w:val="0"/>
              </w:rPr>
            </w:r>
          </w:p>
        </w:tc>
        <w:tc>
          <w:tcPr>
            <w:tcMar>
              <w:top w:w="80.0" w:type="dxa"/>
              <w:left w:w="100.0" w:type="dxa"/>
              <w:bottom w:w="80.0" w:type="dxa"/>
              <w:right w:w="100.0" w:type="dxa"/>
            </w:tcMar>
          </w:tcPr>
          <w:p w:rsidR="00000000" w:rsidDel="00000000" w:rsidP="00000000" w:rsidRDefault="00000000" w:rsidRPr="00000000" w14:paraId="000000C7">
            <w:pPr>
              <w:rPr/>
            </w:pPr>
            <w:r>
              <w:rPr>
                <w:sz w:val="19"/>
                <w:szCs w:val="19"/>
                <w:rtl w:val="0"/>
              </w:rPr>
              <w:t xml:space="preserve">The percentage share the plurality source actually held in the mix at that moment, so a display or export can show, e.g., “grid-blend, 42% natural gas” rather than implying single-source generation</w:t>
            </w:r>
            <w:r>
              <w:rPr>
                <w:rtl w:val="0"/>
              </w:rPr>
            </w:r>
          </w:p>
        </w:tc>
      </w:tr>
    </w:tbl>
    <w:p w:rsidR="00000000" w:rsidDel="00000000" w:rsidP="00000000" w:rsidRDefault="00000000" w:rsidRPr="00000000" w14:paraId="000000C8">
      <w:pPr>
        <w:spacing w:after="140" w:lineRule="auto"/>
        <w:rPr/>
      </w:pP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Display copy uses both fields together: a dedicated-source job shows the ESC plainly (e.g., “HYD”), while a grid-blend job shows the ESC qualified by its share (e.g., “grid-blend — 42% NGP”), so the badge and breakdown panel (§6.1–§6.2) never overstate how dominant that source really is.</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When the plurality source's share falls below a configurable diversification threshold (default 25%), the job is flagged in display copy as a highly diversified mix (e.g., “mixed grid — no dominant source”) even though the ESC field still technically records the narrow plurality, so a barely-largest source in an otherwise even split isn't shown as if it were dominant. The threshold itself is versioned configuration (§8.4), not fixed.</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most useful paired with the fallback codes in §5.3.2: a job can show, for example, “grid-blend — 55% FPP (fossil, type unresolved)” when the region's fossil/renewable split is known but the specific plant type within it isn't.</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Both fields are sourced the same way as the full energy_mix_breakdown in the data model (§7) — primarily Electricity Maps' Power Breakdown API and equivalent regional grid-operator feeds (§8.7.3) — and refresh at the cadence set in §8.6.</w:t>
      </w:r>
      <w:r>
        <w:rPr>
          <w:rtl w:val="0"/>
        </w:rPr>
      </w:r>
    </w:p>
    <w:p w:rsidR="00000000" w:rsidDel="00000000" w:rsidP="00000000" w:rsidRDefault="00000000" w:rsidRPr="00000000" w14:paraId="000000CD">
      <w:pPr>
        <w:pStyle w:val="Heading1"/>
        <w:spacing w:after="160" w:before="360" w:lineRule="auto"/>
        <w:rPr/>
      </w:pPr>
      <w:r>
        <w:rPr>
          <w:b w:val="1"/>
          <w:bCs w:val="1"/>
          <w:color w:val="0f4a2e"/>
          <w:sz w:val="30"/>
          <w:szCs w:val="30"/>
          <w:rtl w:val="0"/>
        </w:rPr>
        <w:t xml:space="preserve">6. Visual UI Elements</w:t>
      </w:r>
      <w:r>
        <w:rPr>
          <w:rtl w:val="0"/>
        </w:rPr>
      </w:r>
    </w:p>
    <w:p w:rsidR="00000000" w:rsidDel="00000000" w:rsidP="00000000" w:rsidRDefault="00000000" w:rsidRPr="00000000" w14:paraId="000000CE">
      <w:pPr>
        <w:pStyle w:val="Heading2"/>
        <w:spacing w:after="120" w:before="280" w:lineRule="auto"/>
        <w:rPr/>
      </w:pPr>
      <w:r>
        <w:rPr>
          <w:b w:val="1"/>
          <w:bCs w:val="1"/>
          <w:color w:val="1e7a4c"/>
          <w:sz w:val="24"/>
          <w:szCs w:val="24"/>
          <w:rtl w:val="0"/>
        </w:rPr>
        <w:t xml:space="preserve">6.1 Inline Badge</w:t>
      </w:r>
      <w:r>
        <w:rPr>
          <w:rtl w:val="0"/>
        </w:rPr>
      </w:r>
    </w:p>
    <w:p w:rsidR="00000000" w:rsidDel="00000000" w:rsidP="00000000" w:rsidRDefault="00000000" w:rsidRPr="00000000" w14:paraId="000000CF">
      <w:pPr>
        <w:spacing w:after="140" w:lineRule="auto"/>
        <w:rPr/>
      </w:pPr>
      <w:r>
        <w:rPr>
          <w:sz w:val="21"/>
          <w:szCs w:val="21"/>
          <w:rtl w:val="0"/>
        </w:rPr>
        <w:t xml:space="preserve">A small, non-intrusive badge rendered next to each metered operation (a chat turn, a query result). Shows the alphanumeric code plus a single-glance icon (leaf/lightning/droplet cluster) using AIforE's existing brand palette (electric bio-green #4AE87A accent on a dark theme, consistent with AIforE.org).</w:t>
      </w:r>
      <w:r>
        <w:rPr>
          <w:rtl w:val="0"/>
        </w:rPr>
      </w:r>
    </w:p>
    <w:p w:rsidR="00000000" w:rsidDel="00000000" w:rsidP="00000000" w:rsidRDefault="00000000" w:rsidRPr="00000000" w14:paraId="000000D0">
      <w:pPr>
        <w:pStyle w:val="Heading2"/>
        <w:spacing w:after="120" w:before="280" w:lineRule="auto"/>
        <w:rPr/>
      </w:pPr>
      <w:r>
        <w:rPr>
          <w:b w:val="1"/>
          <w:bCs w:val="1"/>
          <w:color w:val="1e7a4c"/>
          <w:sz w:val="24"/>
          <w:szCs w:val="24"/>
          <w:rtl w:val="0"/>
        </w:rPr>
        <w:t xml:space="preserve">6.2 Expanded Breakdown Panel</w:t>
      </w:r>
      <w:r>
        <w:rPr>
          <w:rtl w:val="0"/>
        </w:rPr>
      </w:r>
    </w:p>
    <w:p w:rsidR="00000000" w:rsidDel="00000000" w:rsidP="00000000" w:rsidRDefault="00000000" w:rsidRPr="00000000" w14:paraId="000000D1">
      <w:pPr>
        <w:spacing w:after="140" w:lineRule="auto"/>
        <w:rPr/>
      </w:pPr>
      <w:r>
        <w:rPr>
          <w:sz w:val="21"/>
          <w:szCs w:val="21"/>
          <w:rtl w:val="0"/>
        </w:rPr>
        <w:t xml:space="preserve">Opens from the badge. Contains:</w:t>
      </w:r>
      <w:r>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consumption summary: tokens in/out, requests, compute time.</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cost summary: this operation, session running total, and monthly-to-date.</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 environmental panel with one row per category from §4.3, each with a small horizontal bar or ring showing this operation's value against (a) the user's own average and (b) a category benchmark.</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confidence indicator (Measured / Modeled / Estimated) per environmental figure, with a short methodology tooltip.</w:t>
      </w:r>
      <w:r>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 optional “remediate this” call-to-action, which routes through the Provider/Subscriber broker architecture in §10 rather than a built-in transaction engine, and a separate, optional “support AIforE” call-to-action for a direct nonprofit donation using the same broker (§10.3, §18).</w:t>
      </w:r>
      <w:r>
        <w:rPr>
          <w:rtl w:val="0"/>
        </w:rPr>
      </w:r>
    </w:p>
    <w:p w:rsidR="00000000" w:rsidDel="00000000" w:rsidP="00000000" w:rsidRDefault="00000000" w:rsidRPr="00000000" w14:paraId="000000D7">
      <w:pPr>
        <w:pStyle w:val="Heading2"/>
        <w:spacing w:after="120" w:before="280" w:lineRule="auto"/>
        <w:rPr/>
      </w:pPr>
      <w:r>
        <w:rPr>
          <w:b w:val="1"/>
          <w:bCs w:val="1"/>
          <w:color w:val="1e7a4c"/>
          <w:sz w:val="24"/>
          <w:szCs w:val="24"/>
          <w:rtl w:val="0"/>
        </w:rPr>
        <w:t xml:space="preserve">6.3 Dashboard (Extension Popup / Web Dashboard / Admin Console)</w:t>
      </w:r>
      <w:r>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Individual view: cumulative usage, cost, and environmental impact over day/week/month/year, broken out by AI app, browser session, and model.</w:t>
      </w:r>
      <w:r>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Infrastructure/admin view: same breakdown by service, database, environment (prod/staging), and team/cost-center, with export to CSV and to common IT reporting formats.</w:t>
      </w:r>
      <w:r>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Trend charts and a leaderboard-style comparison across the services/models a user or org actually uses, to surface lower-impact alternatives.</w:t>
      </w:r>
      <w:r>
        <w:rPr>
          <w:rtl w:val="0"/>
        </w:rPr>
      </w:r>
    </w:p>
    <w:p w:rsidR="00000000" w:rsidDel="00000000" w:rsidP="00000000" w:rsidRDefault="00000000" w:rsidRPr="00000000" w14:paraId="000000DB">
      <w:pPr>
        <w:pStyle w:val="Heading1"/>
        <w:spacing w:after="160" w:before="360" w:lineRule="auto"/>
        <w:rPr/>
      </w:pPr>
      <w:r>
        <w:rPr>
          <w:b w:val="1"/>
          <w:bCs w:val="1"/>
          <w:color w:val="0f4a2e"/>
          <w:sz w:val="30"/>
          <w:szCs w:val="30"/>
          <w:rtl w:val="0"/>
        </w:rPr>
        <w:t xml:space="preserve">7. Data Model (Outline)</w:t>
      </w:r>
      <w:r>
        <w:rPr>
          <w:rtl w:val="0"/>
        </w:rPr>
      </w:r>
    </w:p>
    <w:p w:rsidR="00000000" w:rsidDel="00000000" w:rsidP="00000000" w:rsidRDefault="00000000" w:rsidRPr="00000000" w14:paraId="000000DC">
      <w:pPr>
        <w:spacing w:after="140" w:lineRule="auto"/>
        <w:rPr/>
      </w:pPr>
      <w:r>
        <w:rPr>
          <w:sz w:val="21"/>
          <w:szCs w:val="21"/>
          <w:rtl w:val="0"/>
        </w:rPr>
        <w:t xml:space="preserve">A normalized event schema underlies all three client layers so Stardust Core can aggregate consistently regardless of source.</w:t>
      </w:r>
      <w:r>
        <w:rPr>
          <w:rtl w:val="0"/>
        </w:rPr>
      </w:r>
    </w:p>
    <w:tbl>
      <w:tblPr>
        <w:tblStyle w:val="Table8"/>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5400"/>
        <w:tblGridChange w:id="0">
          <w:tblGrid>
            <w:gridCol w:w="3000"/>
            <w:gridCol w:w="1800"/>
            <w:gridCol w:w="54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DD">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DE">
            <w:pPr>
              <w:rPr/>
            </w:pPr>
            <w:r>
              <w:rPr>
                <w:b w:val="1"/>
                <w:bCs w:val="1"/>
                <w:color w:val="ffffff"/>
                <w:sz w:val="19"/>
                <w:szCs w:val="19"/>
                <w:rtl w:val="0"/>
              </w:rPr>
              <w:t xml:space="preserve">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DF">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0">
            <w:pPr>
              <w:rPr/>
            </w:pPr>
            <w:r>
              <w:rPr>
                <w:sz w:val="19"/>
                <w:szCs w:val="19"/>
                <w:rtl w:val="0"/>
              </w:rPr>
              <w:t xml:space="preserve">event_id</w:t>
            </w:r>
            <w:r>
              <w:rPr>
                <w:rtl w:val="0"/>
              </w:rPr>
            </w:r>
          </w:p>
        </w:tc>
        <w:tc>
          <w:tcPr>
            <w:tcMar>
              <w:top w:w="80.0" w:type="dxa"/>
              <w:left w:w="100.0" w:type="dxa"/>
              <w:bottom w:w="80.0" w:type="dxa"/>
              <w:right w:w="100.0" w:type="dxa"/>
            </w:tcMar>
          </w:tcPr>
          <w:p w:rsidR="00000000" w:rsidDel="00000000" w:rsidP="00000000" w:rsidRDefault="00000000" w:rsidRPr="00000000" w14:paraId="000000E1">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0E2">
            <w:pPr>
              <w:rPr/>
            </w:pPr>
            <w:r>
              <w:rPr>
                <w:sz w:val="19"/>
                <w:szCs w:val="19"/>
                <w:rtl w:val="0"/>
              </w:rPr>
              <w:t xml:space="preserve">Unique per measured operation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3">
            <w:pPr>
              <w:rPr/>
            </w:pPr>
            <w:r>
              <w:rPr>
                <w:sz w:val="19"/>
                <w:szCs w:val="19"/>
                <w:rtl w:val="0"/>
              </w:rPr>
              <w:t xml:space="preserve">source_layer</w:t>
            </w:r>
            <w:r>
              <w:rPr>
                <w:rtl w:val="0"/>
              </w:rPr>
            </w:r>
          </w:p>
        </w:tc>
        <w:tc>
          <w:tcPr>
            <w:tcMar>
              <w:top w:w="80.0" w:type="dxa"/>
              <w:left w:w="100.0" w:type="dxa"/>
              <w:bottom w:w="80.0" w:type="dxa"/>
              <w:right w:w="100.0" w:type="dxa"/>
            </w:tcMar>
          </w:tcPr>
          <w:p w:rsidR="00000000" w:rsidDel="00000000" w:rsidP="00000000" w:rsidRDefault="00000000" w:rsidRPr="00000000" w14:paraId="000000E4">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0E5">
            <w:pPr>
              <w:rPr/>
            </w:pPr>
            <w:r>
              <w:rPr>
                <w:sz w:val="19"/>
                <w:szCs w:val="19"/>
                <w:rtl w:val="0"/>
              </w:rPr>
              <w:t xml:space="preserve">chat_plugin | browser_ext | infra_agent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rPr/>
            </w:pPr>
            <w:r>
              <w:rPr>
                <w:sz w:val="19"/>
                <w:szCs w:val="19"/>
                <w:rtl w:val="0"/>
              </w:rPr>
              <w:t xml:space="preserve">provider</w:t>
            </w:r>
            <w:r>
              <w:rPr>
                <w:rtl w:val="0"/>
              </w:rPr>
            </w:r>
          </w:p>
        </w:tc>
        <w:tc>
          <w:tcPr>
            <w:tcMar>
              <w:top w:w="80.0" w:type="dxa"/>
              <w:left w:w="100.0" w:type="dxa"/>
              <w:bottom w:w="80.0" w:type="dxa"/>
              <w:right w:w="100.0" w:type="dxa"/>
            </w:tcMar>
          </w:tcPr>
          <w:p w:rsidR="00000000" w:rsidDel="00000000" w:rsidP="00000000" w:rsidRDefault="00000000" w:rsidRPr="00000000" w14:paraId="000000E7">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0E8">
            <w:pPr>
              <w:rPr/>
            </w:pPr>
            <w:r>
              <w:rPr>
                <w:sz w:val="19"/>
                <w:szCs w:val="19"/>
                <w:rtl w:val="0"/>
              </w:rPr>
              <w:t xml:space="preserve">e.g. anthropic, openai, google, aws, azure, gcp, self-hosted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rPr/>
            </w:pPr>
            <w:r>
              <w:rPr>
                <w:sz w:val="19"/>
                <w:szCs w:val="19"/>
                <w:rtl w:val="0"/>
              </w:rPr>
              <w:t xml:space="preserve">service / model</w:t>
            </w:r>
            <w:r>
              <w:rPr>
                <w:rtl w:val="0"/>
              </w:rPr>
            </w:r>
          </w:p>
        </w:tc>
        <w:tc>
          <w:tcPr>
            <w:tcMar>
              <w:top w:w="80.0" w:type="dxa"/>
              <w:left w:w="100.0" w:type="dxa"/>
              <w:bottom w:w="80.0" w:type="dxa"/>
              <w:right w:w="100.0" w:type="dxa"/>
            </w:tcMar>
          </w:tcPr>
          <w:p w:rsidR="00000000" w:rsidDel="00000000" w:rsidP="00000000" w:rsidRDefault="00000000" w:rsidRPr="00000000" w14:paraId="000000EA">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0EB">
            <w:pPr>
              <w:rPr/>
            </w:pPr>
            <w:r>
              <w:rPr>
                <w:sz w:val="19"/>
                <w:szCs w:val="19"/>
                <w:rtl w:val="0"/>
              </w:rPr>
              <w:t xml:space="preserve">Model name or infrastructure service identifier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C">
            <w:pPr>
              <w:rPr/>
            </w:pPr>
            <w:r>
              <w:rPr>
                <w:sz w:val="19"/>
                <w:szCs w:val="19"/>
                <w:rtl w:val="0"/>
              </w:rPr>
              <w:t xml:space="preserve">region</w:t>
            </w:r>
            <w:r>
              <w:rPr>
                <w:rtl w:val="0"/>
              </w:rPr>
            </w:r>
          </w:p>
        </w:tc>
        <w:tc>
          <w:tcPr>
            <w:tcMar>
              <w:top w:w="80.0" w:type="dxa"/>
              <w:left w:w="100.0" w:type="dxa"/>
              <w:bottom w:w="80.0" w:type="dxa"/>
              <w:right w:w="100.0" w:type="dxa"/>
            </w:tcMar>
          </w:tcPr>
          <w:p w:rsidR="00000000" w:rsidDel="00000000" w:rsidP="00000000" w:rsidRDefault="00000000" w:rsidRPr="00000000" w14:paraId="000000ED">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0EE">
            <w:pPr>
              <w:rPr/>
            </w:pPr>
            <w:r>
              <w:rPr>
                <w:sz w:val="19"/>
                <w:szCs w:val="19"/>
                <w:rtl w:val="0"/>
              </w:rPr>
              <w:t xml:space="preserve">Processing/data-center region where known; keys the provider-specific factor lookup (§8.5)</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F">
            <w:pPr>
              <w:rPr/>
            </w:pPr>
            <w:r>
              <w:rPr>
                <w:sz w:val="19"/>
                <w:szCs w:val="19"/>
                <w:rtl w:val="0"/>
              </w:rPr>
              <w:t xml:space="preserve">timestamp</w:t>
            </w:r>
            <w:r>
              <w:rPr>
                <w:rtl w:val="0"/>
              </w:rPr>
            </w:r>
          </w:p>
        </w:tc>
        <w:tc>
          <w:tcPr>
            <w:tcMar>
              <w:top w:w="80.0" w:type="dxa"/>
              <w:left w:w="100.0" w:type="dxa"/>
              <w:bottom w:w="80.0" w:type="dxa"/>
              <w:right w:w="100.0" w:type="dxa"/>
            </w:tcMar>
          </w:tcPr>
          <w:p w:rsidR="00000000" w:rsidDel="00000000" w:rsidP="00000000" w:rsidRDefault="00000000" w:rsidRPr="00000000" w14:paraId="000000F0">
            <w:pPr>
              <w:rPr/>
            </w:pPr>
            <w:r>
              <w:rPr>
                <w:sz w:val="19"/>
                <w:szCs w:val="19"/>
                <w:rtl w:val="0"/>
              </w:rPr>
              <w:t xml:space="preserve">datetime</w:t>
            </w:r>
            <w:r>
              <w:rPr>
                <w:rtl w:val="0"/>
              </w:rPr>
            </w:r>
          </w:p>
        </w:tc>
        <w:tc>
          <w:tcPr>
            <w:tcMar>
              <w:top w:w="80.0" w:type="dxa"/>
              <w:left w:w="100.0" w:type="dxa"/>
              <w:bottom w:w="80.0" w:type="dxa"/>
              <w:right w:w="100.0" w:type="dxa"/>
            </w:tcMar>
          </w:tcPr>
          <w:p w:rsidR="00000000" w:rsidDel="00000000" w:rsidP="00000000" w:rsidRDefault="00000000" w:rsidRPr="00000000" w14:paraId="000000F1">
            <w:pPr>
              <w:rPr/>
            </w:pPr>
            <w:r>
              <w:rPr>
                <w:sz w:val="19"/>
                <w:szCs w:val="19"/>
                <w:rtl w:val="0"/>
              </w:rPr>
              <w:t xml:space="preserve">UTC, client-local offset retained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2">
            <w:pPr>
              <w:rPr/>
            </w:pPr>
            <w:r>
              <w:rPr>
                <w:sz w:val="19"/>
                <w:szCs w:val="19"/>
                <w:rtl w:val="0"/>
              </w:rPr>
              <w:t xml:space="preserve">tokens_in / tokens_out</w:t>
            </w:r>
            <w:r>
              <w:rPr>
                <w:rtl w:val="0"/>
              </w:rPr>
            </w:r>
          </w:p>
        </w:tc>
        <w:tc>
          <w:tcPr>
            <w:tcMar>
              <w:top w:w="80.0" w:type="dxa"/>
              <w:left w:w="100.0" w:type="dxa"/>
              <w:bottom w:w="80.0" w:type="dxa"/>
              <w:right w:w="100.0" w:type="dxa"/>
            </w:tcMar>
          </w:tcPr>
          <w:p w:rsidR="00000000" w:rsidDel="00000000" w:rsidP="00000000" w:rsidRDefault="00000000" w:rsidRPr="00000000" w14:paraId="000000F3">
            <w:pPr>
              <w:rPr/>
            </w:pPr>
            <w:r>
              <w:rPr>
                <w:sz w:val="19"/>
                <w:szCs w:val="19"/>
                <w:rtl w:val="0"/>
              </w:rPr>
              <w:t xml:space="preserve">integer</w:t>
            </w:r>
            <w:r>
              <w:rPr>
                <w:rtl w:val="0"/>
              </w:rPr>
            </w:r>
          </w:p>
        </w:tc>
        <w:tc>
          <w:tcPr>
            <w:tcMar>
              <w:top w:w="80.0" w:type="dxa"/>
              <w:left w:w="100.0" w:type="dxa"/>
              <w:bottom w:w="80.0" w:type="dxa"/>
              <w:right w:w="100.0" w:type="dxa"/>
            </w:tcMar>
          </w:tcPr>
          <w:p w:rsidR="00000000" w:rsidDel="00000000" w:rsidP="00000000" w:rsidRDefault="00000000" w:rsidRPr="00000000" w14:paraId="000000F4">
            <w:pPr>
              <w:rPr/>
            </w:pPr>
            <w:r>
              <w:rPr>
                <w:sz w:val="19"/>
                <w:szCs w:val="19"/>
                <w:rtl w:val="0"/>
              </w:rPr>
              <w:t xml:space="preserve">Null where not applicable (pure infra events)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rPr/>
            </w:pPr>
            <w:r>
              <w:rPr>
                <w:sz w:val="19"/>
                <w:szCs w:val="19"/>
                <w:rtl w:val="0"/>
              </w:rPr>
              <w:t xml:space="preserve">compute_seconds</w:t>
            </w:r>
            <w:r>
              <w:rPr>
                <w:rtl w:val="0"/>
              </w:rPr>
            </w:r>
          </w:p>
        </w:tc>
        <w:tc>
          <w:tcPr>
            <w:tcMar>
              <w:top w:w="80.0" w:type="dxa"/>
              <w:left w:w="100.0" w:type="dxa"/>
              <w:bottom w:w="80.0" w:type="dxa"/>
              <w:right w:w="100.0" w:type="dxa"/>
            </w:tcMar>
          </w:tcPr>
          <w:p w:rsidR="00000000" w:rsidDel="00000000" w:rsidP="00000000" w:rsidRDefault="00000000" w:rsidRPr="00000000" w14:paraId="000000F6">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0F7">
            <w:pPr>
              <w:rPr/>
            </w:pPr>
            <w:r>
              <w:rPr>
                <w:sz w:val="19"/>
                <w:szCs w:val="19"/>
                <w:rtl w:val="0"/>
              </w:rPr>
              <w:t xml:space="preserve">CPU/GPU-seconds where measurable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8">
            <w:pPr>
              <w:rPr/>
            </w:pPr>
            <w:r>
              <w:rPr>
                <w:sz w:val="19"/>
                <w:szCs w:val="19"/>
                <w:rtl w:val="0"/>
              </w:rPr>
              <w:t xml:space="preserve">cost_usd</w:t>
            </w:r>
            <w:r>
              <w:rPr>
                <w:rtl w:val="0"/>
              </w:rPr>
            </w:r>
          </w:p>
        </w:tc>
        <w:tc>
          <w:tcPr>
            <w:tcMar>
              <w:top w:w="80.0" w:type="dxa"/>
              <w:left w:w="100.0" w:type="dxa"/>
              <w:bottom w:w="80.0" w:type="dxa"/>
              <w:right w:w="100.0" w:type="dxa"/>
            </w:tcMar>
          </w:tcPr>
          <w:p w:rsidR="00000000" w:rsidDel="00000000" w:rsidP="00000000" w:rsidRDefault="00000000" w:rsidRPr="00000000" w14:paraId="000000F9">
            <w:pPr>
              <w:rPr/>
            </w:pPr>
            <w:r>
              <w:rPr>
                <w:sz w:val="19"/>
                <w:szCs w:val="19"/>
                <w:rtl w:val="0"/>
              </w:rPr>
              <w:t xml:space="preserve">decimal</w:t>
            </w:r>
            <w:r>
              <w:rPr>
                <w:rtl w:val="0"/>
              </w:rPr>
            </w:r>
          </w:p>
        </w:tc>
        <w:tc>
          <w:tcPr>
            <w:tcMar>
              <w:top w:w="80.0" w:type="dxa"/>
              <w:left w:w="100.0" w:type="dxa"/>
              <w:bottom w:w="80.0" w:type="dxa"/>
              <w:right w:w="100.0" w:type="dxa"/>
            </w:tcMar>
          </w:tcPr>
          <w:p w:rsidR="00000000" w:rsidDel="00000000" w:rsidP="00000000" w:rsidRDefault="00000000" w:rsidRPr="00000000" w14:paraId="000000FA">
            <w:pPr>
              <w:rPr/>
            </w:pPr>
            <w:r>
              <w:rPr>
                <w:sz w:val="19"/>
                <w:szCs w:val="19"/>
                <w:rtl w:val="0"/>
              </w:rPr>
              <w:t xml:space="preserve">Normalized cost estimate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B">
            <w:pPr>
              <w:rPr/>
            </w:pPr>
            <w:r>
              <w:rPr>
                <w:sz w:val="19"/>
                <w:szCs w:val="19"/>
                <w:rtl w:val="0"/>
              </w:rPr>
              <w:t xml:space="preserve">energy_wh</w:t>
            </w:r>
            <w:r>
              <w:rPr>
                <w:rtl w:val="0"/>
              </w:rPr>
            </w:r>
          </w:p>
        </w:tc>
        <w:tc>
          <w:tcPr>
            <w:tcMar>
              <w:top w:w="80.0" w:type="dxa"/>
              <w:left w:w="100.0" w:type="dxa"/>
              <w:bottom w:w="80.0" w:type="dxa"/>
              <w:right w:w="100.0" w:type="dxa"/>
            </w:tcMar>
          </w:tcPr>
          <w:p w:rsidR="00000000" w:rsidDel="00000000" w:rsidP="00000000" w:rsidRDefault="00000000" w:rsidRPr="00000000" w14:paraId="000000FC">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0FD">
            <w:pPr>
              <w:rPr/>
            </w:pPr>
            <w:r>
              <w:rPr>
                <w:sz w:val="19"/>
                <w:szCs w:val="19"/>
                <w:rtl w:val="0"/>
              </w:rPr>
              <w:t xml:space="preserve">Modeled or measured energy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E">
            <w:pPr>
              <w:rPr/>
            </w:pPr>
            <w:r>
              <w:rPr>
                <w:sz w:val="19"/>
                <w:szCs w:val="19"/>
                <w:rtl w:val="0"/>
              </w:rPr>
              <w:t xml:space="preserve">co2e_g</w:t>
            </w:r>
            <w:r>
              <w:rPr>
                <w:rtl w:val="0"/>
              </w:rPr>
            </w:r>
          </w:p>
        </w:tc>
        <w:tc>
          <w:tcPr>
            <w:tcMar>
              <w:top w:w="80.0" w:type="dxa"/>
              <w:left w:w="100.0" w:type="dxa"/>
              <w:bottom w:w="80.0" w:type="dxa"/>
              <w:right w:w="100.0" w:type="dxa"/>
            </w:tcMar>
          </w:tcPr>
          <w:p w:rsidR="00000000" w:rsidDel="00000000" w:rsidP="00000000" w:rsidRDefault="00000000" w:rsidRPr="00000000" w14:paraId="000000FF">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00">
            <w:pPr>
              <w:rPr/>
            </w:pPr>
            <w:r>
              <w:rPr>
                <w:sz w:val="19"/>
                <w:szCs w:val="19"/>
                <w:rtl w:val="0"/>
              </w:rPr>
              <w:t xml:space="preserve">Derived from energy_wh × grid intensity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1">
            <w:pPr>
              <w:rPr/>
            </w:pPr>
            <w:r>
              <w:rPr>
                <w:sz w:val="19"/>
                <w:szCs w:val="19"/>
                <w:rtl w:val="0"/>
              </w:rPr>
              <w:t xml:space="preserve">water_ml</w:t>
            </w:r>
            <w:r>
              <w:rPr>
                <w:rtl w:val="0"/>
              </w:rPr>
            </w:r>
          </w:p>
        </w:tc>
        <w:tc>
          <w:tcPr>
            <w:tcMar>
              <w:top w:w="80.0" w:type="dxa"/>
              <w:left w:w="100.0" w:type="dxa"/>
              <w:bottom w:w="80.0" w:type="dxa"/>
              <w:right w:w="100.0" w:type="dxa"/>
            </w:tcMar>
          </w:tcPr>
          <w:p w:rsidR="00000000" w:rsidDel="00000000" w:rsidP="00000000" w:rsidRDefault="00000000" w:rsidRPr="00000000" w14:paraId="00000102">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03">
            <w:pPr>
              <w:rPr/>
            </w:pPr>
            <w:r>
              <w:rPr>
                <w:sz w:val="19"/>
                <w:szCs w:val="19"/>
                <w:rtl w:val="0"/>
              </w:rPr>
              <w:t xml:space="preserve">Derived per methodology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4">
            <w:pPr>
              <w:rPr/>
            </w:pPr>
            <w:r>
              <w:rPr>
                <w:sz w:val="19"/>
                <w:szCs w:val="19"/>
                <w:rtl w:val="0"/>
              </w:rPr>
              <w:t xml:space="preserve">particulate_mg / ewaste_mg</w:t>
            </w:r>
            <w:r>
              <w:rPr>
                <w:rtl w:val="0"/>
              </w:rPr>
            </w:r>
          </w:p>
        </w:tc>
        <w:tc>
          <w:tcPr>
            <w:tcMar>
              <w:top w:w="80.0" w:type="dxa"/>
              <w:left w:w="100.0" w:type="dxa"/>
              <w:bottom w:w="80.0" w:type="dxa"/>
              <w:right w:w="100.0" w:type="dxa"/>
            </w:tcMar>
          </w:tcPr>
          <w:p w:rsidR="00000000" w:rsidDel="00000000" w:rsidP="00000000" w:rsidRDefault="00000000" w:rsidRPr="00000000" w14:paraId="00000105">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06">
            <w:pPr>
              <w:rPr/>
            </w:pPr>
            <w:r>
              <w:rPr>
                <w:sz w:val="19"/>
                <w:szCs w:val="19"/>
                <w:rtl w:val="0"/>
              </w:rPr>
              <w:t xml:space="preserve">Derived per methodology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7">
            <w:pPr>
              <w:rPr/>
            </w:pPr>
            <w:r>
              <w:rPr>
                <w:sz w:val="19"/>
                <w:szCs w:val="19"/>
                <w:rtl w:val="0"/>
              </w:rPr>
              <w:t xml:space="preserve">confidence_tier</w:t>
            </w:r>
            <w:r>
              <w:rPr>
                <w:rtl w:val="0"/>
              </w:rPr>
            </w:r>
          </w:p>
        </w:tc>
        <w:tc>
          <w:tcPr>
            <w:tcMar>
              <w:top w:w="80.0" w:type="dxa"/>
              <w:left w:w="100.0" w:type="dxa"/>
              <w:bottom w:w="80.0" w:type="dxa"/>
              <w:right w:w="100.0" w:type="dxa"/>
            </w:tcMar>
          </w:tcPr>
          <w:p w:rsidR="00000000" w:rsidDel="00000000" w:rsidP="00000000" w:rsidRDefault="00000000" w:rsidRPr="00000000" w14:paraId="00000108">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09">
            <w:pPr>
              <w:rPr/>
            </w:pPr>
            <w:r>
              <w:rPr>
                <w:sz w:val="19"/>
                <w:szCs w:val="19"/>
                <w:rtl w:val="0"/>
              </w:rPr>
              <w:t xml:space="preserve">measured | 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A">
            <w:pPr>
              <w:rPr/>
            </w:pPr>
            <w:r>
              <w:rPr>
                <w:sz w:val="19"/>
                <w:szCs w:val="19"/>
                <w:rtl w:val="0"/>
              </w:rPr>
              <w:t xml:space="preserve">indicator_code</w:t>
            </w:r>
            <w:r>
              <w:rPr>
                <w:rtl w:val="0"/>
              </w:rPr>
            </w:r>
          </w:p>
        </w:tc>
        <w:tc>
          <w:tcPr>
            <w:tcMar>
              <w:top w:w="80.0" w:type="dxa"/>
              <w:left w:w="100.0" w:type="dxa"/>
              <w:bottom w:w="80.0" w:type="dxa"/>
              <w:right w:w="100.0" w:type="dxa"/>
            </w:tcMar>
          </w:tcPr>
          <w:p w:rsidR="00000000" w:rsidDel="00000000" w:rsidP="00000000" w:rsidRDefault="00000000" w:rsidRPr="00000000" w14:paraId="0000010B">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0C">
            <w:pPr>
              <w:rPr/>
            </w:pPr>
            <w:r>
              <w:rPr>
                <w:sz w:val="19"/>
                <w:szCs w:val="19"/>
                <w:rtl w:val="0"/>
              </w:rPr>
              <w:t xml:space="preserve">e.g. B2-M, computed at aggregation time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D">
            <w:pPr>
              <w:rPr/>
            </w:pPr>
            <w:r>
              <w:rPr>
                <w:sz w:val="19"/>
                <w:szCs w:val="19"/>
                <w:rtl w:val="0"/>
              </w:rPr>
              <w:t xml:space="preserve">job_sji</w:t>
            </w:r>
            <w:r>
              <w:rPr>
                <w:rtl w:val="0"/>
              </w:rPr>
            </w:r>
          </w:p>
        </w:tc>
        <w:tc>
          <w:tcPr>
            <w:tcMar>
              <w:top w:w="80.0" w:type="dxa"/>
              <w:left w:w="100.0" w:type="dxa"/>
              <w:bottom w:w="80.0" w:type="dxa"/>
              <w:right w:w="100.0" w:type="dxa"/>
            </w:tcMar>
          </w:tcPr>
          <w:p w:rsidR="00000000" w:rsidDel="00000000" w:rsidP="00000000" w:rsidRDefault="00000000" w:rsidRPr="00000000" w14:paraId="0000010E">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0F">
            <w:pPr>
              <w:rPr/>
            </w:pPr>
            <w:r>
              <w:rPr>
                <w:sz w:val="19"/>
                <w:szCs w:val="19"/>
                <w:rtl w:val="0"/>
              </w:rPr>
              <w:t xml:space="preserve">Stardust Job Identifier with embedded Energy Source Code (§5.3)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0">
            <w:pPr>
              <w:rPr/>
            </w:pPr>
            <w:r>
              <w:rPr>
                <w:sz w:val="19"/>
                <w:szCs w:val="19"/>
                <w:rtl w:val="0"/>
              </w:rPr>
              <w:t xml:space="preserve">energy_source_code</w:t>
            </w:r>
            <w:r>
              <w:rPr>
                <w:rtl w:val="0"/>
              </w:rPr>
            </w:r>
          </w:p>
        </w:tc>
        <w:tc>
          <w:tcPr>
            <w:tcMar>
              <w:top w:w="80.0" w:type="dxa"/>
              <w:left w:w="100.0" w:type="dxa"/>
              <w:bottom w:w="80.0" w:type="dxa"/>
              <w:right w:w="100.0" w:type="dxa"/>
            </w:tcMar>
          </w:tcPr>
          <w:p w:rsidR="00000000" w:rsidDel="00000000" w:rsidP="00000000" w:rsidRDefault="00000000" w:rsidRPr="00000000" w14:paraId="00000111">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12">
            <w:pPr>
              <w:rPr/>
            </w:pPr>
            <w:r>
              <w:rPr>
                <w:sz w:val="19"/>
                <w:szCs w:val="19"/>
                <w:rtl w:val="0"/>
              </w:rPr>
              <w:t xml:space="preserve">3-char ESC from §5.3.1/§5.3.2; UNK if unresolvable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3">
            <w:pPr>
              <w:rPr/>
            </w:pPr>
            <w:r>
              <w:rPr>
                <w:sz w:val="19"/>
                <w:szCs w:val="19"/>
                <w:rtl w:val="0"/>
              </w:rPr>
              <w:t xml:space="preserve">energy_mix_breakdown</w:t>
            </w:r>
            <w:r>
              <w:rPr>
                <w:rtl w:val="0"/>
              </w:rPr>
            </w:r>
          </w:p>
        </w:tc>
        <w:tc>
          <w:tcPr>
            <w:tcMar>
              <w:top w:w="80.0" w:type="dxa"/>
              <w:left w:w="100.0" w:type="dxa"/>
              <w:bottom w:w="80.0" w:type="dxa"/>
              <w:right w:w="100.0" w:type="dxa"/>
            </w:tcMar>
          </w:tcPr>
          <w:p w:rsidR="00000000" w:rsidDel="00000000" w:rsidP="00000000" w:rsidRDefault="00000000" w:rsidRPr="00000000" w14:paraId="00000114">
            <w:pPr>
              <w:rPr/>
            </w:pPr>
            <w:r>
              <w:rPr>
                <w:sz w:val="19"/>
                <w:szCs w:val="19"/>
                <w:rtl w:val="0"/>
              </w:rPr>
              <w:t xml:space="preserve">JSON</w:t>
            </w:r>
            <w:r>
              <w:rPr>
                <w:rtl w:val="0"/>
              </w:rPr>
            </w:r>
          </w:p>
        </w:tc>
        <w:tc>
          <w:tcPr>
            <w:tcMar>
              <w:top w:w="80.0" w:type="dxa"/>
              <w:left w:w="100.0" w:type="dxa"/>
              <w:bottom w:w="80.0" w:type="dxa"/>
              <w:right w:w="100.0" w:type="dxa"/>
            </w:tcMar>
          </w:tcPr>
          <w:p w:rsidR="00000000" w:rsidDel="00000000" w:rsidP="00000000" w:rsidRDefault="00000000" w:rsidRPr="00000000" w14:paraId="00000115">
            <w:pPr>
              <w:rPr/>
            </w:pPr>
            <w:r>
              <w:rPr>
                <w:sz w:val="19"/>
                <w:szCs w:val="19"/>
                <w:rtl w:val="0"/>
              </w:rPr>
              <w:t xml:space="preserve">Full grid-mix percentage split where known, beyond the single dominant ESC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6">
            <w:pPr>
              <w:rPr/>
            </w:pPr>
            <w:r>
              <w:rPr>
                <w:sz w:val="19"/>
                <w:szCs w:val="19"/>
                <w:rtl w:val="0"/>
              </w:rPr>
              <w:t xml:space="preserve">grid_style</w:t>
            </w:r>
            <w:r>
              <w:rPr>
                <w:rtl w:val="0"/>
              </w:rPr>
            </w:r>
          </w:p>
        </w:tc>
        <w:tc>
          <w:tcPr>
            <w:tcMar>
              <w:top w:w="80.0" w:type="dxa"/>
              <w:left w:w="100.0" w:type="dxa"/>
              <w:bottom w:w="80.0" w:type="dxa"/>
              <w:right w:w="100.0" w:type="dxa"/>
            </w:tcMar>
          </w:tcPr>
          <w:p w:rsidR="00000000" w:rsidDel="00000000" w:rsidP="00000000" w:rsidRDefault="00000000" w:rsidRPr="00000000" w14:paraId="00000117">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18">
            <w:pPr>
              <w:rPr/>
            </w:pPr>
            <w:r>
              <w:rPr>
                <w:sz w:val="19"/>
                <w:szCs w:val="19"/>
                <w:rtl w:val="0"/>
              </w:rPr>
              <w:t xml:space="preserve">dedicated | grid-blend; whether the ESC is a single attributable source or a grid plurality (§5.3.3)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9">
            <w:pPr>
              <w:rPr/>
            </w:pPr>
            <w:r>
              <w:rPr>
                <w:sz w:val="19"/>
                <w:szCs w:val="19"/>
                <w:rtl w:val="0"/>
              </w:rPr>
              <w:t xml:space="preserve">grid_majority_share_pct</w:t>
            </w:r>
            <w:r>
              <w:rPr>
                <w:rtl w:val="0"/>
              </w:rPr>
            </w:r>
          </w:p>
        </w:tc>
        <w:tc>
          <w:tcPr>
            <w:tcMar>
              <w:top w:w="80.0" w:type="dxa"/>
              <w:left w:w="100.0" w:type="dxa"/>
              <w:bottom w:w="80.0" w:type="dxa"/>
              <w:right w:w="100.0" w:type="dxa"/>
            </w:tcMar>
          </w:tcPr>
          <w:p w:rsidR="00000000" w:rsidDel="00000000" w:rsidP="00000000" w:rsidRDefault="00000000" w:rsidRPr="00000000" w14:paraId="0000011A">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1B">
            <w:pPr>
              <w:rPr/>
            </w:pPr>
            <w:r>
              <w:rPr>
                <w:sz w:val="19"/>
                <w:szCs w:val="19"/>
                <w:rtl w:val="0"/>
              </w:rPr>
              <w:t xml:space="preserve">Share (0–100) the plurality source held in the mix at time of job, where grid_style = grid-blend (§5.3.3)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C">
            <w:pPr>
              <w:rPr/>
            </w:pPr>
            <w:r>
              <w:rPr>
                <w:sz w:val="19"/>
                <w:szCs w:val="19"/>
                <w:rtl w:val="0"/>
              </w:rPr>
              <w:t xml:space="preserve">user_id / org_id</w:t>
            </w:r>
            <w:r>
              <w:rPr>
                <w:rtl w:val="0"/>
              </w:rPr>
            </w:r>
          </w:p>
        </w:tc>
        <w:tc>
          <w:tcPr>
            <w:tcMar>
              <w:top w:w="80.0" w:type="dxa"/>
              <w:left w:w="100.0" w:type="dxa"/>
              <w:bottom w:w="80.0" w:type="dxa"/>
              <w:right w:w="100.0" w:type="dxa"/>
            </w:tcMar>
          </w:tcPr>
          <w:p w:rsidR="00000000" w:rsidDel="00000000" w:rsidP="00000000" w:rsidRDefault="00000000" w:rsidRPr="00000000" w14:paraId="0000011D">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11E">
            <w:pPr>
              <w:rPr/>
            </w:pPr>
            <w:r>
              <w:rPr>
                <w:sz w:val="19"/>
                <w:szCs w:val="19"/>
                <w:rtl w:val="0"/>
              </w:rPr>
              <w:t xml:space="preserve">Pseudonymous identifiers; see §14</w:t>
            </w:r>
            <w:r>
              <w:rPr>
                <w:rtl w:val="0"/>
              </w:rPr>
            </w:r>
          </w:p>
        </w:tc>
      </w:tr>
    </w:tbl>
    <w:p w:rsidR="00000000" w:rsidDel="00000000" w:rsidP="00000000" w:rsidRDefault="00000000" w:rsidRPr="00000000" w14:paraId="0000011F">
      <w:pPr>
        <w:spacing w:after="140" w:lineRule="auto"/>
        <w:rPr/>
      </w:pPr>
      <w:r>
        <w:rPr>
          <w:rtl w:val="0"/>
        </w:rPr>
      </w:r>
    </w:p>
    <w:p w:rsidR="00000000" w:rsidDel="00000000" w:rsidP="00000000" w:rsidRDefault="00000000" w:rsidRPr="00000000" w14:paraId="00000120">
      <w:pPr>
        <w:pStyle w:val="Heading1"/>
        <w:spacing w:after="160" w:before="360" w:lineRule="auto"/>
        <w:rPr/>
      </w:pPr>
      <w:r>
        <w:rPr>
          <w:b w:val="1"/>
          <w:bCs w:val="1"/>
          <w:color w:val="0f4a2e"/>
          <w:sz w:val="30"/>
          <w:szCs w:val="30"/>
          <w:rtl w:val="0"/>
        </w:rPr>
        <w:t xml:space="preserve">8. Environmental Impact Estimation Methodology</w:t>
      </w:r>
      <w:r>
        <w:rPr>
          <w:rtl w:val="0"/>
        </w:rPr>
      </w:r>
    </w:p>
    <w:p w:rsidR="00000000" w:rsidDel="00000000" w:rsidP="00000000" w:rsidRDefault="00000000" w:rsidRPr="00000000" w14:paraId="00000121">
      <w:pPr>
        <w:spacing w:after="140" w:lineRule="auto"/>
        <w:rPr/>
      </w:pPr>
      <w:r>
        <w:rPr>
          <w:sz w:val="21"/>
          <w:szCs w:val="21"/>
          <w:rtl w:val="0"/>
        </w:rPr>
        <w:t xml:space="preserve">Because most AI providers do not expose per-request energy or emissions data directly, Stardust estimates impact using a layered methodology, always tagging the resulting confidence tier.</w:t>
      </w:r>
      <w:r>
        <w:rPr>
          <w:rtl w:val="0"/>
        </w:rPr>
      </w:r>
    </w:p>
    <w:p w:rsidR="00000000" w:rsidDel="00000000" w:rsidP="00000000" w:rsidRDefault="00000000" w:rsidRPr="00000000" w14:paraId="00000122">
      <w:pPr>
        <w:pStyle w:val="Heading3"/>
        <w:spacing w:after="100" w:before="200" w:lineRule="auto"/>
        <w:rPr/>
      </w:pPr>
      <w:r>
        <w:rPr>
          <w:b w:val="1"/>
          <w:bCs w:val="1"/>
          <w:color w:val="333333"/>
          <w:sz w:val="21"/>
          <w:szCs w:val="21"/>
          <w:rtl w:val="0"/>
        </w:rPr>
        <w:t xml:space="preserve">8.1 Measured</w:t>
      </w:r>
      <w:r>
        <w:rPr>
          <w:rtl w:val="0"/>
        </w:rPr>
      </w:r>
    </w:p>
    <w:p w:rsidR="00000000" w:rsidDel="00000000" w:rsidP="00000000" w:rsidRDefault="00000000" w:rsidRPr="00000000" w14:paraId="00000123">
      <w:pPr>
        <w:spacing w:after="140" w:lineRule="auto"/>
        <w:rPr/>
      </w:pPr>
      <w:r>
        <w:rPr>
          <w:sz w:val="21"/>
          <w:szCs w:val="21"/>
          <w:rtl w:val="0"/>
        </w:rPr>
        <w:t xml:space="preserve">Used only where a provider or cloud platform exposes a direct energy, carbon, or water figure via an official API (e.g., a cloud provider's carbon footprint tool, or a data-center PUE/WUE figure published for a specific facility). Rare at launch; expected to grow as providers publish more granular sustainability APIs.</w:t>
      </w:r>
      <w:r>
        <w:rPr>
          <w:rtl w:val="0"/>
        </w:rPr>
      </w:r>
    </w:p>
    <w:p w:rsidR="00000000" w:rsidDel="00000000" w:rsidP="00000000" w:rsidRDefault="00000000" w:rsidRPr="00000000" w14:paraId="00000124">
      <w:pPr>
        <w:pStyle w:val="Heading3"/>
        <w:spacing w:after="100" w:before="200" w:lineRule="auto"/>
        <w:rPr/>
      </w:pPr>
      <w:r>
        <w:rPr>
          <w:b w:val="1"/>
          <w:bCs w:val="1"/>
          <w:color w:val="333333"/>
          <w:sz w:val="21"/>
          <w:szCs w:val="21"/>
          <w:rtl w:val="0"/>
        </w:rPr>
        <w:t xml:space="preserve">8.2 Modeled</w:t>
      </w:r>
      <w:r>
        <w:rPr>
          <w:rtl w:val="0"/>
        </w:rPr>
      </w:r>
    </w:p>
    <w:p w:rsidR="00000000" w:rsidDel="00000000" w:rsidP="00000000" w:rsidRDefault="00000000" w:rsidRPr="00000000" w14:paraId="00000125">
      <w:pPr>
        <w:spacing w:after="140" w:lineRule="auto"/>
        <w:rPr/>
      </w:pPr>
      <w:r>
        <w:rPr>
          <w:sz w:val="21"/>
          <w:szCs w:val="21"/>
          <w:rtl w:val="0"/>
        </w:rPr>
        <w:t xml:space="preserve">Default path for most operations. Energy per operation is modeled from token counts and known/estimated model parameters (parameter count class, hardware class, inference vs. training) using published research-derived energy-per-token ranges, then converted to CO₂e using regional grid carbon-intensity data (e.g., public grid-intensity APIs by region), and to water using published data-center Water Usage Effectiveness (WUE) ranges plus power-generation water-intensity factors for the applicable grid mix.</w:t>
      </w:r>
      <w:r>
        <w:rPr>
          <w:rtl w:val="0"/>
        </w:rPr>
      </w:r>
    </w:p>
    <w:p w:rsidR="00000000" w:rsidDel="00000000" w:rsidP="00000000" w:rsidRDefault="00000000" w:rsidRPr="00000000" w14:paraId="00000126">
      <w:pPr>
        <w:pStyle w:val="Heading3"/>
        <w:spacing w:after="100" w:before="200" w:lineRule="auto"/>
        <w:rPr/>
      </w:pPr>
      <w:r>
        <w:rPr>
          <w:b w:val="1"/>
          <w:bCs w:val="1"/>
          <w:color w:val="333333"/>
          <w:sz w:val="21"/>
          <w:szCs w:val="21"/>
          <w:rtl w:val="0"/>
        </w:rPr>
        <w:t xml:space="preserve">8.3 Estimated</w:t>
      </w:r>
      <w:r>
        <w:rPr>
          <w:rtl w:val="0"/>
        </w:rPr>
      </w:r>
    </w:p>
    <w:p w:rsidR="00000000" w:rsidDel="00000000" w:rsidP="00000000" w:rsidRDefault="00000000" w:rsidRPr="00000000" w14:paraId="00000127">
      <w:pPr>
        <w:spacing w:after="140" w:lineRule="auto"/>
        <w:rPr/>
      </w:pPr>
      <w:r>
        <w:rPr>
          <w:sz w:val="21"/>
          <w:szCs w:val="21"/>
          <w:rtl w:val="0"/>
        </w:rPr>
        <w:t xml:space="preserve">Fallback path when even model class is unknown (e.g., a browser-extension-only view of a third-party AI web app with no exposed model metadata). Uses conservative, published industry-average energy-per-query figures, clearly flagged as low-confidence, with a visible link to methodology.</w:t>
      </w:r>
      <w:r>
        <w:rPr>
          <w:rtl w:val="0"/>
        </w:rPr>
      </w:r>
    </w:p>
    <w:p w:rsidR="00000000" w:rsidDel="00000000" w:rsidP="00000000" w:rsidRDefault="00000000" w:rsidRPr="00000000" w14:paraId="00000128">
      <w:pPr>
        <w:pStyle w:val="Heading3"/>
        <w:spacing w:after="100" w:before="200" w:lineRule="auto"/>
        <w:rPr/>
      </w:pPr>
      <w:r>
        <w:rPr>
          <w:b w:val="1"/>
          <w:bCs w:val="1"/>
          <w:color w:val="333333"/>
          <w:sz w:val="21"/>
          <w:szCs w:val="21"/>
          <w:rtl w:val="0"/>
        </w:rPr>
        <w:t xml:space="preserve">8.4 Methodology Governance</w:t>
      </w:r>
      <w:r>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 conversion factors (energy-per-token ranges, grid-intensity sources, WUE ranges, particulate/e-waste amortization assumptions) are stored as versioned, swappable configuration — not hardcoded — so the methodology can be corrected or refined without a client update.</w:t>
      </w:r>
      <w:r>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Methodology and sourcing are intended to be published openly, consistent with AIforE's mission to seed an open AI sustainability benchmark rather than a proprietary black box.</w:t>
      </w:r>
      <w:r>
        <w:rPr>
          <w:rtl w:val="0"/>
        </w:rPr>
      </w:r>
    </w:p>
    <w:p w:rsidR="00000000" w:rsidDel="00000000" w:rsidP="00000000" w:rsidRDefault="00000000" w:rsidRPr="00000000" w14:paraId="0000012B">
      <w:pPr>
        <w:pStyle w:val="Heading3"/>
        <w:spacing w:after="100" w:before="200" w:lineRule="auto"/>
        <w:rPr/>
      </w:pPr>
      <w:r>
        <w:rPr>
          <w:b w:val="1"/>
          <w:bCs w:val="1"/>
          <w:color w:val="333333"/>
          <w:sz w:val="21"/>
          <w:szCs w:val="21"/>
          <w:rtl w:val="0"/>
        </w:rPr>
        <w:t xml:space="preserve">8.5 Provider- and Region-Specific Factors</w:t>
      </w:r>
      <w:r>
        <w:rPr>
          <w:rtl w:val="0"/>
        </w:rPr>
      </w:r>
    </w:p>
    <w:p w:rsidR="00000000" w:rsidDel="00000000" w:rsidP="00000000" w:rsidRDefault="00000000" w:rsidRPr="00000000" w14:paraId="0000012C">
      <w:pPr>
        <w:spacing w:after="140" w:lineRule="auto"/>
        <w:rPr/>
      </w:pPr>
      <w:r>
        <w:rPr>
          <w:sz w:val="21"/>
          <w:szCs w:val="21"/>
          <w:rtl w:val="0"/>
        </w:rPr>
        <w:t xml:space="preserve">A single global conversion factor is not accurate across providers, and Stardust does not use one. Two providers processing the same number of tokens can have materially different environmental impact, and the same underlying energy source can carry a different cost or carbon intensity depending on where and how a provider buys it. The methodology engine keys its conversion factors by provider (and, where known, region and hardware class) rather than applying one figure to every operation.</w:t>
      </w:r>
      <w:r>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Hardware and model efficiency vary by provider: different providers run different accelerator generations (e.g., different GPU/TPU classes), different model architectures, and different serving-infrastructure efficiency, so energy-per-token for a comparable task can differ meaningfully between, say, Anthropic, OpenAI, and Google — even before any difference in the underlying grid.</w:t>
      </w:r>
      <w:r>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Grid mix and location vary by provider and by data-center region within a provider: two facilities drawing the same amount of electricity can have very different CO₂e and water figures if one sits on a grid dominated by renewables/nuclear and the other on a coal- or gas-heavy grid. Where a provider publishes (or a customer can select) the processing region, Stardust applies that region's grid-intensity and WUE factors rather than a global average.</w:t>
      </w:r>
      <w:r>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and energy price vary independently of environmental impact: a provider's per-token dollar price reflects its own contracts, hardware amortization, and margin, not just raw energy consumed — so cost tier (§5.1) and Impact Grade (§5.1) are computed from separate factor sets and are not assumed to move together. A provider can be relatively cheap and relatively high-impact, or the reverse.</w:t>
      </w:r>
      <w:r>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 and infrastructure-layer operations (§12.8, §12.9) follow the same principle at the facility level: a provider-specific or facility-specific PUE/WUE and the grid-intensity figure for that facility's actual region are used in place of a generic default whenever that data is available, falling back to the Modeled/Estimated tiers in §8.2–§8.3 only when it isn't.</w:t>
      </w:r>
      <w:r>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per-provider (and per-region) factor table is itself part of the versioned configuration described in §8.4, so as providers change hardware, shift regions, or improve grid mix over time, Stardust's estimates can be updated without waiting for a new methodology version or client release.</w:t>
      </w:r>
      <w:r>
        <w:rPr>
          <w:rtl w:val="0"/>
        </w:rPr>
      </w:r>
    </w:p>
    <w:p w:rsidR="00000000" w:rsidDel="00000000" w:rsidP="00000000" w:rsidRDefault="00000000" w:rsidRPr="00000000" w14:paraId="00000132">
      <w:pPr>
        <w:pStyle w:val="Heading3"/>
        <w:spacing w:after="100" w:before="200" w:lineRule="auto"/>
        <w:rPr/>
      </w:pPr>
      <w:r>
        <w:rPr>
          <w:b w:val="1"/>
          <w:bCs w:val="1"/>
          <w:color w:val="333333"/>
          <w:sz w:val="21"/>
          <w:szCs w:val="21"/>
          <w:rtl w:val="0"/>
        </w:rPr>
        <w:t xml:space="preserve">8.6 Dynamic and Time-Varying Factors</w:t>
      </w:r>
      <w:r>
        <w:rPr>
          <w:rtl w:val="0"/>
        </w:rPr>
      </w:r>
    </w:p>
    <w:p w:rsidR="00000000" w:rsidDel="00000000" w:rsidP="00000000" w:rsidRDefault="00000000" w:rsidRPr="00000000" w14:paraId="00000133">
      <w:pPr>
        <w:spacing w:after="140" w:lineRule="auto"/>
        <w:rPr/>
      </w:pPr>
      <w:r>
        <w:rPr>
          <w:sz w:val="21"/>
          <w:szCs w:val="21"/>
          <w:rtl w:val="0"/>
        </w:rPr>
        <w:t xml:space="preserve">Energy price and, to a lesser extent, grid carbon intensity are not fixed numbers — both fluctuate by time of day, season, and grid conditions, and wholesale electricity pricing can swing sharply within a single day. A factor table that is only updated occasionally (§8.5) captures differences between providers and regions, but not the swings within a single provider/region over the course of a day. Where the timestamp field (§7) and a live-enough data feed allow it, Stardust's factor lookup is time-aware, not just provider- and region-aware.</w:t>
      </w:r>
      <w:r>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Grid carbon intensity varies by time of day and by real-time generation mix (e.g., a grid is cleaner when solar/wind output is high, dirtier when fossil peaker plants are running to cover demand). Where a live or near-live regional grid-intensity feed is available, the methodology engine uses the intensity value for the operation's actual timestamp rather than a static regional average, and falls back to the regional average (§8.5) when no live feed is available for that region.</w:t>
      </w:r>
      <w:r>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Energy price is dynamic in most deregulated markets — wholesale and, increasingly, retail electricity pricing moves with real-time or day-ahead market rates, demand-response events, and time-of-use tariffs. Where a provider's operating region has an accessible day-ahead or real-time price feed, Stardust can use it to refine the cost-tier estimate; where it isn't accessible, the versioned static factor (§8.4) remains the fallback.</w:t>
      </w:r>
      <w:r>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additive, not a replacement for the tiering in §8.1–§8.3: a figure computed from a live time-of-request feed is Measured or Modeled depending on how directly the feed reflects actual conditions, while one computed from static periodic factors stays at its existing tier — using a dynamic input does not by itself upgrade the confidence tier shown to the user.</w:t>
      </w:r>
      <w:r>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live feeds add an external dependency and potential point of failure, the dynamic path is designed to degrade gracefully: if a live feed is slow, unavailable, or stale beyond a configured threshold, Stardust falls straight back to the static provider/region factor from §8.5 rather than blocking or delaying the indicator (consistent with the reliability requirement in §15).</w:t>
      </w:r>
      <w:r>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refresh cadence for both the static factor table (§8.5) and any live feed integrations is itself a configuration value, so it can be tuned per data source — daily or weekly for slow-moving factors like hardware efficiency, and near-real-time for grid intensity or energy price where a live feed exists — without a client release.</w:t>
      </w:r>
      <w:r>
        <w:rPr>
          <w:rtl w:val="0"/>
        </w:rPr>
      </w:r>
    </w:p>
    <w:p w:rsidR="00000000" w:rsidDel="00000000" w:rsidP="00000000" w:rsidRDefault="00000000" w:rsidRPr="00000000" w14:paraId="00000139">
      <w:pPr>
        <w:pStyle w:val="Heading3"/>
        <w:spacing w:after="100" w:before="200" w:lineRule="auto"/>
        <w:rPr/>
      </w:pPr>
      <w:r>
        <w:rPr>
          <w:b w:val="1"/>
          <w:bCs w:val="1"/>
          <w:color w:val="333333"/>
          <w:sz w:val="21"/>
          <w:szCs w:val="21"/>
          <w:rtl w:val="0"/>
        </w:rPr>
        <w:t xml:space="preserve">8.7 Per-Token Energy Rate and Data Source Citations</w:t>
      </w:r>
      <w:r>
        <w:rPr>
          <w:rtl w:val="0"/>
        </w:rPr>
      </w:r>
    </w:p>
    <w:p w:rsidR="00000000" w:rsidDel="00000000" w:rsidP="00000000" w:rsidRDefault="00000000" w:rsidRPr="00000000" w14:paraId="0000013A">
      <w:pPr>
        <w:spacing w:after="140" w:lineRule="auto"/>
        <w:rPr/>
      </w:pPr>
      <w:r>
        <w:rPr>
          <w:sz w:val="21"/>
          <w:szCs w:val="21"/>
          <w:rtl w:val="0"/>
        </w:rPr>
        <w:t xml:space="preserve">The per-token energy figures underlying the Modeled tier (§8.2) and the daily/dynamic electricity-rate figures underlying §8.6 are drawn from specific, citable published sources rather than invented constants. This subsection documents those sources as of this draft; as with every other factor in the methodology, the source list itself is part of the versioned configuration in §8.4 and is expected to be updated as better data becomes available.</w:t>
      </w:r>
      <w:r>
        <w:rPr>
          <w:rtl w:val="0"/>
        </w:rPr>
      </w:r>
    </w:p>
    <w:p w:rsidR="00000000" w:rsidDel="00000000" w:rsidP="00000000" w:rsidRDefault="00000000" w:rsidRPr="00000000" w14:paraId="0000013B">
      <w:pPr>
        <w:pStyle w:val="Heading3"/>
        <w:spacing w:after="100" w:before="200" w:lineRule="auto"/>
        <w:rPr/>
      </w:pPr>
      <w:r>
        <w:rPr>
          <w:b w:val="1"/>
          <w:bCs w:val="1"/>
          <w:color w:val="333333"/>
          <w:sz w:val="21"/>
          <w:szCs w:val="21"/>
          <w:rtl w:val="0"/>
        </w:rPr>
        <w:t xml:space="preserve">8.7.1 Energy-per-token research sources</w:t>
      </w:r>
      <w:r>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Epoch AI (2025) research estimating roughly 0.0001–0.002 Wh of energy per generated output token depending on model size — used as a Modeled-tier baseline range for output-token energy.</w:t>
      </w:r>
      <w:r>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TokenPowerBench (Niu, Zhang, Li, Zhao, Wang, Wang &amp; Chen, AAAI 2026), a benchmark reporting joules-per-token, joules-per-response, and phase-aligned (prefill/decode) power measurements across LLM architectures and GPU hardware configurations, building on the earlier “From Words to Watts” benchmarking approach (Samsi et al., 2023) — a source for the hardware-class-specific factors referenced in §8.5.</w:t>
      </w:r>
      <w:r>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Wilhelm, Wittkopp &amp; Kao, “Beyond Test-Time Compute Strategies: Advocating Energy-per-Token in LLM Inference,” EuroMLSys '25 (ACM) — documents that energy-per-token varies by model architecture even at matched parameter count and hardware, supporting provider-specific rather than purely parameter-count-based modeling (§8.5).</w:t>
      </w:r>
      <w:r>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ML.ENERGY Benchmark methodology (Chung et al., 2025) and its extension in “Where Do the Joules Go? Diagnosing Inference Energy Consumption” (2026) — measures steady-state energy per token on production serving stacks (e.g. vLLM, xDiT) across current-generation hardware (NVIDIA H100/B200), useful for keeping the hardware-class factor table current as new accelerators ship.</w:t>
      </w:r>
      <w:r>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Published synthesis figures such as John Snow Labs' “Tokens per Joule” analysis, showing energy-per-output-token ranging from roughly 3–4 J on older, less-optimized deployments down to roughly 0.39 J on newer FP8-quantized H100 deployments — illustrates the scale of efficiency variance the versioned factor table (§8.4) needs to track over time rather than treat as fixed.</w:t>
      </w:r>
      <w:r>
        <w:rPr>
          <w:rtl w:val="0"/>
        </w:rPr>
      </w:r>
    </w:p>
    <w:p w:rsidR="00000000" w:rsidDel="00000000" w:rsidP="00000000" w:rsidRDefault="00000000" w:rsidRPr="00000000" w14:paraId="00000141">
      <w:pPr>
        <w:pStyle w:val="Heading3"/>
        <w:spacing w:after="100" w:before="200" w:lineRule="auto"/>
        <w:rPr/>
      </w:pPr>
      <w:r>
        <w:rPr>
          <w:b w:val="1"/>
          <w:bCs w:val="1"/>
          <w:color w:val="333333"/>
          <w:sz w:val="21"/>
          <w:szCs w:val="21"/>
          <w:rtl w:val="0"/>
        </w:rPr>
        <w:t xml:space="preserve">8.7.1.1 Illustrative Energy-per-Query/Token Figures</w:t>
      </w:r>
      <w:r>
        <w:rPr>
          <w:rtl w:val="0"/>
        </w:rPr>
      </w:r>
    </w:p>
    <w:p w:rsidR="00000000" w:rsidDel="00000000" w:rsidP="00000000" w:rsidRDefault="00000000" w:rsidRPr="00000000" w14:paraId="00000142">
      <w:pPr>
        <w:spacing w:after="140" w:lineRule="auto"/>
        <w:rPr/>
      </w:pPr>
      <w:r>
        <w:rPr>
          <w:sz w:val="21"/>
          <w:szCs w:val="21"/>
          <w:rtl w:val="0"/>
        </w:rPr>
        <w:t xml:space="preserve">The table below compiles current published figures as concrete starting points for the Modeled-tier baseline (§8.2). These are cited data points from the sources above, not fixed Stardust constants — they illustrate the order of magnitude and the wide spread across model size, query length, and serving-stack optimization that the versioned factor table (§8.4) exists to track over time.</w:t>
      </w:r>
      <w:r>
        <w:rPr>
          <w:rtl w:val="0"/>
        </w:rPr>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600"/>
        <w:gridCol w:w="4000"/>
        <w:tblGridChange w:id="0">
          <w:tblGrid>
            <w:gridCol w:w="3400"/>
            <w:gridCol w:w="2600"/>
            <w:gridCol w:w="4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43">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44">
            <w:pPr>
              <w:rPr/>
            </w:pPr>
            <w:r>
              <w:rPr>
                <w:b w:val="1"/>
                <w:bCs w:val="1"/>
                <w:color w:val="ffffff"/>
                <w:sz w:val="19"/>
                <w:szCs w:val="19"/>
                <w:rtl w:val="0"/>
              </w:rPr>
              <w:t xml:space="preserve">Figure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45">
            <w:pPr>
              <w:rPr/>
            </w:pPr>
            <w:r>
              <w:rPr>
                <w:b w:val="1"/>
                <w:bCs w:val="1"/>
                <w:color w:val="ffffff"/>
                <w:sz w:val="19"/>
                <w:szCs w:val="19"/>
                <w:rtl w:val="0"/>
              </w:rPr>
              <w:t xml:space="preserve">Source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6">
            <w:pPr>
              <w:rPr/>
            </w:pPr>
            <w:r>
              <w:rPr>
                <w:sz w:val="19"/>
                <w:szCs w:val="19"/>
                <w:rtl w:val="0"/>
              </w:rPr>
              <w:t xml:space="preserve">Short/median text query, optimized production serving</w:t>
            </w:r>
            <w:r>
              <w:rPr>
                <w:rtl w:val="0"/>
              </w:rPr>
            </w:r>
          </w:p>
        </w:tc>
        <w:tc>
          <w:tcPr>
            <w:tcMar>
              <w:top w:w="80.0" w:type="dxa"/>
              <w:left w:w="100.0" w:type="dxa"/>
              <w:bottom w:w="80.0" w:type="dxa"/>
              <w:right w:w="100.0" w:type="dxa"/>
            </w:tcMar>
          </w:tcPr>
          <w:p w:rsidR="00000000" w:rsidDel="00000000" w:rsidP="00000000" w:rsidRDefault="00000000" w:rsidRPr="00000000" w14:paraId="00000147">
            <w:pPr>
              <w:rPr/>
            </w:pPr>
            <w:sdt>
              <w:sdtPr>
                <w:id w:val="-202744143"/>
                <w:tag w:val="goog_rdk_1"/>
              </w:sdtPr>
              <w:sdtContent>
                <w:r>
                  <w:rPr>
                    <w:rFonts w:ascii="Gungsuh" w:cs="Gungsuh" w:eastAsia="Gungsuh" w:hAnsi="Gungsuh"/>
                    <w:sz w:val="19"/>
                    <w:szCs w:val="19"/>
                    <w:rtl w:val="0"/>
                  </w:rPr>
                  <w:t xml:space="preserve">≈ 0.24–0.34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48">
            <w:pPr>
              <w:rPr/>
            </w:pPr>
            <w:r>
              <w:rPr>
                <w:sz w:val="19"/>
                <w:szCs w:val="19"/>
                <w:rtl w:val="0"/>
              </w:rPr>
              <w:t xml:space="preserve">Epoch AI (2025); Google, “Measuring the environmental impact of delivering AI at Google Scale”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9">
            <w:pPr>
              <w:rPr/>
            </w:pPr>
            <w:r>
              <w:rPr>
                <w:sz w:val="19"/>
                <w:szCs w:val="19"/>
                <w:rtl w:val="0"/>
              </w:rPr>
              <w:t xml:space="preserve">Frontier-scale model (&gt;200B params) on H100 nodes, median</w:t>
            </w:r>
            <w:r>
              <w:rPr>
                <w:rtl w:val="0"/>
              </w:rPr>
            </w:r>
          </w:p>
        </w:tc>
        <w:tc>
          <w:tcPr>
            <w:tcMar>
              <w:top w:w="80.0" w:type="dxa"/>
              <w:left w:w="100.0" w:type="dxa"/>
              <w:bottom w:w="80.0" w:type="dxa"/>
              <w:right w:w="100.0" w:type="dxa"/>
            </w:tcMar>
          </w:tcPr>
          <w:p w:rsidR="00000000" w:rsidDel="00000000" w:rsidP="00000000" w:rsidRDefault="00000000" w:rsidRPr="00000000" w14:paraId="0000014A">
            <w:pPr>
              <w:rPr/>
            </w:pPr>
            <w:r>
              <w:rPr>
                <w:sz w:val="19"/>
                <w:szCs w:val="19"/>
                <w:rtl w:val="0"/>
              </w:rPr>
              <w:t xml:space="preserve">0.31 Wh/query (IQR 0.16–0.60)</w:t>
            </w:r>
            <w:r>
              <w:rPr>
                <w:rtl w:val="0"/>
              </w:rPr>
            </w:r>
          </w:p>
        </w:tc>
        <w:tc>
          <w:tcPr>
            <w:tcMar>
              <w:top w:w="80.0" w:type="dxa"/>
              <w:left w:w="100.0" w:type="dxa"/>
              <w:bottom w:w="80.0" w:type="dxa"/>
              <w:right w:w="100.0" w:type="dxa"/>
            </w:tcMar>
          </w:tcPr>
          <w:p w:rsidR="00000000" w:rsidDel="00000000" w:rsidP="00000000" w:rsidRDefault="00000000" w:rsidRPr="00000000" w14:paraId="0000014B">
            <w:pPr>
              <w:rPr/>
            </w:pPr>
            <w:r>
              <w:rPr>
                <w:sz w:val="19"/>
                <w:szCs w:val="19"/>
                <w:rtl w:val="0"/>
              </w:rPr>
              <w:t xml:space="preserve">Oviedo et al., Joule (2026), arXiv:2509.20241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C">
            <w:pPr>
              <w:rPr/>
            </w:pPr>
            <w:sdt>
              <w:sdtPr>
                <w:id w:val="-1476586239"/>
                <w:tag w:val="goog_rdk_2"/>
              </w:sdtPr>
              <w:sdtContent>
                <w:r>
                  <w:rPr>
                    <w:rFonts w:ascii="Gungsuh" w:cs="Gungsuh" w:eastAsia="Gungsuh" w:hAnsi="Gungsuh"/>
                    <w:sz w:val="19"/>
                    <w:szCs w:val="19"/>
                    <w:rtl w:val="0"/>
                  </w:rPr>
                  <w:t xml:space="preserve">Long/test-time-scaling reasoning query (≈15× typical length)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4D">
            <w:pPr>
              <w:rPr/>
            </w:pPr>
            <w:r>
              <w:rPr>
                <w:sz w:val="19"/>
                <w:szCs w:val="19"/>
                <w:rtl w:val="0"/>
              </w:rPr>
              <w:t xml:space="preserve">3.91 Wh/query (13× rise)</w:t>
            </w:r>
            <w:r>
              <w:rPr>
                <w:rtl w:val="0"/>
              </w:rPr>
            </w:r>
          </w:p>
        </w:tc>
        <w:tc>
          <w:tcPr>
            <w:tcMar>
              <w:top w:w="80.0" w:type="dxa"/>
              <w:left w:w="100.0" w:type="dxa"/>
              <w:bottom w:w="80.0" w:type="dxa"/>
              <w:right w:w="100.0" w:type="dxa"/>
            </w:tcMar>
          </w:tcPr>
          <w:p w:rsidR="00000000" w:rsidDel="00000000" w:rsidP="00000000" w:rsidRDefault="00000000" w:rsidRPr="00000000" w14:paraId="0000014E">
            <w:pPr>
              <w:rPr/>
            </w:pPr>
            <w:r>
              <w:rPr>
                <w:sz w:val="19"/>
                <w:szCs w:val="19"/>
                <w:rtl w:val="0"/>
              </w:rPr>
              <w:t xml:space="preserve">Oviedo et al., Joule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F">
            <w:pPr>
              <w:rPr/>
            </w:pPr>
            <w:sdt>
              <w:sdtPr>
                <w:id w:val="1987916780"/>
                <w:tag w:val="goog_rdk_3"/>
              </w:sdtPr>
              <w:sdtContent>
                <w:r>
                  <w:rPr>
                    <w:rFonts w:ascii="Gungsuh" w:cs="Gungsuh" w:eastAsia="Gungsuh" w:hAnsi="Gungsuh"/>
                    <w:sz w:val="19"/>
                    <w:szCs w:val="19"/>
                    <w:rtl w:val="0"/>
                  </w:rPr>
                  <w:t xml:space="preserve">Medium query (≈10,000 input tokens)</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0">
            <w:pPr>
              <w:rPr/>
            </w:pPr>
            <w:sdt>
              <w:sdtPr>
                <w:id w:val="-32910999"/>
                <w:tag w:val="goog_rdk_4"/>
              </w:sdtPr>
              <w:sdtContent>
                <w:r>
                  <w:rPr>
                    <w:rFonts w:ascii="Gungsuh" w:cs="Gungsuh" w:eastAsia="Gungsuh" w:hAnsi="Gungsuh"/>
                    <w:sz w:val="19"/>
                    <w:szCs w:val="19"/>
                    <w:rtl w:val="0"/>
                  </w:rPr>
                  <w:t xml:space="preserve">≈ 2.5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1">
            <w:pPr>
              <w:rPr/>
            </w:pPr>
            <w:r>
              <w:rPr>
                <w:sz w:val="19"/>
                <w:szCs w:val="19"/>
                <w:rtl w:val="0"/>
              </w:rPr>
              <w:t xml:space="preserve">Derived scaling from Epoch AI / Google baselines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2">
            <w:pPr>
              <w:rPr/>
            </w:pPr>
            <w:sdt>
              <w:sdtPr>
                <w:id w:val="750413297"/>
                <w:tag w:val="goog_rdk_5"/>
              </w:sdtPr>
              <w:sdtContent>
                <w:r>
                  <w:rPr>
                    <w:rFonts w:ascii="Gungsuh" w:cs="Gungsuh" w:eastAsia="Gungsuh" w:hAnsi="Gungsuh"/>
                    <w:sz w:val="19"/>
                    <w:szCs w:val="19"/>
                    <w:rtl w:val="0"/>
                  </w:rPr>
                  <w:t xml:space="preserve">Long query (≈100,000 input tokens)</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3">
            <w:pPr>
              <w:rPr/>
            </w:pPr>
            <w:sdt>
              <w:sdtPr>
                <w:id w:val="1080328401"/>
                <w:tag w:val="goog_rdk_6"/>
              </w:sdtPr>
              <w:sdtContent>
                <w:r>
                  <w:rPr>
                    <w:rFonts w:ascii="Gungsuh" w:cs="Gungsuh" w:eastAsia="Gungsuh" w:hAnsi="Gungsuh"/>
                    <w:sz w:val="19"/>
                    <w:szCs w:val="19"/>
                    <w:rtl w:val="0"/>
                  </w:rPr>
                  <w:t xml:space="preserve">≈ 40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4">
            <w:pPr>
              <w:rPr/>
            </w:pPr>
            <w:r>
              <w:rPr>
                <w:sz w:val="19"/>
                <w:szCs w:val="19"/>
                <w:rtl w:val="0"/>
              </w:rPr>
              <w:t xml:space="preserve">Derived scaling from Epoch AI / Google baselines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5">
            <w:pPr>
              <w:rPr/>
            </w:pPr>
            <w:r>
              <w:rPr>
                <w:sz w:val="19"/>
                <w:szCs w:val="19"/>
                <w:rtl w:val="0"/>
              </w:rPr>
              <w:t xml:space="preserve">Output-token energy, by model size</w:t>
            </w:r>
            <w:r>
              <w:rPr>
                <w:rtl w:val="0"/>
              </w:rPr>
            </w:r>
          </w:p>
        </w:tc>
        <w:tc>
          <w:tcPr>
            <w:tcMar>
              <w:top w:w="80.0" w:type="dxa"/>
              <w:left w:w="100.0" w:type="dxa"/>
              <w:bottom w:w="80.0" w:type="dxa"/>
              <w:right w:w="100.0" w:type="dxa"/>
            </w:tcMar>
          </w:tcPr>
          <w:p w:rsidR="00000000" w:rsidDel="00000000" w:rsidP="00000000" w:rsidRDefault="00000000" w:rsidRPr="00000000" w14:paraId="00000156">
            <w:pPr>
              <w:rPr/>
            </w:pPr>
            <w:sdt>
              <w:sdtPr>
                <w:id w:val="749044748"/>
                <w:tag w:val="goog_rdk_7"/>
              </w:sdtPr>
              <w:sdtContent>
                <w:r>
                  <w:rPr>
                    <w:rFonts w:ascii="Gungsuh" w:cs="Gungsuh" w:eastAsia="Gungsuh" w:hAnsi="Gungsuh"/>
                    <w:sz w:val="19"/>
                    <w:szCs w:val="19"/>
                    <w:rtl w:val="0"/>
                  </w:rPr>
                  <w:t xml:space="preserve">≈ 0.0001–0.002 Wh/token</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7">
            <w:pPr>
              <w:rPr/>
            </w:pPr>
            <w:r>
              <w:rPr>
                <w:sz w:val="19"/>
                <w:szCs w:val="19"/>
                <w:rtl w:val="0"/>
              </w:rPr>
              <w:t xml:space="preserve">Epoch AI (2025)</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8">
            <w:pPr>
              <w:rPr/>
            </w:pPr>
            <w:r>
              <w:rPr>
                <w:sz w:val="19"/>
                <w:szCs w:val="19"/>
                <w:rtl w:val="0"/>
              </w:rPr>
              <w:t xml:space="preserve">Output-token energy, older/unoptimized deployment</w:t>
            </w:r>
            <w:r>
              <w:rPr>
                <w:rtl w:val="0"/>
              </w:rPr>
            </w:r>
          </w:p>
        </w:tc>
        <w:tc>
          <w:tcPr>
            <w:tcMar>
              <w:top w:w="80.0" w:type="dxa"/>
              <w:left w:w="100.0" w:type="dxa"/>
              <w:bottom w:w="80.0" w:type="dxa"/>
              <w:right w:w="100.0" w:type="dxa"/>
            </w:tcMar>
          </w:tcPr>
          <w:p w:rsidR="00000000" w:rsidDel="00000000" w:rsidP="00000000" w:rsidRDefault="00000000" w:rsidRPr="00000000" w14:paraId="00000159">
            <w:pPr>
              <w:rPr/>
            </w:pPr>
            <w:sdt>
              <w:sdtPr>
                <w:id w:val="1250368914"/>
                <w:tag w:val="goog_rdk_8"/>
              </w:sdtPr>
              <w:sdtContent>
                <w:r>
                  <w:rPr>
                    <w:rFonts w:ascii="Gungsuh" w:cs="Gungsuh" w:eastAsia="Gungsuh" w:hAnsi="Gungsuh"/>
                    <w:sz w:val="19"/>
                    <w:szCs w:val="19"/>
                    <w:rtl w:val="0"/>
                  </w:rPr>
                  <w:t xml:space="preserve">≈ 3–4 J/token (≈ 0.00083–0.0011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A">
            <w:pPr>
              <w:rPr/>
            </w:pPr>
            <w:r>
              <w:rPr>
                <w:sz w:val="19"/>
                <w:szCs w:val="19"/>
                <w:rtl w:val="0"/>
              </w:rPr>
              <w:t xml:space="preserve">Samsi et al., “From Words to Watts” (2023)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B">
            <w:pPr>
              <w:rPr/>
            </w:pPr>
            <w:r>
              <w:rPr>
                <w:sz w:val="19"/>
                <w:szCs w:val="19"/>
                <w:rtl w:val="0"/>
              </w:rPr>
              <w:t xml:space="preserve">Output-token energy, optimized FP8 H100 deployment</w:t>
            </w:r>
            <w:r>
              <w:rPr>
                <w:rtl w:val="0"/>
              </w:rPr>
            </w:r>
          </w:p>
        </w:tc>
        <w:tc>
          <w:tcPr>
            <w:tcMar>
              <w:top w:w="80.0" w:type="dxa"/>
              <w:left w:w="100.0" w:type="dxa"/>
              <w:bottom w:w="80.0" w:type="dxa"/>
              <w:right w:w="100.0" w:type="dxa"/>
            </w:tcMar>
          </w:tcPr>
          <w:p w:rsidR="00000000" w:rsidDel="00000000" w:rsidP="00000000" w:rsidRDefault="00000000" w:rsidRPr="00000000" w14:paraId="0000015C">
            <w:pPr>
              <w:rPr/>
            </w:pPr>
            <w:sdt>
              <w:sdtPr>
                <w:id w:val="2061228224"/>
                <w:tag w:val="goog_rdk_9"/>
              </w:sdtPr>
              <w:sdtContent>
                <w:r>
                  <w:rPr>
                    <w:rFonts w:ascii="Gungsuh" w:cs="Gungsuh" w:eastAsia="Gungsuh" w:hAnsi="Gungsuh"/>
                    <w:sz w:val="19"/>
                    <w:szCs w:val="19"/>
                    <w:rtl w:val="0"/>
                  </w:rPr>
                  <w:t xml:space="preserve">≈ 0.39 J/token (≈ 0.00011 Wh)</w:t>
                </w:r>
              </w:sdtContent>
            </w:sdt>
            <w:r>
              <w:rPr>
                <w:rtl w:val="0"/>
              </w:rPr>
            </w:r>
          </w:p>
        </w:tc>
        <w:tc>
          <w:tcPr>
            <w:tcMar>
              <w:top w:w="80.0" w:type="dxa"/>
              <w:left w:w="100.0" w:type="dxa"/>
              <w:bottom w:w="80.0" w:type="dxa"/>
              <w:right w:w="100.0" w:type="dxa"/>
            </w:tcMar>
          </w:tcPr>
          <w:p w:rsidR="00000000" w:rsidDel="00000000" w:rsidP="00000000" w:rsidRDefault="00000000" w:rsidRPr="00000000" w14:paraId="0000015D">
            <w:pPr>
              <w:rPr/>
            </w:pPr>
            <w:r>
              <w:rPr>
                <w:sz w:val="19"/>
                <w:szCs w:val="19"/>
                <w:rtl w:val="0"/>
              </w:rPr>
              <w:t xml:space="preserve">John Snow Labs, “Tokens per Joule”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E">
            <w:pPr>
              <w:rPr/>
            </w:pPr>
            <w:r>
              <w:rPr>
                <w:sz w:val="19"/>
                <w:szCs w:val="19"/>
                <w:rtl w:val="0"/>
              </w:rPr>
              <w:t xml:space="preserve">Legacy/superseded estimate (GPT-3.5-class prompt)</w:t>
            </w:r>
            <w:r>
              <w:rPr>
                <w:rtl w:val="0"/>
              </w:rPr>
            </w:r>
          </w:p>
        </w:tc>
        <w:tc>
          <w:tcPr>
            <w:tcMar>
              <w:top w:w="80.0" w:type="dxa"/>
              <w:left w:w="100.0" w:type="dxa"/>
              <w:bottom w:w="80.0" w:type="dxa"/>
              <w:right w:w="100.0" w:type="dxa"/>
            </w:tcMar>
          </w:tcPr>
          <w:p w:rsidR="00000000" w:rsidDel="00000000" w:rsidP="00000000" w:rsidRDefault="00000000" w:rsidRPr="00000000" w14:paraId="0000015F">
            <w:pPr>
              <w:rPr/>
            </w:pPr>
            <w:sdt>
              <w:sdtPr>
                <w:id w:val="-923517487"/>
                <w:tag w:val="goog_rdk_10"/>
              </w:sdtPr>
              <w:sdtContent>
                <w:r>
                  <w:rPr>
                    <w:rFonts w:ascii="Gungsuh" w:cs="Gungsuh" w:eastAsia="Gungsuh" w:hAnsi="Gungsuh"/>
                    <w:sz w:val="19"/>
                    <w:szCs w:val="19"/>
                    <w:rtl w:val="0"/>
                  </w:rPr>
                  <w:t xml:space="preserve">≈ 3 Wh/prompt</w:t>
                </w:r>
              </w:sdtContent>
            </w:sdt>
            <w:r>
              <w:rPr>
                <w:rtl w:val="0"/>
              </w:rPr>
            </w:r>
          </w:p>
        </w:tc>
        <w:tc>
          <w:tcPr>
            <w:tcMar>
              <w:top w:w="80.0" w:type="dxa"/>
              <w:left w:w="100.0" w:type="dxa"/>
              <w:bottom w:w="80.0" w:type="dxa"/>
              <w:right w:w="100.0" w:type="dxa"/>
            </w:tcMar>
          </w:tcPr>
          <w:p w:rsidR="00000000" w:rsidDel="00000000" w:rsidP="00000000" w:rsidRDefault="00000000" w:rsidRPr="00000000" w14:paraId="00000160">
            <w:pPr>
              <w:rPr/>
            </w:pPr>
            <w:r>
              <w:rPr>
                <w:sz w:val="19"/>
                <w:szCs w:val="19"/>
                <w:rtl w:val="0"/>
              </w:rPr>
              <w:t xml:space="preserve">De Vries (2023) — now considered an overestimate per Epoch AI and Google's own figures above</w:t>
            </w:r>
            <w:r>
              <w:rPr>
                <w:rtl w:val="0"/>
              </w:rPr>
            </w:r>
          </w:p>
        </w:tc>
      </w:tr>
    </w:tbl>
    <w:p w:rsidR="00000000" w:rsidDel="00000000" w:rsidP="00000000" w:rsidRDefault="00000000" w:rsidRPr="00000000" w14:paraId="00000161">
      <w:pPr>
        <w:spacing w:after="140" w:lineRule="auto"/>
        <w:rPr/>
      </w:pPr>
      <w:r>
        <w:rPr>
          <w:rtl w:val="0"/>
        </w:rPr>
      </w:r>
    </w:p>
    <w:p w:rsidR="00000000" w:rsidDel="00000000" w:rsidP="00000000" w:rsidRDefault="00000000" w:rsidRPr="00000000" w14:paraId="00000162">
      <w:pPr>
        <w:pStyle w:val="Heading3"/>
        <w:spacing w:after="100" w:before="200" w:lineRule="auto"/>
        <w:rPr/>
      </w:pPr>
      <w:r>
        <w:rPr>
          <w:b w:val="1"/>
          <w:bCs w:val="1"/>
          <w:color w:val="333333"/>
          <w:sz w:val="21"/>
          <w:szCs w:val="21"/>
          <w:rtl w:val="0"/>
        </w:rPr>
        <w:t xml:space="preserve">8.7.1.2 Worked Example: Electricity Cost per Query</w:t>
      </w:r>
      <w:r>
        <w:rPr>
          <w:rtl w:val="0"/>
        </w:rPr>
      </w:r>
    </w:p>
    <w:p w:rsidR="00000000" w:rsidDel="00000000" w:rsidP="00000000" w:rsidRDefault="00000000" w:rsidRPr="00000000" w14:paraId="00000163">
      <w:pPr>
        <w:spacing w:after="140" w:lineRule="auto"/>
        <w:rPr/>
      </w:pPr>
      <w:sdt>
        <w:sdtPr>
          <w:id w:val="-334573642"/>
          <w:tag w:val="goog_rdk_11"/>
        </w:sdtPr>
        <w:sdtContent>
          <w:r>
            <w:rPr>
              <w:rFonts w:ascii="Gungsuh" w:cs="Gungsuh" w:eastAsia="Gungsuh" w:hAnsi="Gungsuh"/>
              <w:sz w:val="21"/>
              <w:szCs w:val="21"/>
              <w:rtl w:val="0"/>
            </w:rPr>
            <w:t xml:space="preserve">Combining an energy-per-query figure with a cited electricity price gives the raw electricity cost component of a job — distinct from what an AI provider actually charges, which also covers hardware amortization, staffing, and margin (§8.5). Using the frontier-model median of 0.31 Wh/query (§8.7.1.1) against the cited U.S. commercial and industrial electricity rates in §8.7.2.1 (≈ 8.7–13.5 ¢/kWh) works out to roughly $0.000027–$0.000042 of electricity per query — a small fraction of typical per-query API pricing, underscoring that electricity is one input cost among several, not the dominant one, for most providers (§8.5).</w:t>
          </w:r>
        </w:sdtContent>
      </w:sdt>
      <w:r>
        <w:rPr>
          <w:rtl w:val="0"/>
        </w:rPr>
      </w:r>
    </w:p>
    <w:p w:rsidR="00000000" w:rsidDel="00000000" w:rsidP="00000000" w:rsidRDefault="00000000" w:rsidRPr="00000000" w14:paraId="00000164">
      <w:pPr>
        <w:pStyle w:val="Heading3"/>
        <w:spacing w:after="100" w:before="200" w:lineRule="auto"/>
        <w:rPr/>
      </w:pPr>
      <w:r>
        <w:rPr>
          <w:b w:val="1"/>
          <w:bCs w:val="1"/>
          <w:color w:val="333333"/>
          <w:sz w:val="21"/>
          <w:szCs w:val="21"/>
          <w:rtl w:val="0"/>
        </w:rPr>
        <w:t xml:space="preserve">8.7.2 Daily and dynamic electricity price sources</w:t>
      </w:r>
      <w:r>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 Energy Information Administration (EIA) “Today in Energy” daily price data and the EIA Open Data API — publishes day-ahead spot electricity and natural gas prices by regional hub, updated each weekday.</w:t>
      </w:r>
      <w:r>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EIA's Wholesale Electricity and Natural Gas Market Data (republished, with permission, from Intercontinental Exchange/ICE data) — covers major U.S. electricity trading hubs (e.g. PJM West, Mid-C, Palo Verde, ERCOT North, SP-15, NP-15, Mass Hub) with daily volumes and weighted-average prices.</w:t>
      </w:r>
      <w:r>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Electricity Maps' day-ahead electricity price data for Europe and day-ahead locational marginal price (LMP) data for U.S. ISOs/RTOs — available via API for the regions where AI infrastructure is commonly hosted.</w:t>
      </w:r>
      <w:r>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ENTSO-E Transparency Platform — the equivalent day-ahead price source for European bidding zones, and the basis regulators such as ACER use for cross-region price comparison.</w:t>
      </w:r>
      <w:r>
        <w:rPr>
          <w:rtl w:val="0"/>
        </w:rPr>
      </w:r>
    </w:p>
    <w:p w:rsidR="00000000" w:rsidDel="00000000" w:rsidP="00000000" w:rsidRDefault="00000000" w:rsidRPr="00000000" w14:paraId="00000169">
      <w:pPr>
        <w:pStyle w:val="Heading3"/>
        <w:spacing w:after="100" w:before="200" w:lineRule="auto"/>
        <w:rPr/>
      </w:pPr>
      <w:r>
        <w:rPr>
          <w:b w:val="1"/>
          <w:bCs w:val="1"/>
          <w:color w:val="333333"/>
          <w:sz w:val="21"/>
          <w:szCs w:val="21"/>
          <w:rtl w:val="0"/>
        </w:rPr>
        <w:t xml:space="preserve">8.7.2.1 Illustrative Electricity Rate Figures</w:t>
      </w:r>
      <w:r>
        <w:rPr>
          <w:rtl w:val="0"/>
        </w:rPr>
      </w:r>
    </w:p>
    <w:p w:rsidR="00000000" w:rsidDel="00000000" w:rsidP="00000000" w:rsidRDefault="00000000" w:rsidRPr="00000000" w14:paraId="0000016A">
      <w:pPr>
        <w:spacing w:after="140" w:lineRule="auto"/>
        <w:rPr/>
      </w:pPr>
      <w:r>
        <w:rPr>
          <w:sz w:val="21"/>
          <w:szCs w:val="21"/>
          <w:rtl w:val="0"/>
        </w:rPr>
        <w:t xml:space="preserve">Retail and wholesale electricity rates are genuinely dynamic (§8.6) and vary by sector, state, and day — the figures below are a cited point-in-time snapshot for illustration, not a value Stardust hardcodes. Live figures are pulled from the sources in §8.7.2 at the cadence described in §8.6.</w:t>
      </w:r>
      <w:r>
        <w:rPr>
          <w:rtl w:val="0"/>
        </w:rPr>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600"/>
        <w:gridCol w:w="4000"/>
        <w:tblGridChange w:id="0">
          <w:tblGrid>
            <w:gridCol w:w="3400"/>
            <w:gridCol w:w="2600"/>
            <w:gridCol w:w="4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6B">
            <w:pPr>
              <w:rPr/>
            </w:pPr>
            <w:r>
              <w:rPr>
                <w:b w:val="1"/>
                <w:bCs w:val="1"/>
                <w:color w:val="ffffff"/>
                <w:sz w:val="19"/>
                <w:szCs w:val="19"/>
                <w:rtl w:val="0"/>
              </w:rPr>
              <w:t xml:space="preserve">Sector / scope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6C">
            <w:pPr>
              <w:rPr/>
            </w:pPr>
            <w:r>
              <w:rPr>
                <w:b w:val="1"/>
                <w:bCs w:val="1"/>
                <w:color w:val="ffffff"/>
                <w:sz w:val="19"/>
                <w:szCs w:val="19"/>
                <w:rtl w:val="0"/>
              </w:rPr>
              <w:t xml:space="preserve">Rate (¢/kWh)</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6D">
            <w:pPr>
              <w:rPr/>
            </w:pPr>
            <w:r>
              <w:rPr>
                <w:b w:val="1"/>
                <w:bCs w:val="1"/>
                <w:color w:val="ffffff"/>
                <w:sz w:val="19"/>
                <w:szCs w:val="19"/>
                <w:rtl w:val="0"/>
              </w:rPr>
              <w:t xml:space="preserve">Source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E">
            <w:pPr>
              <w:rPr/>
            </w:pPr>
            <w:r>
              <w:rPr>
                <w:sz w:val="19"/>
                <w:szCs w:val="19"/>
                <w:rtl w:val="0"/>
              </w:rPr>
              <w:t xml:space="preserve">U.S. all-sector average revenue per kWh</w:t>
            </w:r>
            <w:r>
              <w:rPr>
                <w:rtl w:val="0"/>
              </w:rPr>
            </w:r>
          </w:p>
        </w:tc>
        <w:tc>
          <w:tcPr>
            <w:tcMar>
              <w:top w:w="80.0" w:type="dxa"/>
              <w:left w:w="100.0" w:type="dxa"/>
              <w:bottom w:w="80.0" w:type="dxa"/>
              <w:right w:w="100.0" w:type="dxa"/>
            </w:tcMar>
          </w:tcPr>
          <w:p w:rsidR="00000000" w:rsidDel="00000000" w:rsidP="00000000" w:rsidRDefault="00000000" w:rsidRPr="00000000" w14:paraId="0000016F">
            <w:pPr>
              <w:rPr/>
            </w:pPr>
            <w:r>
              <w:rPr>
                <w:sz w:val="19"/>
                <w:szCs w:val="19"/>
                <w:rtl w:val="0"/>
              </w:rPr>
              <w:t xml:space="preserve">14.36 (Feb 2026)</w:t>
            </w:r>
            <w:r>
              <w:rPr>
                <w:rtl w:val="0"/>
              </w:rPr>
            </w:r>
          </w:p>
        </w:tc>
        <w:tc>
          <w:tcPr>
            <w:tcMar>
              <w:top w:w="80.0" w:type="dxa"/>
              <w:left w:w="100.0" w:type="dxa"/>
              <w:bottom w:w="80.0" w:type="dxa"/>
              <w:right w:w="100.0" w:type="dxa"/>
            </w:tcMar>
          </w:tcPr>
          <w:p w:rsidR="00000000" w:rsidDel="00000000" w:rsidP="00000000" w:rsidRDefault="00000000" w:rsidRPr="00000000" w14:paraId="00000170">
            <w:pPr>
              <w:rPr/>
            </w:pPr>
            <w:r>
              <w:rPr>
                <w:sz w:val="19"/>
                <w:szCs w:val="19"/>
                <w:rtl w:val="0"/>
              </w:rPr>
              <w:t xml:space="preserve">EIA, cited in Utility Dive (Apr 2026)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1">
            <w:pPr>
              <w:rPr/>
            </w:pPr>
            <w:r>
              <w:rPr>
                <w:sz w:val="19"/>
                <w:szCs w:val="19"/>
                <w:rtl w:val="0"/>
              </w:rPr>
              <w:t xml:space="preserve">U.S. commercial average</w:t>
            </w:r>
            <w:r>
              <w:rPr>
                <w:rtl w:val="0"/>
              </w:rPr>
            </w:r>
          </w:p>
        </w:tc>
        <w:tc>
          <w:tcPr>
            <w:tcMar>
              <w:top w:w="80.0" w:type="dxa"/>
              <w:left w:w="100.0" w:type="dxa"/>
              <w:bottom w:w="80.0" w:type="dxa"/>
              <w:right w:w="100.0" w:type="dxa"/>
            </w:tcMar>
          </w:tcPr>
          <w:p w:rsidR="00000000" w:rsidDel="00000000" w:rsidP="00000000" w:rsidRDefault="00000000" w:rsidRPr="00000000" w14:paraId="00000172">
            <w:pPr>
              <w:rPr/>
            </w:pPr>
            <w:r>
              <w:rPr>
                <w:sz w:val="19"/>
                <w:szCs w:val="19"/>
                <w:rtl w:val="0"/>
              </w:rPr>
              <w:t xml:space="preserve">13.51 (Apr 2026)</w:t>
            </w:r>
            <w:r>
              <w:rPr>
                <w:rtl w:val="0"/>
              </w:rPr>
            </w:r>
          </w:p>
        </w:tc>
        <w:tc>
          <w:tcPr>
            <w:tcMar>
              <w:top w:w="80.0" w:type="dxa"/>
              <w:left w:w="100.0" w:type="dxa"/>
              <w:bottom w:w="80.0" w:type="dxa"/>
              <w:right w:w="100.0" w:type="dxa"/>
            </w:tcMar>
          </w:tcPr>
          <w:p w:rsidR="00000000" w:rsidDel="00000000" w:rsidP="00000000" w:rsidRDefault="00000000" w:rsidRPr="00000000" w14:paraId="00000173">
            <w:pPr>
              <w:rPr/>
            </w:pPr>
            <w:r>
              <w:rPr>
                <w:sz w:val="19"/>
                <w:szCs w:val="19"/>
                <w:rtl w:val="0"/>
              </w:rPr>
              <w:t xml:space="preserve">EIA Electric Power Monthly, Table 5.6.A</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4">
            <w:pPr>
              <w:rPr/>
            </w:pPr>
            <w:r>
              <w:rPr>
                <w:sz w:val="19"/>
                <w:szCs w:val="19"/>
                <w:rtl w:val="0"/>
              </w:rPr>
              <w:t xml:space="preserve">U.S. industrial average</w:t>
            </w:r>
            <w:r>
              <w:rPr>
                <w:rtl w:val="0"/>
              </w:rPr>
            </w:r>
          </w:p>
        </w:tc>
        <w:tc>
          <w:tcPr>
            <w:tcMar>
              <w:top w:w="80.0" w:type="dxa"/>
              <w:left w:w="100.0" w:type="dxa"/>
              <w:bottom w:w="80.0" w:type="dxa"/>
              <w:right w:w="100.0" w:type="dxa"/>
            </w:tcMar>
          </w:tcPr>
          <w:p w:rsidR="00000000" w:rsidDel="00000000" w:rsidP="00000000" w:rsidRDefault="00000000" w:rsidRPr="00000000" w14:paraId="00000175">
            <w:pPr>
              <w:rPr/>
            </w:pPr>
            <w:r>
              <w:rPr>
                <w:sz w:val="19"/>
                <w:szCs w:val="19"/>
                <w:rtl w:val="0"/>
              </w:rPr>
              <w:t xml:space="preserve">8.66 (mid-2026)</w:t>
            </w:r>
            <w:r>
              <w:rPr>
                <w:rtl w:val="0"/>
              </w:rPr>
            </w:r>
          </w:p>
        </w:tc>
        <w:tc>
          <w:tcPr>
            <w:tcMar>
              <w:top w:w="80.0" w:type="dxa"/>
              <w:left w:w="100.0" w:type="dxa"/>
              <w:bottom w:w="80.0" w:type="dxa"/>
              <w:right w:w="100.0" w:type="dxa"/>
            </w:tcMar>
          </w:tcPr>
          <w:p w:rsidR="00000000" w:rsidDel="00000000" w:rsidP="00000000" w:rsidRDefault="00000000" w:rsidRPr="00000000" w14:paraId="00000176">
            <w:pPr>
              <w:rPr/>
            </w:pPr>
            <w:r>
              <w:rPr>
                <w:sz w:val="19"/>
                <w:szCs w:val="19"/>
                <w:rtl w:val="0"/>
              </w:rPr>
              <w:t xml:space="preserve">EIA Electricity Retail Sales, Form EIA-826</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7">
            <w:pPr>
              <w:rPr/>
            </w:pPr>
            <w:r>
              <w:rPr>
                <w:sz w:val="19"/>
                <w:szCs w:val="19"/>
                <w:rtl w:val="0"/>
              </w:rPr>
              <w:t xml:space="preserve">U.S. residential average</w:t>
            </w:r>
            <w:r>
              <w:rPr>
                <w:rtl w:val="0"/>
              </w:rPr>
            </w:r>
          </w:p>
        </w:tc>
        <w:tc>
          <w:tcPr>
            <w:tcMar>
              <w:top w:w="80.0" w:type="dxa"/>
              <w:left w:w="100.0" w:type="dxa"/>
              <w:bottom w:w="80.0" w:type="dxa"/>
              <w:right w:w="100.0" w:type="dxa"/>
            </w:tcMar>
          </w:tcPr>
          <w:p w:rsidR="00000000" w:rsidDel="00000000" w:rsidP="00000000" w:rsidRDefault="00000000" w:rsidRPr="00000000" w14:paraId="00000178">
            <w:pPr>
              <w:rPr/>
            </w:pPr>
            <w:r>
              <w:rPr>
                <w:sz w:val="19"/>
                <w:szCs w:val="19"/>
                <w:rtl w:val="0"/>
              </w:rPr>
              <w:t xml:space="preserve">18.44 (May 2026)</w:t>
            </w:r>
            <w:r>
              <w:rPr>
                <w:rtl w:val="0"/>
              </w:rPr>
            </w:r>
          </w:p>
        </w:tc>
        <w:tc>
          <w:tcPr>
            <w:tcMar>
              <w:top w:w="80.0" w:type="dxa"/>
              <w:left w:w="100.0" w:type="dxa"/>
              <w:bottom w:w="80.0" w:type="dxa"/>
              <w:right w:w="100.0" w:type="dxa"/>
            </w:tcMar>
          </w:tcPr>
          <w:p w:rsidR="00000000" w:rsidDel="00000000" w:rsidP="00000000" w:rsidRDefault="00000000" w:rsidRPr="00000000" w14:paraId="00000179">
            <w:pPr>
              <w:rPr/>
            </w:pPr>
            <w:r>
              <w:rPr>
                <w:sz w:val="19"/>
                <w:szCs w:val="19"/>
                <w:rtl w:val="0"/>
              </w:rPr>
              <w:t xml:space="preserve">EIA, cited in Choose Energy state rate report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A">
            <w:pPr>
              <w:rPr/>
            </w:pPr>
            <w:r>
              <w:rPr>
                <w:sz w:val="19"/>
                <w:szCs w:val="19"/>
                <w:rtl w:val="0"/>
              </w:rPr>
              <w:t xml:space="preserve">U.S. state range (commercial)</w:t>
            </w:r>
            <w:r>
              <w:rPr>
                <w:rtl w:val="0"/>
              </w:rPr>
            </w:r>
          </w:p>
        </w:tc>
        <w:tc>
          <w:tcPr>
            <w:tcMar>
              <w:top w:w="80.0" w:type="dxa"/>
              <w:left w:w="100.0" w:type="dxa"/>
              <w:bottom w:w="80.0" w:type="dxa"/>
              <w:right w:w="100.0" w:type="dxa"/>
            </w:tcMar>
          </w:tcPr>
          <w:p w:rsidR="00000000" w:rsidDel="00000000" w:rsidP="00000000" w:rsidRDefault="00000000" w:rsidRPr="00000000" w14:paraId="0000017B">
            <w:pPr>
              <w:rPr/>
            </w:pPr>
            <w:sdt>
              <w:sdtPr>
                <w:id w:val="-268917811"/>
                <w:tag w:val="goog_rdk_12"/>
              </w:sdtPr>
              <w:sdtContent>
                <w:r>
                  <w:rPr>
                    <w:rFonts w:ascii="Gungsuh" w:cs="Gungsuh" w:eastAsia="Gungsuh" w:hAnsi="Gungsuh"/>
                    <w:sz w:val="19"/>
                    <w:szCs w:val="19"/>
                    <w:rtl w:val="0"/>
                  </w:rPr>
                  <w:t xml:space="preserve">7.05 (North Dakota) – ≈ 43 (Hawaii)</w:t>
                </w:r>
              </w:sdtContent>
            </w:sdt>
            <w:r>
              <w:rPr>
                <w:rtl w:val="0"/>
              </w:rPr>
            </w:r>
          </w:p>
        </w:tc>
        <w:tc>
          <w:tcPr>
            <w:tcMar>
              <w:top w:w="80.0" w:type="dxa"/>
              <w:left w:w="100.0" w:type="dxa"/>
              <w:bottom w:w="80.0" w:type="dxa"/>
              <w:right w:w="100.0" w:type="dxa"/>
            </w:tcMar>
          </w:tcPr>
          <w:p w:rsidR="00000000" w:rsidDel="00000000" w:rsidP="00000000" w:rsidRDefault="00000000" w:rsidRPr="00000000" w14:paraId="0000017C">
            <w:pPr>
              <w:rPr/>
            </w:pPr>
            <w:r>
              <w:rPr>
                <w:sz w:val="19"/>
                <w:szCs w:val="19"/>
                <w:rtl w:val="0"/>
              </w:rPr>
              <w:t xml:space="preserve">EIA Electric Power Monthly, Table 5.6.A (Apr 2026)</w:t>
            </w:r>
            <w:r>
              <w:rPr>
                <w:rtl w:val="0"/>
              </w:rPr>
            </w:r>
          </w:p>
        </w:tc>
      </w:tr>
    </w:tbl>
    <w:p w:rsidR="00000000" w:rsidDel="00000000" w:rsidP="00000000" w:rsidRDefault="00000000" w:rsidRPr="00000000" w14:paraId="0000017D">
      <w:pPr>
        <w:spacing w:after="140" w:lineRule="auto"/>
        <w:rPr/>
      </w:pPr>
      <w:r>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wide U.S. state-level spread (roughly 6× between the lowest and highest commercial rates) is itself a reason cost tier and Impact Grade are computed from region-specific factors (§8.5) rather than a single national average.</w:t>
      </w:r>
      <w:r>
        <w:rPr>
          <w:rtl w:val="0"/>
        </w:rPr>
      </w:r>
    </w:p>
    <w:p w:rsidR="00000000" w:rsidDel="00000000" w:rsidP="00000000" w:rsidRDefault="00000000" w:rsidRPr="00000000" w14:paraId="0000017F">
      <w:pPr>
        <w:pStyle w:val="Heading3"/>
        <w:spacing w:after="100" w:before="200" w:lineRule="auto"/>
        <w:rPr/>
      </w:pPr>
      <w:r>
        <w:rPr>
          <w:b w:val="1"/>
          <w:bCs w:val="1"/>
          <w:color w:val="333333"/>
          <w:sz w:val="21"/>
          <w:szCs w:val="21"/>
          <w:rtl w:val="0"/>
        </w:rPr>
        <w:t xml:space="preserve">8.7.3 Energy-source and generation-mix sources</w:t>
      </w:r>
      <w:r>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Electricity Maps' Power Breakdown API — real-time and historical electricity generation mix and carbon intensity for 200+ regions worldwide, using a flow-tracing methodology that accounts for cross-border electricity flows; the primary intended source for populating the Energy Source Code (§5.3) and the energy_mix_breakdown field (§7) at the region/timestamp level.</w:t>
      </w:r>
      <w:r>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WattTime's Data API — real-time marginal emissions signals (which generation source responds to a marginal change in demand), a complementary source for time-of-request accuracy beyond the average grid mix.</w:t>
      </w:r>
      <w:r>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EIA plant-level generation and fuel-type data (from EIA-923 and EIA-860 filings) — the underlying source for U.S. regional generation-by-fuel-type figures where a live feed isn't used.</w:t>
      </w:r>
      <w:r>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National or regional grid-operator APIs (e.g. Spain's Red Eléctrica generation-mix data) are added region by region as they're identified, following the same versioned-configuration approach as the rest of §8.</w:t>
      </w:r>
      <w:r>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 sources above are swappable, versioned inputs to the methodology engine (§8.4), not hardcoded constants; the published methodology documents which source backs any given figure so a user or reviewer can trace it, consistent with the transparency goal in §8.4 and §17.4.</w:t>
      </w:r>
      <w:r>
        <w:rPr>
          <w:rtl w:val="0"/>
        </w:rPr>
      </w:r>
    </w:p>
    <w:p w:rsidR="00000000" w:rsidRDefault="00000000" w14:paraId="7B000001">
      <w:pPr>
        <w:pStyle w:val="Heading2"/>
        <w:spacing w:after="120" w:before="280" w:lineRule="auto"/>
        <w:rPr/>
      </w:pPr>
      <w:r>
        <w:rPr>
          <w:b w:val="1"/>
          <w:bCs w:val="1"/>
          <w:color w:val="1e7a4c"/>
          <w:sz w:val="24"/>
          <w:szCs w:val="24"/>
        </w:rPr>
        <w:t xml:space="preserve">8.8 Lifecycle Emission Components: Training, Inference, and Hardware</w:t>
      </w:r>
    </w:p>
    <w:p w:rsidR="00000000" w:rsidRDefault="00000000" w14:paraId="7B000002">
      <w:pPr>
        <w:spacing w:after="140" w:lineRule="auto"/>
        <w:rPr/>
      </w:pPr>
      <w:r>
        <w:rPr>
          <w:sz w:val="21"/>
          <w:szCs w:val="21"/>
        </w:rPr>
        <w:t xml:space="preserve">AI emissions come from three distinct sources that behave differently and must not be blended into a single figure: inference (operational energy per call), training (a one-time cost incurred before the model serves any call), and hardware (embodied emissions from manufacturing chips and servers and building facilities). Facility overhead is tracked as a fourth, operational component. Stardust meters each component separately, with its own method and confidence tag, and only then sums them.</w:t>
      </w:r>
    </w:p>
    <w:p w:rsidR="00000000" w:rsidRDefault="00000000" w14:paraId="7B000003">
      <w:pPr>
        <w:pStyle w:val="Heading3"/>
        <w:spacing w:after="100" w:before="200" w:lineRule="auto"/>
        <w:rPr/>
      </w:pPr>
      <w:r>
        <w:rPr>
          <w:b w:val="1"/>
          <w:bCs w:val="1"/>
          <w:color w:val="333333"/>
          <w:sz w:val="21"/>
          <w:szCs w:val="21"/>
        </w:rPr>
        <w:t xml:space="preserve">8.8.1 Component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04">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05">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06">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07">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08">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09">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0A">
            <w:pPr>
              <w:rPr/>
            </w:pPr>
            <w:r>
              <w:rPr>
                <w:sz w:val="19"/>
                <w:szCs w:val="19"/>
              </w:rPr>
              <w:t xml:space="preserve">OPE</w:t>
            </w:r>
          </w:p>
        </w:tc>
        <w:tc>
          <w:tcPr>
            <w:tcW w:w="2240" w:type="dxa"/>
            <w:tcMar>
              <w:top w:w="80" w:type="dxa"/>
              <w:left w:w="100" w:type="dxa"/>
              <w:bottom w:w="80" w:type="dxa"/>
              <w:right w:w="100" w:type="dxa"/>
            </w:tcMar>
          </w:tcPr>
          <w:p w:rsidR="00000000" w:rsidRDefault="00000000" w14:paraId="7B00000B">
            <w:pPr>
              <w:rPr/>
            </w:pPr>
            <w:r>
              <w:rPr>
                <w:sz w:val="19"/>
                <w:szCs w:val="19"/>
              </w:rPr>
              <w:t xml:space="preserve">Operational Inference Emissions</w:t>
            </w:r>
          </w:p>
        </w:tc>
        <w:tc>
          <w:tcPr>
            <w:tcW w:w="2720" w:type="dxa"/>
            <w:tcMar>
              <w:top w:w="80" w:type="dxa"/>
              <w:left w:w="100" w:type="dxa"/>
              <w:bottom w:w="80" w:type="dxa"/>
              <w:right w:w="100" w:type="dxa"/>
            </w:tcMar>
          </w:tcPr>
          <w:p w:rsidR="00000000" w:rsidRDefault="00000000" w14:paraId="7B00000C">
            <w:pPr>
              <w:rPr/>
            </w:pPr>
            <w:r>
              <w:rPr>
                <w:sz w:val="19"/>
                <w:szCs w:val="19"/>
              </w:rPr>
              <w:t xml:space="preserve">Chip and server energy for the call multiplied by grid carbon intensity at run time (§8.5–§8.6)</w:t>
            </w:r>
          </w:p>
        </w:tc>
        <w:tc>
          <w:tcPr>
            <w:tcW w:w="1280" w:type="dxa"/>
            <w:tcMar>
              <w:top w:w="80" w:type="dxa"/>
              <w:left w:w="100" w:type="dxa"/>
              <w:bottom w:w="80" w:type="dxa"/>
              <w:right w:w="100" w:type="dxa"/>
            </w:tcMar>
          </w:tcPr>
          <w:p w:rsidR="00000000" w:rsidRDefault="00000000" w14:paraId="7B00000D">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0E">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0F">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10">
            <w:pPr>
              <w:rPr/>
            </w:pPr>
            <w:r>
              <w:rPr>
                <w:sz w:val="19"/>
                <w:szCs w:val="19"/>
              </w:rPr>
              <w:t xml:space="preserve">FAC</w:t>
            </w:r>
          </w:p>
        </w:tc>
        <w:tc>
          <w:tcPr>
            <w:tcW w:w="2240" w:type="dxa"/>
            <w:tcMar>
              <w:top w:w="80" w:type="dxa"/>
              <w:left w:w="100" w:type="dxa"/>
              <w:bottom w:w="80" w:type="dxa"/>
              <w:right w:w="100" w:type="dxa"/>
            </w:tcMar>
          </w:tcPr>
          <w:p w:rsidR="00000000" w:rsidRDefault="00000000" w14:paraId="7B000011">
            <w:pPr>
              <w:rPr/>
            </w:pPr>
            <w:r>
              <w:rPr>
                <w:sz w:val="19"/>
                <w:szCs w:val="19"/>
              </w:rPr>
              <w:t xml:space="preserve">Facility Overhead Emissions</w:t>
            </w:r>
          </w:p>
        </w:tc>
        <w:tc>
          <w:tcPr>
            <w:tcW w:w="2720" w:type="dxa"/>
            <w:tcMar>
              <w:top w:w="80" w:type="dxa"/>
              <w:left w:w="100" w:type="dxa"/>
              <w:bottom w:w="80" w:type="dxa"/>
              <w:right w:w="100" w:type="dxa"/>
            </w:tcMar>
          </w:tcPr>
          <w:p w:rsidR="00000000" w:rsidRDefault="00000000" w14:paraId="7B000012">
            <w:pPr>
              <w:rPr/>
            </w:pPr>
            <w:r>
              <w:rPr>
                <w:sz w:val="19"/>
                <w:szCs w:val="19"/>
              </w:rPr>
              <w:t xml:space="preserve">Cooling, power conversion and other data-center overhead, derived from OPE and the facility PUE</w:t>
            </w:r>
          </w:p>
        </w:tc>
        <w:tc>
          <w:tcPr>
            <w:tcW w:w="1280" w:type="dxa"/>
            <w:tcMar>
              <w:top w:w="80" w:type="dxa"/>
              <w:left w:w="100" w:type="dxa"/>
              <w:bottom w:w="80" w:type="dxa"/>
              <w:right w:w="100" w:type="dxa"/>
            </w:tcMar>
          </w:tcPr>
          <w:p w:rsidR="00000000" w:rsidRDefault="00000000" w14:paraId="7B000013">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4">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5">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B000016">
            <w:pPr>
              <w:rPr/>
            </w:pPr>
            <w:r>
              <w:rPr>
                <w:sz w:val="19"/>
                <w:szCs w:val="19"/>
              </w:rPr>
              <w:t xml:space="preserve">TRA</w:t>
            </w:r>
          </w:p>
        </w:tc>
        <w:tc>
          <w:tcPr>
            <w:tcW w:w="2240" w:type="dxa"/>
            <w:tcMar>
              <w:top w:w="80" w:type="dxa"/>
              <w:left w:w="100" w:type="dxa"/>
              <w:bottom w:w="80" w:type="dxa"/>
              <w:right w:w="100" w:type="dxa"/>
            </w:tcMar>
          </w:tcPr>
          <w:p w:rsidR="00000000" w:rsidRDefault="00000000" w14:paraId="7B000017">
            <w:pPr>
              <w:rPr/>
            </w:pPr>
            <w:r>
              <w:rPr>
                <w:sz w:val="19"/>
                <w:szCs w:val="19"/>
              </w:rPr>
              <w:t xml:space="preserve">Amortized Training Emissions</w:t>
            </w:r>
          </w:p>
        </w:tc>
        <w:tc>
          <w:tcPr>
            <w:tcW w:w="2720" w:type="dxa"/>
            <w:tcMar>
              <w:top w:w="80" w:type="dxa"/>
              <w:left w:w="100" w:type="dxa"/>
              <w:bottom w:w="80" w:type="dxa"/>
              <w:right w:w="100" w:type="dxa"/>
            </w:tcMar>
          </w:tcPr>
          <w:p w:rsidR="00000000" w:rsidRDefault="00000000" w14:paraId="7B000018">
            <w:pPr>
              <w:rPr/>
            </w:pPr>
            <w:r>
              <w:rPr>
                <w:sz w:val="19"/>
                <w:szCs w:val="19"/>
              </w:rPr>
              <w:t xml:space="preserve">The call’s share of the model’s total training emissions, amortized over lifetime token throughput</w:t>
            </w:r>
          </w:p>
        </w:tc>
        <w:tc>
          <w:tcPr>
            <w:tcW w:w="1280" w:type="dxa"/>
            <w:tcMar>
              <w:top w:w="80" w:type="dxa"/>
              <w:left w:w="100" w:type="dxa"/>
              <w:bottom w:w="80" w:type="dxa"/>
              <w:right w:w="100" w:type="dxa"/>
            </w:tcMar>
          </w:tcPr>
          <w:p w:rsidR="00000000" w:rsidRDefault="00000000" w14:paraId="7B000019">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A">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1C">
            <w:pPr>
              <w:rPr/>
            </w:pPr>
            <w:r>
              <w:rPr>
                <w:sz w:val="19"/>
                <w:szCs w:val="19"/>
              </w:rPr>
              <w:t xml:space="preserve">EMB</w:t>
            </w:r>
          </w:p>
        </w:tc>
        <w:tc>
          <w:tcPr>
            <w:tcW w:w="2240" w:type="dxa"/>
            <w:tcMar>
              <w:top w:w="80" w:type="dxa"/>
              <w:left w:w="100" w:type="dxa"/>
              <w:bottom w:w="80" w:type="dxa"/>
              <w:right w:w="100" w:type="dxa"/>
            </w:tcMar>
          </w:tcPr>
          <w:p w:rsidR="00000000" w:rsidRDefault="00000000" w14:paraId="7B00001D">
            <w:pPr>
              <w:rPr/>
            </w:pPr>
            <w:r>
              <w:rPr>
                <w:sz w:val="19"/>
                <w:szCs w:val="19"/>
              </w:rPr>
              <w:t xml:space="preserve">Embodied Hardware Emissions</w:t>
            </w:r>
          </w:p>
        </w:tc>
        <w:tc>
          <w:tcPr>
            <w:tcW w:w="2720" w:type="dxa"/>
            <w:tcMar>
              <w:top w:w="80" w:type="dxa"/>
              <w:left w:w="100" w:type="dxa"/>
              <w:bottom w:w="80" w:type="dxa"/>
              <w:right w:w="100" w:type="dxa"/>
            </w:tcMar>
          </w:tcPr>
          <w:p w:rsidR="00000000" w:rsidRDefault="00000000" w14:paraId="7B00001E">
            <w:pPr>
              <w:rPr/>
            </w:pPr>
            <w:r>
              <w:rPr>
                <w:sz w:val="19"/>
                <w:szCs w:val="19"/>
              </w:rPr>
              <w:t xml:space="preserve">The call’s share of manufacturing and construction emissions for the accelerators, servers and facility it used</w:t>
            </w:r>
          </w:p>
        </w:tc>
        <w:tc>
          <w:tcPr>
            <w:tcW w:w="1280" w:type="dxa"/>
            <w:tcMar>
              <w:top w:w="80" w:type="dxa"/>
              <w:left w:w="100" w:type="dxa"/>
              <w:bottom w:w="80" w:type="dxa"/>
              <w:right w:w="100" w:type="dxa"/>
            </w:tcMar>
          </w:tcPr>
          <w:p w:rsidR="00000000" w:rsidRDefault="00000000" w14:paraId="7B00001F">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0">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21">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22">
            <w:pPr>
              <w:rPr/>
            </w:pPr>
            <w:r>
              <w:rPr>
                <w:sz w:val="19"/>
                <w:szCs w:val="19"/>
              </w:rPr>
              <w:t xml:space="preserve">STE</w:t>
            </w:r>
          </w:p>
        </w:tc>
        <w:tc>
          <w:tcPr>
            <w:tcW w:w="2240" w:type="dxa"/>
            <w:tcMar>
              <w:top w:w="80" w:type="dxa"/>
              <w:left w:w="100" w:type="dxa"/>
              <w:bottom w:w="80" w:type="dxa"/>
              <w:right w:w="100" w:type="dxa"/>
            </w:tcMar>
          </w:tcPr>
          <w:p w:rsidR="00000000" w:rsidRDefault="00000000" w14:paraId="7B000023">
            <w:pPr>
              <w:rPr/>
            </w:pPr>
            <w:r>
              <w:rPr>
                <w:sz w:val="19"/>
                <w:szCs w:val="19"/>
              </w:rPr>
              <w:t xml:space="preserve">Self-Trained Emissions</w:t>
            </w:r>
          </w:p>
        </w:tc>
        <w:tc>
          <w:tcPr>
            <w:tcW w:w="2720" w:type="dxa"/>
            <w:tcMar>
              <w:top w:w="80" w:type="dxa"/>
              <w:left w:w="100" w:type="dxa"/>
              <w:bottom w:w="80" w:type="dxa"/>
              <w:right w:w="100" w:type="dxa"/>
            </w:tcMar>
          </w:tcPr>
          <w:p w:rsidR="00000000" w:rsidRDefault="00000000" w14:paraId="7B000024">
            <w:pPr>
              <w:rPr/>
            </w:pPr>
            <w:r>
              <w:rPr>
                <w:sz w:val="19"/>
                <w:szCs w:val="19"/>
              </w:rPr>
              <w:t xml:space="preserve">Training or fine-tuning run on the Subscriber’s own infrastructure, measured by the infra agent and attributed 100% to that Subscriber</w:t>
            </w:r>
          </w:p>
        </w:tc>
        <w:tc>
          <w:tcPr>
            <w:tcW w:w="1280" w:type="dxa"/>
            <w:tcMar>
              <w:top w:w="80" w:type="dxa"/>
              <w:left w:w="100" w:type="dxa"/>
              <w:bottom w:w="80" w:type="dxa"/>
              <w:right w:w="100" w:type="dxa"/>
            </w:tcMar>
          </w:tcPr>
          <w:p w:rsidR="00000000" w:rsidRDefault="00000000" w14:paraId="7B000025">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6">
            <w:pPr>
              <w:rPr/>
            </w:pPr>
            <w:r>
              <w:rPr>
                <w:sz w:val="19"/>
                <w:szCs w:val="19"/>
              </w:rPr>
              <w:t xml:space="preserve">Per job</w:t>
            </w:r>
          </w:p>
        </w:tc>
        <w:tc>
          <w:tcPr>
            <w:tcW w:w="1120" w:type="dxa"/>
            <w:tcMar>
              <w:top w:w="80" w:type="dxa"/>
              <w:left w:w="100" w:type="dxa"/>
              <w:bottom w:w="80" w:type="dxa"/>
              <w:right w:w="100" w:type="dxa"/>
            </w:tcMar>
          </w:tcPr>
          <w:p w:rsidR="00000000" w:rsidRDefault="00000000" w14:paraId="7B000027">
            <w:pPr>
              <w:rPr/>
            </w:pPr>
            <w:r>
              <w:rPr>
                <w:sz w:val="19"/>
                <w:szCs w:val="19"/>
              </w:rPr>
              <w:t xml:space="preserve">Measured</w:t>
            </w:r>
          </w:p>
        </w:tc>
      </w:tr>
    </w:tbl>
    <w:p w:rsidR="00000000" w:rsidRDefault="00000000" w14:paraId="7B000028">
      <w:pPr>
        <w:spacing w:after="120"/>
        <w:rPr/>
      </w:pPr>
    </w:p>
    <w:p w:rsidR="00000000" w:rsidRDefault="00000000" w14:paraId="7B000029">
      <w:pPr>
        <w:pStyle w:val="Heading3"/>
        <w:spacing w:after="100" w:before="200" w:lineRule="auto"/>
        <w:rPr/>
      </w:pPr>
      <w:r>
        <w:rPr>
          <w:b w:val="1"/>
          <w:bCs w:val="1"/>
          <w:color w:val="333333"/>
          <w:sz w:val="21"/>
          <w:szCs w:val="21"/>
        </w:rPr>
        <w:t xml:space="preserve">8.8.2 Amortization Inputs and Derived Totals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2A">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2B">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2C">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2D">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2E">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2F">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30">
            <w:pPr>
              <w:rPr/>
            </w:pPr>
            <w:r>
              <w:rPr>
                <w:sz w:val="19"/>
                <w:szCs w:val="19"/>
              </w:rPr>
              <w:t xml:space="preserve">TLE</w:t>
            </w:r>
          </w:p>
        </w:tc>
        <w:tc>
          <w:tcPr>
            <w:tcW w:w="2240" w:type="dxa"/>
            <w:tcMar>
              <w:top w:w="80" w:type="dxa"/>
              <w:left w:w="100" w:type="dxa"/>
              <w:bottom w:w="80" w:type="dxa"/>
              <w:right w:w="100" w:type="dxa"/>
            </w:tcMar>
          </w:tcPr>
          <w:p w:rsidR="00000000" w:rsidRDefault="00000000" w14:paraId="7B000031">
            <w:pPr>
              <w:rPr/>
            </w:pPr>
            <w:r>
              <w:rPr>
                <w:sz w:val="19"/>
                <w:szCs w:val="19"/>
              </w:rPr>
              <w:t xml:space="preserve">Total Training Emissions</w:t>
            </w:r>
          </w:p>
        </w:tc>
        <w:tc>
          <w:tcPr>
            <w:tcW w:w="2720" w:type="dxa"/>
            <w:tcMar>
              <w:top w:w="80" w:type="dxa"/>
              <w:left w:w="100" w:type="dxa"/>
              <w:bottom w:w="80" w:type="dxa"/>
              <w:right w:w="100" w:type="dxa"/>
            </w:tcMar>
          </w:tcPr>
          <w:p w:rsidR="00000000" w:rsidRDefault="00000000" w14:paraId="7B000032">
            <w:pPr>
              <w:rPr/>
            </w:pPr>
            <w:r>
              <w:rPr>
                <w:sz w:val="19"/>
                <w:szCs w:val="19"/>
              </w:rPr>
              <w:t xml:space="preserve">Published or estimated lifecycle training emissions for a model version, with source citation (Appendix A)</w:t>
            </w:r>
          </w:p>
        </w:tc>
        <w:tc>
          <w:tcPr>
            <w:tcW w:w="1280" w:type="dxa"/>
            <w:tcMar>
              <w:top w:w="80" w:type="dxa"/>
              <w:left w:w="100" w:type="dxa"/>
              <w:bottom w:w="80" w:type="dxa"/>
              <w:right w:w="100" w:type="dxa"/>
            </w:tcMar>
          </w:tcPr>
          <w:p w:rsidR="00000000" w:rsidRDefault="00000000" w14:paraId="7B000033">
            <w:pPr>
              <w:rPr/>
            </w:pPr>
            <w:r>
              <w:rPr>
                <w:sz w:val="19"/>
                <w:szCs w:val="19"/>
              </w:rPr>
              <w:t xml:space="preserve">tCO2e</w:t>
            </w:r>
          </w:p>
        </w:tc>
        <w:tc>
          <w:tcPr>
            <w:tcW w:w="1280" w:type="dxa"/>
            <w:tcMar>
              <w:top w:w="80" w:type="dxa"/>
              <w:left w:w="100" w:type="dxa"/>
              <w:bottom w:w="80" w:type="dxa"/>
              <w:right w:w="100" w:type="dxa"/>
            </w:tcMar>
          </w:tcPr>
          <w:p w:rsidR="00000000" w:rsidRDefault="00000000" w14:paraId="7B000034">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5">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36">
            <w:pPr>
              <w:rPr/>
            </w:pPr>
            <w:r>
              <w:rPr>
                <w:sz w:val="19"/>
                <w:szCs w:val="19"/>
              </w:rPr>
              <w:t xml:space="preserve">LTT</w:t>
            </w:r>
          </w:p>
        </w:tc>
        <w:tc>
          <w:tcPr>
            <w:tcW w:w="2240" w:type="dxa"/>
            <w:tcMar>
              <w:top w:w="80" w:type="dxa"/>
              <w:left w:w="100" w:type="dxa"/>
              <w:bottom w:w="80" w:type="dxa"/>
              <w:right w:w="100" w:type="dxa"/>
            </w:tcMar>
          </w:tcPr>
          <w:p w:rsidR="00000000" w:rsidRDefault="00000000" w14:paraId="7B000037">
            <w:pPr>
              <w:rPr/>
            </w:pPr>
            <w:r>
              <w:rPr>
                <w:sz w:val="19"/>
                <w:szCs w:val="19"/>
              </w:rPr>
              <w:t xml:space="preserve">Lifetime Token Throughput</w:t>
            </w:r>
          </w:p>
        </w:tc>
        <w:tc>
          <w:tcPr>
            <w:tcW w:w="2720" w:type="dxa"/>
            <w:tcMar>
              <w:top w:w="80" w:type="dxa"/>
              <w:left w:w="100" w:type="dxa"/>
              <w:bottom w:w="80" w:type="dxa"/>
              <w:right w:w="100" w:type="dxa"/>
            </w:tcMar>
          </w:tcPr>
          <w:p w:rsidR="00000000" w:rsidRDefault="00000000" w14:paraId="7B000038">
            <w:pPr>
              <w:rPr/>
            </w:pPr>
            <w:r>
              <w:rPr>
                <w:sz w:val="19"/>
                <w:szCs w:val="19"/>
              </w:rPr>
              <w:t xml:space="preserve">Expected total tokens served by a model version over its deployment life</w:t>
            </w:r>
          </w:p>
        </w:tc>
        <w:tc>
          <w:tcPr>
            <w:tcW w:w="1280" w:type="dxa"/>
            <w:tcMar>
              <w:top w:w="80" w:type="dxa"/>
              <w:left w:w="100" w:type="dxa"/>
              <w:bottom w:w="80" w:type="dxa"/>
              <w:right w:w="100" w:type="dxa"/>
            </w:tcMar>
          </w:tcPr>
          <w:p w:rsidR="00000000" w:rsidRDefault="00000000" w14:paraId="7B000039">
            <w:pPr>
              <w:rPr/>
            </w:pPr>
            <w:r>
              <w:rPr>
                <w:sz w:val="19"/>
                <w:szCs w:val="19"/>
              </w:rPr>
              <w:t xml:space="preserve">tokens</w:t>
            </w:r>
          </w:p>
        </w:tc>
        <w:tc>
          <w:tcPr>
            <w:tcW w:w="1280" w:type="dxa"/>
            <w:tcMar>
              <w:top w:w="80" w:type="dxa"/>
              <w:left w:w="100" w:type="dxa"/>
              <w:bottom w:w="80" w:type="dxa"/>
              <w:right w:w="100" w:type="dxa"/>
            </w:tcMar>
          </w:tcPr>
          <w:p w:rsidR="00000000" w:rsidRDefault="00000000" w14:paraId="7B00003A">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3C">
            <w:pPr>
              <w:rPr/>
            </w:pPr>
            <w:r>
              <w:rPr>
                <w:sz w:val="19"/>
                <w:szCs w:val="19"/>
              </w:rPr>
              <w:t xml:space="preserve">HEE</w:t>
            </w:r>
          </w:p>
        </w:tc>
        <w:tc>
          <w:tcPr>
            <w:tcW w:w="2240" w:type="dxa"/>
            <w:tcMar>
              <w:top w:w="80" w:type="dxa"/>
              <w:left w:w="100" w:type="dxa"/>
              <w:bottom w:w="80" w:type="dxa"/>
              <w:right w:w="100" w:type="dxa"/>
            </w:tcMar>
          </w:tcPr>
          <w:p w:rsidR="00000000" w:rsidRDefault="00000000" w14:paraId="7B00003D">
            <w:pPr>
              <w:rPr/>
            </w:pPr>
            <w:r>
              <w:rPr>
                <w:sz w:val="19"/>
                <w:szCs w:val="19"/>
              </w:rPr>
              <w:t xml:space="preserve">Hardware Embodied Emissions</w:t>
            </w:r>
          </w:p>
        </w:tc>
        <w:tc>
          <w:tcPr>
            <w:tcW w:w="2720" w:type="dxa"/>
            <w:tcMar>
              <w:top w:w="80" w:type="dxa"/>
              <w:left w:w="100" w:type="dxa"/>
              <w:bottom w:w="80" w:type="dxa"/>
              <w:right w:w="100" w:type="dxa"/>
            </w:tcMar>
          </w:tcPr>
          <w:p w:rsidR="00000000" w:rsidRDefault="00000000" w14:paraId="7B00003E">
            <w:pPr>
              <w:rPr/>
            </w:pPr>
            <w:r>
              <w:rPr>
                <w:sz w:val="19"/>
                <w:szCs w:val="19"/>
              </w:rPr>
              <w:t xml:space="preserve">Manufacturing emissions per server or accelerator, including a configurable share for networking and facility construction</w:t>
            </w:r>
          </w:p>
        </w:tc>
        <w:tc>
          <w:tcPr>
            <w:tcW w:w="1280" w:type="dxa"/>
            <w:tcMar>
              <w:top w:w="80" w:type="dxa"/>
              <w:left w:w="100" w:type="dxa"/>
              <w:bottom w:w="80" w:type="dxa"/>
              <w:right w:w="100" w:type="dxa"/>
            </w:tcMar>
          </w:tcPr>
          <w:p w:rsidR="00000000" w:rsidRDefault="00000000" w14:paraId="7B00003F">
            <w:pPr>
              <w:rPr/>
            </w:pPr>
            <w:r>
              <w:rPr>
                <w:sz w:val="19"/>
                <w:szCs w:val="19"/>
              </w:rPr>
              <w:t xml:space="preserve">kgCO2e</w:t>
            </w:r>
          </w:p>
        </w:tc>
        <w:tc>
          <w:tcPr>
            <w:tcW w:w="1280" w:type="dxa"/>
            <w:tcMar>
              <w:top w:w="80" w:type="dxa"/>
              <w:left w:w="100" w:type="dxa"/>
              <w:bottom w:w="80" w:type="dxa"/>
              <w:right w:w="100" w:type="dxa"/>
            </w:tcMar>
          </w:tcPr>
          <w:p w:rsidR="00000000" w:rsidRDefault="00000000" w14:paraId="7B000040">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1">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42">
            <w:pPr>
              <w:rPr/>
            </w:pPr>
            <w:r>
              <w:rPr>
                <w:sz w:val="19"/>
                <w:szCs w:val="19"/>
              </w:rPr>
              <w:t xml:space="preserve">HLF</w:t>
            </w:r>
          </w:p>
        </w:tc>
        <w:tc>
          <w:tcPr>
            <w:tcW w:w="2240" w:type="dxa"/>
            <w:tcMar>
              <w:top w:w="80" w:type="dxa"/>
              <w:left w:w="100" w:type="dxa"/>
              <w:bottom w:w="80" w:type="dxa"/>
              <w:right w:w="100" w:type="dxa"/>
            </w:tcMar>
          </w:tcPr>
          <w:p w:rsidR="00000000" w:rsidRDefault="00000000" w14:paraId="7B000043">
            <w:pPr>
              <w:rPr/>
            </w:pPr>
            <w:r>
              <w:rPr>
                <w:sz w:val="19"/>
                <w:szCs w:val="19"/>
              </w:rPr>
              <w:t xml:space="preserve">Hardware Service Life</w:t>
            </w:r>
          </w:p>
        </w:tc>
        <w:tc>
          <w:tcPr>
            <w:tcW w:w="2720" w:type="dxa"/>
            <w:tcMar>
              <w:top w:w="80" w:type="dxa"/>
              <w:left w:w="100" w:type="dxa"/>
              <w:bottom w:w="80" w:type="dxa"/>
              <w:right w:w="100" w:type="dxa"/>
            </w:tcMar>
          </w:tcPr>
          <w:p w:rsidR="00000000" w:rsidRDefault="00000000" w14:paraId="7B000044">
            <w:pPr>
              <w:rPr/>
            </w:pPr>
            <w:r>
              <w:rPr>
                <w:sz w:val="19"/>
                <w:szCs w:val="19"/>
              </w:rPr>
              <w:t xml:space="preserve">Expected service life of the hardware class</w:t>
            </w:r>
          </w:p>
        </w:tc>
        <w:tc>
          <w:tcPr>
            <w:tcW w:w="1280" w:type="dxa"/>
            <w:tcMar>
              <w:top w:w="80" w:type="dxa"/>
              <w:left w:w="100" w:type="dxa"/>
              <w:bottom w:w="80" w:type="dxa"/>
              <w:right w:w="100" w:type="dxa"/>
            </w:tcMar>
          </w:tcPr>
          <w:p w:rsidR="00000000" w:rsidRDefault="00000000" w14:paraId="7B000045">
            <w:pPr>
              <w:rPr/>
            </w:pPr>
            <w:r>
              <w:rPr>
                <w:sz w:val="19"/>
                <w:szCs w:val="19"/>
              </w:rPr>
              <w:t xml:space="preserve">years</w:t>
            </w:r>
          </w:p>
        </w:tc>
        <w:tc>
          <w:tcPr>
            <w:tcW w:w="1280" w:type="dxa"/>
            <w:tcMar>
              <w:top w:w="80" w:type="dxa"/>
              <w:left w:w="100" w:type="dxa"/>
              <w:bottom w:w="80" w:type="dxa"/>
              <w:right w:w="100" w:type="dxa"/>
            </w:tcMar>
          </w:tcPr>
          <w:p w:rsidR="00000000" w:rsidRDefault="00000000" w14:paraId="7B000046">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7">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48">
            <w:pPr>
              <w:rPr/>
            </w:pPr>
            <w:r>
              <w:rPr>
                <w:sz w:val="19"/>
                <w:szCs w:val="19"/>
              </w:rPr>
              <w:t xml:space="preserve">HUR</w:t>
            </w:r>
          </w:p>
        </w:tc>
        <w:tc>
          <w:tcPr>
            <w:tcW w:w="2240" w:type="dxa"/>
            <w:tcMar>
              <w:top w:w="80" w:type="dxa"/>
              <w:left w:w="100" w:type="dxa"/>
              <w:bottom w:w="80" w:type="dxa"/>
              <w:right w:w="100" w:type="dxa"/>
            </w:tcMar>
          </w:tcPr>
          <w:p w:rsidR="00000000" w:rsidRDefault="00000000" w14:paraId="7B000049">
            <w:pPr>
              <w:rPr/>
            </w:pPr>
            <w:r>
              <w:rPr>
                <w:sz w:val="19"/>
                <w:szCs w:val="19"/>
              </w:rPr>
              <w:t xml:space="preserve">Hardware Utilization Ratio</w:t>
            </w:r>
          </w:p>
        </w:tc>
        <w:tc>
          <w:tcPr>
            <w:tcW w:w="2720" w:type="dxa"/>
            <w:tcMar>
              <w:top w:w="80" w:type="dxa"/>
              <w:left w:w="100" w:type="dxa"/>
              <w:bottom w:w="80" w:type="dxa"/>
              <w:right w:w="100" w:type="dxa"/>
            </w:tcMar>
          </w:tcPr>
          <w:p w:rsidR="00000000" w:rsidRDefault="00000000" w14:paraId="7B00004A">
            <w:pPr>
              <w:rPr/>
            </w:pPr>
            <w:r>
              <w:rPr>
                <w:sz w:val="19"/>
                <w:szCs w:val="19"/>
              </w:rPr>
              <w:t xml:space="preserve">Share of hardware time doing useful work; from GPU (§21.2) where measured, otherwise a provider default</w:t>
            </w:r>
          </w:p>
        </w:tc>
        <w:tc>
          <w:tcPr>
            <w:tcW w:w="1280" w:type="dxa"/>
            <w:tcMar>
              <w:top w:w="80" w:type="dxa"/>
              <w:left w:w="100" w:type="dxa"/>
              <w:bottom w:w="80" w:type="dxa"/>
              <w:right w:w="100" w:type="dxa"/>
            </w:tcMar>
          </w:tcPr>
          <w:p w:rsidR="00000000" w:rsidRDefault="00000000" w14:paraId="7B00004B">
            <w:pPr>
              <w:rPr/>
            </w:pPr>
            <w:r>
              <w:rPr>
                <w:sz w:val="19"/>
                <w:szCs w:val="19"/>
              </w:rPr>
              <w:t xml:space="preserve">ratio 0–1</w:t>
            </w:r>
          </w:p>
        </w:tc>
        <w:tc>
          <w:tcPr>
            <w:tcW w:w="1280" w:type="dxa"/>
            <w:tcMar>
              <w:top w:w="80" w:type="dxa"/>
              <w:left w:w="100" w:type="dxa"/>
              <w:bottom w:w="80" w:type="dxa"/>
              <w:right w:w="100" w:type="dxa"/>
            </w:tcMar>
          </w:tcPr>
          <w:p w:rsidR="00000000" w:rsidRDefault="00000000" w14:paraId="7B00004C">
            <w:pPr>
              <w:rPr/>
            </w:pPr>
            <w:r>
              <w:rPr>
                <w:sz w:val="19"/>
                <w:szCs w:val="19"/>
              </w:rPr>
              <w:t xml:space="preserve">Hourly / default</w:t>
            </w:r>
          </w:p>
        </w:tc>
        <w:tc>
          <w:tcPr>
            <w:tcW w:w="1120" w:type="dxa"/>
            <w:tcMar>
              <w:top w:w="80" w:type="dxa"/>
              <w:left w:w="100" w:type="dxa"/>
              <w:bottom w:w="80" w:type="dxa"/>
              <w:right w:w="100" w:type="dxa"/>
            </w:tcMar>
          </w:tcPr>
          <w:p w:rsidR="00000000" w:rsidRDefault="00000000" w14:paraId="7B00004D">
            <w:pPr>
              <w:rPr/>
            </w:pPr>
            <w:r>
              <w:rPr>
                <w:sz w:val="19"/>
                <w:szCs w:val="19"/>
              </w:rPr>
              <w:t xml:space="preserve">Measured / estimated</w:t>
            </w:r>
          </w:p>
        </w:tc>
      </w:tr>
      <w:tr>
        <w:trPr>
          <w:cantSplit/>
        </w:trPr>
        <w:tc>
          <w:tcPr>
            <w:tcW w:w="960" w:type="dxa"/>
            <w:tcMar>
              <w:top w:w="80" w:type="dxa"/>
              <w:left w:w="100" w:type="dxa"/>
              <w:bottom w:w="80" w:type="dxa"/>
              <w:right w:w="100" w:type="dxa"/>
            </w:tcMar>
          </w:tcPr>
          <w:p w:rsidR="00000000" w:rsidRDefault="00000000" w14:paraId="7B00004E">
            <w:pPr>
              <w:rPr/>
            </w:pPr>
            <w:r>
              <w:rPr>
                <w:sz w:val="19"/>
                <w:szCs w:val="19"/>
              </w:rPr>
              <w:t xml:space="preserve">ACS</w:t>
            </w:r>
          </w:p>
        </w:tc>
        <w:tc>
          <w:tcPr>
            <w:tcW w:w="2240" w:type="dxa"/>
            <w:tcMar>
              <w:top w:w="80" w:type="dxa"/>
              <w:left w:w="100" w:type="dxa"/>
              <w:bottom w:w="80" w:type="dxa"/>
              <w:right w:w="100" w:type="dxa"/>
            </w:tcMar>
          </w:tcPr>
          <w:p w:rsidR="00000000" w:rsidRDefault="00000000" w14:paraId="7B00004F">
            <w:pPr>
              <w:rPr/>
            </w:pPr>
            <w:r>
              <w:rPr>
                <w:sz w:val="19"/>
                <w:szCs w:val="19"/>
              </w:rPr>
              <w:t xml:space="preserve">Accelerator-Seconds</w:t>
            </w:r>
          </w:p>
        </w:tc>
        <w:tc>
          <w:tcPr>
            <w:tcW w:w="2720" w:type="dxa"/>
            <w:tcMar>
              <w:top w:w="80" w:type="dxa"/>
              <w:left w:w="100" w:type="dxa"/>
              <w:bottom w:w="80" w:type="dxa"/>
              <w:right w:w="100" w:type="dxa"/>
            </w:tcMar>
          </w:tcPr>
          <w:p w:rsidR="00000000" w:rsidRDefault="00000000" w14:paraId="7B000050">
            <w:pPr>
              <w:rPr/>
            </w:pPr>
            <w:r>
              <w:rPr>
                <w:sz w:val="19"/>
                <w:szCs w:val="19"/>
              </w:rPr>
              <w:t xml:space="preserve">Accelerator time consumed by the call, measured or modeled from tokens and model class</w:t>
            </w:r>
          </w:p>
        </w:tc>
        <w:tc>
          <w:tcPr>
            <w:tcW w:w="1280" w:type="dxa"/>
            <w:tcMar>
              <w:top w:w="80" w:type="dxa"/>
              <w:left w:w="100" w:type="dxa"/>
              <w:bottom w:w="80" w:type="dxa"/>
              <w:right w:w="100" w:type="dxa"/>
            </w:tcMar>
          </w:tcPr>
          <w:p w:rsidR="00000000" w:rsidRDefault="00000000" w14:paraId="7B000051">
            <w:pPr>
              <w:rPr/>
            </w:pPr>
            <w:r>
              <w:rPr>
                <w:sz w:val="19"/>
                <w:szCs w:val="19"/>
              </w:rPr>
              <w:t xml:space="preserve">GPU-s</w:t>
            </w:r>
          </w:p>
        </w:tc>
        <w:tc>
          <w:tcPr>
            <w:tcW w:w="1280" w:type="dxa"/>
            <w:tcMar>
              <w:top w:w="80" w:type="dxa"/>
              <w:left w:w="100" w:type="dxa"/>
              <w:bottom w:w="80" w:type="dxa"/>
              <w:right w:w="100" w:type="dxa"/>
            </w:tcMar>
          </w:tcPr>
          <w:p w:rsidR="00000000" w:rsidRDefault="00000000" w14:paraId="7B000052">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3">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54">
            <w:pPr>
              <w:rPr/>
            </w:pPr>
            <w:r>
              <w:rPr>
                <w:sz w:val="19"/>
                <w:szCs w:val="19"/>
              </w:rPr>
              <w:t xml:space="preserve">D-LCE</w:t>
            </w:r>
          </w:p>
        </w:tc>
        <w:tc>
          <w:tcPr>
            <w:tcW w:w="2240" w:type="dxa"/>
            <w:tcMar>
              <w:top w:w="80" w:type="dxa"/>
              <w:left w:w="100" w:type="dxa"/>
              <w:bottom w:w="80" w:type="dxa"/>
              <w:right w:w="100" w:type="dxa"/>
            </w:tcMar>
          </w:tcPr>
          <w:p w:rsidR="00000000" w:rsidRDefault="00000000" w14:paraId="7B000055">
            <w:pPr>
              <w:rPr/>
            </w:pPr>
            <w:r>
              <w:rPr>
                <w:sz w:val="19"/>
                <w:szCs w:val="19"/>
              </w:rPr>
              <w:t xml:space="preserve">Total Lifecycle Emissions</w:t>
            </w:r>
          </w:p>
        </w:tc>
        <w:tc>
          <w:tcPr>
            <w:tcW w:w="2720" w:type="dxa"/>
            <w:tcMar>
              <w:top w:w="80" w:type="dxa"/>
              <w:left w:w="100" w:type="dxa"/>
              <w:bottom w:w="80" w:type="dxa"/>
              <w:right w:w="100" w:type="dxa"/>
            </w:tcMar>
          </w:tcPr>
          <w:p w:rsidR="00000000" w:rsidRDefault="00000000" w14:paraId="7B000056">
            <w:pPr>
              <w:rPr/>
            </w:pPr>
            <w:r>
              <w:rPr>
                <w:sz w:val="19"/>
                <w:szCs w:val="19"/>
              </w:rPr>
              <w:t xml:space="preserve">OPE + FAC + TRA + EMB (+ STE where applicable), always stored with its component split</w:t>
            </w:r>
          </w:p>
        </w:tc>
        <w:tc>
          <w:tcPr>
            <w:tcW w:w="1280" w:type="dxa"/>
            <w:tcMar>
              <w:top w:w="80" w:type="dxa"/>
              <w:left w:w="100" w:type="dxa"/>
              <w:bottom w:w="80" w:type="dxa"/>
              <w:right w:w="100" w:type="dxa"/>
            </w:tcMar>
          </w:tcPr>
          <w:p w:rsidR="00000000" w:rsidRDefault="00000000" w14:paraId="7B000057">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58">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9">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B00005A">
            <w:pPr>
              <w:rPr/>
            </w:pPr>
            <w:r>
              <w:rPr>
                <w:sz w:val="19"/>
                <w:szCs w:val="19"/>
              </w:rPr>
              <w:t xml:space="preserve">D-SCI</w:t>
            </w:r>
          </w:p>
        </w:tc>
        <w:tc>
          <w:tcPr>
            <w:tcW w:w="2240" w:type="dxa"/>
            <w:tcMar>
              <w:top w:w="80" w:type="dxa"/>
              <w:left w:w="100" w:type="dxa"/>
              <w:bottom w:w="80" w:type="dxa"/>
              <w:right w:w="100" w:type="dxa"/>
            </w:tcMar>
          </w:tcPr>
          <w:p w:rsidR="00000000" w:rsidRDefault="00000000" w14:paraId="7B00005B">
            <w:pPr>
              <w:rPr/>
            </w:pPr>
            <w:r>
              <w:rPr>
                <w:sz w:val="19"/>
                <w:szCs w:val="19"/>
              </w:rPr>
              <w:t xml:space="preserve">SCI Score</w:t>
            </w:r>
          </w:p>
        </w:tc>
        <w:tc>
          <w:tcPr>
            <w:tcW w:w="2720" w:type="dxa"/>
            <w:tcMar>
              <w:top w:w="80" w:type="dxa"/>
              <w:left w:w="100" w:type="dxa"/>
              <w:bottom w:w="80" w:type="dxa"/>
              <w:right w:w="100" w:type="dxa"/>
            </w:tcMar>
          </w:tcPr>
          <w:p w:rsidR="00000000" w:rsidRDefault="00000000" w14:paraId="7B00005C">
            <w:pPr>
              <w:rPr/>
            </w:pPr>
            <w:r>
              <w:rPr>
                <w:sz w:val="19"/>
                <w:szCs w:val="19"/>
              </w:rPr>
              <w:t xml:space="preserve">Lifecycle emissions per functional unit, using Useful Output Count (UOC, §21.2) as the unit</w:t>
            </w:r>
          </w:p>
        </w:tc>
        <w:tc>
          <w:tcPr>
            <w:tcW w:w="1280" w:type="dxa"/>
            <w:tcMar>
              <w:top w:w="80" w:type="dxa"/>
              <w:left w:w="100" w:type="dxa"/>
              <w:bottom w:w="80" w:type="dxa"/>
              <w:right w:w="100" w:type="dxa"/>
            </w:tcMar>
          </w:tcPr>
          <w:p w:rsidR="00000000" w:rsidRDefault="00000000" w14:paraId="7B00005D">
            <w:pPr>
              <w:rPr/>
            </w:pPr>
            <w:r>
              <w:rPr>
                <w:sz w:val="19"/>
                <w:szCs w:val="19"/>
              </w:rPr>
              <w:t xml:space="preserve">gCO2e/UOC</w:t>
            </w:r>
          </w:p>
        </w:tc>
        <w:tc>
          <w:tcPr>
            <w:tcW w:w="1280" w:type="dxa"/>
            <w:tcMar>
              <w:top w:w="80" w:type="dxa"/>
              <w:left w:w="100" w:type="dxa"/>
              <w:bottom w:w="80" w:type="dxa"/>
              <w:right w:w="100" w:type="dxa"/>
            </w:tcMar>
          </w:tcPr>
          <w:p w:rsidR="00000000" w:rsidRDefault="00000000" w14:paraId="7B00005E">
            <w:pPr>
              <w:rPr/>
            </w:pPr>
            <w:r>
              <w:rPr>
                <w:sz w:val="19"/>
                <w:szCs w:val="19"/>
              </w:rPr>
              <w:t xml:space="preserve">Daily</w:t>
            </w:r>
          </w:p>
        </w:tc>
        <w:tc>
          <w:tcPr>
            <w:tcW w:w="1120" w:type="dxa"/>
            <w:tcMar>
              <w:top w:w="80" w:type="dxa"/>
              <w:left w:w="100" w:type="dxa"/>
              <w:bottom w:w="80" w:type="dxa"/>
              <w:right w:w="100" w:type="dxa"/>
            </w:tcMar>
          </w:tcPr>
          <w:p w:rsidR="00000000" w:rsidRDefault="00000000" w14:paraId="7B00005F">
            <w:pPr>
              <w:rPr/>
            </w:pPr>
            <w:r>
              <w:rPr>
                <w:sz w:val="19"/>
                <w:szCs w:val="19"/>
              </w:rPr>
              <w:t xml:space="preserve">Lowest of inputs</w:t>
            </w:r>
          </w:p>
        </w:tc>
      </w:tr>
    </w:tbl>
    <w:p w:rsidR="00000000" w:rsidRDefault="00000000" w14:paraId="7B000060">
      <w:pPr>
        <w:spacing w:after="120"/>
        <w:rPr/>
      </w:pPr>
    </w:p>
    <w:p w:rsidR="00000000" w:rsidRDefault="00000000" w14:paraId="7B000061">
      <w:pPr>
        <w:pStyle w:val="Heading3"/>
        <w:spacing w:after="100" w:before="200" w:lineRule="auto"/>
        <w:rPr/>
      </w:pPr>
      <w:r>
        <w:rPr>
          <w:b w:val="1"/>
          <w:bCs w:val="1"/>
          <w:color w:val="333333"/>
          <w:sz w:val="21"/>
          <w:szCs w:val="21"/>
        </w:rPr>
        <w:t xml:space="preserve">8.8.3 Amortization Methods</w:t>
      </w:r>
    </w:p>
    <w:p w:rsidR="00000000" w:rsidRDefault="00000000" w14:paraId="7B000062">
      <w:pPr>
        <w:numPr>
          <w:ilvl w:val="0"/>
          <w:numId w:val="1"/>
        </w:numPr>
        <w:spacing w:after="60" w:before="0" w:line="240" w:lineRule="auto"/>
        <w:ind w:left="720" w:right="0" w:hanging="360"/>
        <w:rPr/>
      </w:pPr>
      <w:r>
        <w:rPr>
          <w:b w:val="1"/>
          <w:bCs w:val="1"/>
          <w:sz w:val="21"/>
          <w:szCs w:val="21"/>
        </w:rPr>
        <w:t xml:space="preserve">Training.</w:t>
      </w:r>
      <w:r>
        <w:rPr>
          <w:sz w:val="21"/>
          <w:szCs w:val="21"/>
        </w:rPr>
        <w:t xml:space="preserve"> TRA = (TLE ÷ LTT) × tokens in the call. TLE comes from published disclosures (model cards, lifecycle analyses) where available; otherwise it is estimated from training compute, hardware class and the grid of the training region. LTT uses provider usage disclosures where available, otherwise a default deployment life held in versioned configuration. For fine-tuned models, the base model share is amortized as above and the fine-tune itself is recorded as STE if run by the Subscriber.</w:t>
      </w:r>
    </w:p>
    <w:p w:rsidR="00000000" w:rsidRDefault="00000000" w14:paraId="7B000063">
      <w:pPr>
        <w:numPr>
          <w:ilvl w:val="0"/>
          <w:numId w:val="1"/>
        </w:numPr>
        <w:spacing w:after="60" w:before="0" w:line="240" w:lineRule="auto"/>
        <w:ind w:left="720" w:right="0" w:hanging="360"/>
        <w:rPr/>
      </w:pPr>
      <w:r>
        <w:rPr>
          <w:b w:val="1"/>
          <w:bCs w:val="1"/>
          <w:sz w:val="21"/>
          <w:szCs w:val="21"/>
        </w:rPr>
        <w:t xml:space="preserve">Embodied hardware.</w:t>
      </w:r>
      <w:r>
        <w:rPr>
          <w:sz w:val="21"/>
          <w:szCs w:val="21"/>
        </w:rPr>
        <w:t xml:space="preserve"> EMB = HEE × ACS ÷ (HLF in seconds × HUR). Dividing by utilization means idle hardware time is carried by the useful work it supports, so low utilization raises embodied emissions per call.</w:t>
      </w:r>
    </w:p>
    <w:p w:rsidR="00000000" w:rsidRDefault="00000000" w14:paraId="7B000064">
      <w:pPr>
        <w:numPr>
          <w:ilvl w:val="0"/>
          <w:numId w:val="1"/>
        </w:numPr>
        <w:spacing w:after="60" w:before="0" w:line="240" w:lineRule="auto"/>
        <w:ind w:left="720" w:right="0" w:hanging="360"/>
        <w:rPr/>
      </w:pPr>
      <w:r>
        <w:rPr>
          <w:b w:val="1"/>
          <w:bCs w:val="1"/>
          <w:sz w:val="21"/>
          <w:szCs w:val="21"/>
        </w:rPr>
        <w:t xml:space="preserve">Facility overhead.</w:t>
      </w:r>
      <w:r>
        <w:rPr>
          <w:sz w:val="21"/>
          <w:szCs w:val="21"/>
        </w:rPr>
        <w:t xml:space="preserve"> FAC = OPE × (PUE − 1), using provider- and region-specific PUE from §8.5. Water is handled the same way through WUE and reported under the water metric (§4.3).</w:t>
      </w:r>
    </w:p>
    <w:p w:rsidR="00000000" w:rsidRDefault="00000000" w14:paraId="7B000065">
      <w:pPr>
        <w:numPr>
          <w:ilvl w:val="0"/>
          <w:numId w:val="1"/>
        </w:numPr>
        <w:spacing w:after="60" w:before="0" w:line="240" w:lineRule="auto"/>
        <w:ind w:left="720" w:right="0" w:hanging="360"/>
        <w:rPr/>
      </w:pPr>
      <w:r>
        <w:rPr>
          <w:b w:val="1"/>
          <w:bCs w:val="1"/>
          <w:sz w:val="21"/>
          <w:szCs w:val="21"/>
        </w:rPr>
        <w:t xml:space="preserve">Self-trained.</w:t>
      </w:r>
      <w:r>
        <w:rPr>
          <w:sz w:val="21"/>
          <w:szCs w:val="21"/>
        </w:rPr>
        <w:t xml:space="preserve"> STE is measured directly by the infrastructure agent (§3.3) and attributed in full to the Subscriber that ran the job. It is never amortized across other Subscribers.</w:t>
      </w:r>
    </w:p>
    <w:p w:rsidR="00000000" w:rsidRDefault="00000000" w14:paraId="7B000066">
      <w:pPr>
        <w:numPr>
          <w:ilvl w:val="0"/>
          <w:numId w:val="1"/>
        </w:numPr>
        <w:spacing w:after="60" w:before="0" w:line="240" w:lineRule="auto"/>
        <w:ind w:left="720" w:right="0" w:hanging="360"/>
        <w:rPr/>
      </w:pPr>
      <w:r>
        <w:rPr>
          <w:b w:val="1"/>
          <w:bCs w:val="1"/>
          <w:sz w:val="21"/>
          <w:szCs w:val="21"/>
        </w:rPr>
        <w:t xml:space="preserve">Governance.</w:t>
      </w:r>
      <w:r>
        <w:rPr>
          <w:sz w:val="21"/>
          <w:szCs w:val="21"/>
        </w:rPr>
        <w:t xml:space="preserve"> Every default (deployment life, hardware life, construction share, PUE) is versioned configuration under §8.4, and every TLE and HEE value cites its source in Appendix A.</w:t>
      </w:r>
    </w:p>
    <w:p w:rsidR="00000000" w:rsidRDefault="00000000" w14:paraId="7B000067">
      <w:pPr>
        <w:pStyle w:val="Heading3"/>
        <w:spacing w:after="100" w:before="200" w:lineRule="auto"/>
        <w:rPr/>
      </w:pPr>
      <w:r>
        <w:rPr>
          <w:b w:val="1"/>
          <w:bCs w:val="1"/>
          <w:color w:val="333333"/>
          <w:sz w:val="21"/>
          <w:szCs w:val="21"/>
        </w:rPr>
        <w:t xml:space="preserve">8.8.4 Reporting Rules</w:t>
      </w:r>
    </w:p>
    <w:p w:rsidR="00000000" w:rsidRDefault="00000000" w14:paraId="7B000068">
      <w:pPr>
        <w:numPr>
          <w:ilvl w:val="0"/>
          <w:numId w:val="1"/>
        </w:numPr>
        <w:spacing w:after="60" w:before="0" w:line="240" w:lineRule="auto"/>
        <w:ind w:left="720" w:right="0" w:hanging="360"/>
        <w:rPr/>
      </w:pPr>
      <w:r>
        <w:rPr>
          <w:b w:val="1"/>
          <w:bCs w:val="1"/>
          <w:sz w:val="21"/>
          <w:szCs w:val="21"/>
        </w:rPr>
        <w:t xml:space="preserve">Always show the split.</w:t>
      </w:r>
      <w:r>
        <w:rPr>
          <w:sz w:val="21"/>
          <w:szCs w:val="21"/>
        </w:rPr>
        <w:t xml:space="preserve"> Dashboards (§6.3), exports and Return-on-Impact reports display operational (OPE + FAC), training (TRA) and embodied (EMB) separately. A blended total is never shown without its components.</w:t>
      </w:r>
    </w:p>
    <w:p w:rsidR="00000000" w:rsidRDefault="00000000" w14:paraId="7B000069">
      <w:pPr>
        <w:numPr>
          <w:ilvl w:val="0"/>
          <w:numId w:val="1"/>
        </w:numPr>
        <w:spacing w:after="60" w:before="0" w:line="240" w:lineRule="auto"/>
        <w:ind w:left="720" w:right="0" w:hanging="360"/>
        <w:rPr/>
      </w:pPr>
      <w:r>
        <w:rPr>
          <w:b w:val="1"/>
          <w:bCs w:val="1"/>
          <w:sz w:val="21"/>
          <w:szCs w:val="21"/>
        </w:rPr>
        <w:t xml:space="preserve">Confidence travels with each component.</w:t>
      </w:r>
      <w:r>
        <w:rPr>
          <w:sz w:val="21"/>
          <w:szCs w:val="21"/>
        </w:rPr>
        <w:t xml:space="preserve"> Each component carries its measured / modeled / estimated tag (§8.1–§8.3); D-LCE inherits the lowest confidence of its inputs.</w:t>
      </w:r>
    </w:p>
    <w:p w:rsidR="00000000" w:rsidRDefault="00000000" w14:paraId="7B00006A">
      <w:pPr>
        <w:numPr>
          <w:ilvl w:val="0"/>
          <w:numId w:val="1"/>
        </w:numPr>
        <w:spacing w:after="60" w:before="0" w:line="240" w:lineRule="auto"/>
        <w:ind w:left="720" w:right="0" w:hanging="360"/>
        <w:rPr/>
      </w:pPr>
      <w:r>
        <w:rPr>
          <w:b w:val="1"/>
          <w:bCs w:val="1"/>
          <w:sz w:val="21"/>
          <w:szCs w:val="21"/>
        </w:rPr>
        <w:t xml:space="preserve">SCI alignment.</w:t>
      </w:r>
      <w:r>
        <w:rPr>
          <w:sz w:val="21"/>
          <w:szCs w:val="21"/>
        </w:rPr>
        <w:t xml:space="preserve"> OPE + FAC map to the SCI operational term (energy × intensity) and EMB to the embodied term (M), with UOC as the functional unit, making D-SCI conformant with the GSF Software Carbon Intensity approach (§11). TRA is reported as a disclosed extension alongside it.</w:t>
      </w:r>
    </w:p>
    <w:p w:rsidR="00000000" w:rsidRDefault="00000000" w14:paraId="7B00006B">
      <w:pPr>
        <w:numPr>
          <w:ilvl w:val="0"/>
          <w:numId w:val="1"/>
        </w:numPr>
        <w:spacing w:after="60" w:before="0" w:line="240" w:lineRule="auto"/>
        <w:ind w:left="720" w:right="0" w:hanging="360"/>
        <w:rPr/>
      </w:pPr>
      <w:r>
        <w:rPr>
          <w:b w:val="1"/>
          <w:bCs w:val="1"/>
          <w:sz w:val="21"/>
          <w:szCs w:val="21"/>
        </w:rPr>
        <w:t xml:space="preserve">GHG Protocol and double counting.</w:t>
      </w:r>
      <w:r>
        <w:rPr>
          <w:sz w:val="21"/>
          <w:szCs w:val="21"/>
        </w:rPr>
        <w:t xml:space="preserve"> For Subscribers, all components are Scope 3 purchased services. Marketplace retirements (§10) state which components they cover, and a provider’s own offsets are not credited to a Subscriber unless independently verified.</w:t>
      </w:r>
    </w:p>
    <w:p w:rsidR="00000000" w:rsidRDefault="00000000" w14:paraId="7B00006C">
      <w:pPr>
        <w:numPr>
          <w:ilvl w:val="0"/>
          <w:numId w:val="1"/>
        </w:numPr>
        <w:spacing w:after="60" w:before="0" w:line="240" w:lineRule="auto"/>
        <w:ind w:left="720" w:right="0" w:hanging="360"/>
        <w:rPr/>
      </w:pPr>
      <w:r>
        <w:rPr>
          <w:b w:val="1"/>
          <w:bCs w:val="1"/>
          <w:sz w:val="21"/>
          <w:szCs w:val="21"/>
        </w:rPr>
        <w:t xml:space="preserve">Right-sizing interaction.</w:t>
      </w:r>
      <w:r>
        <w:rPr>
          <w:sz w:val="21"/>
          <w:szCs w:val="21"/>
        </w:rPr>
        <w:t xml:space="preserve"> Right-sizing actions (§21) reduce OPE and FAC directly and reduce EMB through higher utilization. TRA falls only through model choice: a smaller model carries a smaller training share per token.</w:t>
      </w:r>
    </w:p>
    <w:p w:rsidR="00000000" w:rsidRDefault="00000000" w14:paraId="7C000001">
      <w:pPr>
        <w:pStyle w:val="Heading3"/>
        <w:spacing w:after="100" w:before="200" w:lineRule="auto"/>
        <w:rPr/>
      </w:pPr>
      <w:r>
        <w:rPr>
          <w:b w:val="1"/>
          <w:bCs w:val="1"/>
          <w:color w:val="333333"/>
          <w:sz w:val="21"/>
          <w:szCs w:val="21"/>
        </w:rPr>
        <w:t xml:space="preserve">8.8.5 Published Reference Values</w:t>
      </w:r>
    </w:p>
    <w:p w:rsidR="00000000" w:rsidRDefault="00000000" w14:paraId="7C000002">
      <w:pPr>
        <w:spacing w:after="140" w:lineRule="auto"/>
        <w:rPr/>
      </w:pPr>
      <w:r>
        <w:rPr>
          <w:sz w:val="21"/>
          <w:szCs w:val="21"/>
        </w:rPr>
        <w:t xml:space="preserve">The following disclosures and peer-reviewed studies provide cited starting values for the lifecycle components. Each is loaded as versioned configuration (§8.4) with its system boundary recorded, because boundaries differ between sources and directly change results.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00"/>
        <w:gridCol w:w="1700"/>
        <w:gridCol w:w="3600"/>
        <w:gridCol w:w="2000"/>
      </w:tblGrid>
      <w:tr>
        <w:trPr>
          <w:tblHeader/>
        </w:trPr>
        <w:tc>
          <w:tcPr>
            <w:tcW w:w="2300" w:type="dxa"/>
            <w:shd w:val="clear" w:color="auto" w:fill="1e7a4c"/>
            <w:tcMar>
              <w:top w:w="80" w:type="dxa"/>
              <w:left w:w="100" w:type="dxa"/>
              <w:bottom w:w="80" w:type="dxa"/>
              <w:right w:w="100" w:type="dxa"/>
            </w:tcMar>
          </w:tcPr>
          <w:p w:rsidR="00000000" w:rsidRDefault="00000000" w14:paraId="7C000003">
            <w:pPr>
              <w:rPr/>
            </w:pPr>
            <w:r>
              <w:rPr>
                <w:b w:val="1"/>
                <w:bCs w:val="1"/>
                <w:color w:val="ffffff"/>
                <w:sz w:val="19"/>
                <w:szCs w:val="19"/>
              </w:rPr>
              <w:t xml:space="preserve">Item</w:t>
            </w:r>
          </w:p>
        </w:tc>
        <w:tc>
          <w:tcPr>
            <w:tcW w:w="1700" w:type="dxa"/>
            <w:shd w:val="clear" w:color="auto" w:fill="1e7a4c"/>
            <w:tcMar>
              <w:top w:w="80" w:type="dxa"/>
              <w:left w:w="100" w:type="dxa"/>
              <w:bottom w:w="80" w:type="dxa"/>
              <w:right w:w="100" w:type="dxa"/>
            </w:tcMar>
          </w:tcPr>
          <w:p w:rsidR="00000000" w:rsidRDefault="00000000" w14:paraId="7C000004">
            <w:pPr>
              <w:rPr/>
            </w:pPr>
            <w:r>
              <w:rPr>
                <w:b w:val="1"/>
                <w:bCs w:val="1"/>
                <w:color w:val="ffffff"/>
                <w:sz w:val="19"/>
                <w:szCs w:val="19"/>
              </w:rPr>
              <w:t xml:space="preserve">Value</w:t>
            </w:r>
          </w:p>
        </w:tc>
        <w:tc>
          <w:tcPr>
            <w:tcW w:w="3600" w:type="dxa"/>
            <w:shd w:val="clear" w:color="auto" w:fill="1e7a4c"/>
            <w:tcMar>
              <w:top w:w="80" w:type="dxa"/>
              <w:left w:w="100" w:type="dxa"/>
              <w:bottom w:w="80" w:type="dxa"/>
              <w:right w:w="100" w:type="dxa"/>
            </w:tcMar>
          </w:tcPr>
          <w:p w:rsidR="00000000" w:rsidRDefault="00000000" w14:paraId="7C000005">
            <w:pPr>
              <w:rPr/>
            </w:pPr>
            <w:r>
              <w:rPr>
                <w:b w:val="1"/>
                <w:bCs w:val="1"/>
                <w:color w:val="ffffff"/>
                <w:sz w:val="19"/>
                <w:szCs w:val="19"/>
              </w:rPr>
              <w:t xml:space="preserve">Scope and boundary</w:t>
            </w:r>
          </w:p>
        </w:tc>
        <w:tc>
          <w:tcPr>
            <w:tcW w:w="2000" w:type="dxa"/>
            <w:shd w:val="clear" w:color="auto" w:fill="1e7a4c"/>
            <w:tcMar>
              <w:top w:w="80" w:type="dxa"/>
              <w:left w:w="100" w:type="dxa"/>
              <w:bottom w:w="80" w:type="dxa"/>
              <w:right w:w="100" w:type="dxa"/>
            </w:tcMar>
          </w:tcPr>
          <w:p w:rsidR="00000000" w:rsidRDefault="00000000" w14:paraId="7C000006">
            <w:pPr>
              <w:rPr/>
            </w:pPr>
            <w:r>
              <w:rPr>
                <w:b w:val="1"/>
                <w:bCs w:val="1"/>
                <w:color w:val="ffffff"/>
                <w:sz w:val="19"/>
                <w:szCs w:val="19"/>
              </w:rPr>
              <w:t xml:space="preserve">Source</w:t>
            </w:r>
          </w:p>
        </w:tc>
      </w:tr>
      <w:tr>
        <w:trPr>
          <w:cantSplit/>
        </w:trPr>
        <w:tc>
          <w:tcPr>
            <w:tcW w:w="2300" w:type="dxa"/>
            <w:tcMar>
              <w:top w:w="80" w:type="dxa"/>
              <w:left w:w="100" w:type="dxa"/>
              <w:bottom w:w="80" w:type="dxa"/>
              <w:right w:w="100" w:type="dxa"/>
            </w:tcMar>
          </w:tcPr>
          <w:p w:rsidR="00000000" w:rsidRDefault="00000000" w14:paraId="7C000007">
            <w:pPr>
              <w:rPr/>
            </w:pPr>
            <w:r>
              <w:rPr>
                <w:sz w:val="19"/>
                <w:szCs w:val="19"/>
              </w:rPr>
              <w:t xml:space="preserve">Mistral Large 2: training plus 18 months of use</w:t>
            </w:r>
          </w:p>
        </w:tc>
        <w:tc>
          <w:tcPr>
            <w:tcW w:w="1700" w:type="dxa"/>
            <w:tcMar>
              <w:top w:w="80" w:type="dxa"/>
              <w:left w:w="100" w:type="dxa"/>
              <w:bottom w:w="80" w:type="dxa"/>
              <w:right w:w="100" w:type="dxa"/>
            </w:tcMar>
          </w:tcPr>
          <w:p w:rsidR="00000000" w:rsidRDefault="00000000" w14:paraId="7C000008">
            <w:pPr>
              <w:rPr/>
            </w:pPr>
            <w:r>
              <w:rPr>
                <w:sz w:val="19"/>
                <w:szCs w:val="19"/>
              </w:rPr>
              <w:t xml:space="preserve">20.4 ktCO2e</w:t>
            </w:r>
          </w:p>
        </w:tc>
        <w:tc>
          <w:tcPr>
            <w:tcW w:w="3600" w:type="dxa"/>
            <w:tcMar>
              <w:top w:w="80" w:type="dxa"/>
              <w:left w:w="100" w:type="dxa"/>
              <w:bottom w:w="80" w:type="dxa"/>
              <w:right w:w="100" w:type="dxa"/>
            </w:tcMar>
          </w:tcPr>
          <w:p w:rsidR="00000000" w:rsidRDefault="00000000" w14:paraId="7C000009">
            <w:pPr>
              <w:rPr/>
            </w:pPr>
            <w:r>
              <w:rPr>
                <w:sz w:val="19"/>
                <w:szCs w:val="19"/>
              </w:rPr>
              <w:t xml:space="preserve">Full lifecycle, location-based, including upstream hardware manufacturing; ISO 14040/44 and GHG Protocol Product Standard; peer reviewed</w:t>
            </w:r>
          </w:p>
        </w:tc>
        <w:tc>
          <w:tcPr>
            <w:tcW w:w="2000" w:type="dxa"/>
            <w:tcMar>
              <w:top w:w="80" w:type="dxa"/>
              <w:left w:w="100" w:type="dxa"/>
              <w:bottom w:w="80" w:type="dxa"/>
              <w:right w:w="100" w:type="dxa"/>
            </w:tcMar>
          </w:tcPr>
          <w:p w:rsidR="00000000" w:rsidRDefault="00000000" w14:paraId="7C00000A">
            <w:pPr>
              <w:rPr/>
            </w:pPr>
            <w:r>
              <w:rPr>
                <w:sz w:val="19"/>
                <w:szCs w:val="19"/>
              </w:rPr>
              <w:t xml:space="preserve">Mistral AI with Carbone 4 and ADEME (Jul 2025)</w:t>
            </w:r>
          </w:p>
        </w:tc>
      </w:tr>
      <w:tr>
        <w:trPr>
          <w:cantSplit/>
        </w:trPr>
        <w:tc>
          <w:tcPr>
            <w:tcW w:w="2300" w:type="dxa"/>
            <w:tcMar>
              <w:top w:w="80" w:type="dxa"/>
              <w:left w:w="100" w:type="dxa"/>
              <w:bottom w:w="80" w:type="dxa"/>
              <w:right w:w="100" w:type="dxa"/>
            </w:tcMar>
          </w:tcPr>
          <w:p w:rsidR="00000000" w:rsidRDefault="00000000" w14:paraId="7C00000B">
            <w:pPr>
              <w:rPr/>
            </w:pPr>
            <w:r>
              <w:rPr>
                <w:sz w:val="19"/>
                <w:szCs w:val="19"/>
              </w:rPr>
              <w:t xml:space="preserve">Mistral Le Chat, one 400-token response</w:t>
            </w:r>
          </w:p>
        </w:tc>
        <w:tc>
          <w:tcPr>
            <w:tcW w:w="1700" w:type="dxa"/>
            <w:tcMar>
              <w:top w:w="80" w:type="dxa"/>
              <w:left w:w="100" w:type="dxa"/>
              <w:bottom w:w="80" w:type="dxa"/>
              <w:right w:w="100" w:type="dxa"/>
            </w:tcMar>
          </w:tcPr>
          <w:p w:rsidR="00000000" w:rsidRDefault="00000000" w14:paraId="7C00000C">
            <w:pPr>
              <w:rPr/>
            </w:pPr>
            <w:r>
              <w:rPr>
                <w:sz w:val="19"/>
                <w:szCs w:val="19"/>
              </w:rPr>
              <w:t xml:space="preserve">1.14 gCO2e; 45 mL water</w:t>
            </w:r>
          </w:p>
        </w:tc>
        <w:tc>
          <w:tcPr>
            <w:tcW w:w="3600" w:type="dxa"/>
            <w:tcMar>
              <w:top w:w="80" w:type="dxa"/>
              <w:left w:w="100" w:type="dxa"/>
              <w:bottom w:w="80" w:type="dxa"/>
              <w:right w:w="100" w:type="dxa"/>
            </w:tcMar>
          </w:tcPr>
          <w:p w:rsidR="00000000" w:rsidRDefault="00000000" w14:paraId="7C00000D">
            <w:pPr>
              <w:rPr/>
            </w:pPr>
            <w:r>
              <w:rPr>
                <w:sz w:val="19"/>
                <w:szCs w:val="19"/>
              </w:rPr>
              <w:t xml:space="preserve">Marginal inference including upstream impacts; excludes the user’s device</w:t>
            </w:r>
          </w:p>
        </w:tc>
        <w:tc>
          <w:tcPr>
            <w:tcW w:w="2000" w:type="dxa"/>
            <w:tcMar>
              <w:top w:w="80" w:type="dxa"/>
              <w:left w:w="100" w:type="dxa"/>
              <w:bottom w:w="80" w:type="dxa"/>
              <w:right w:w="100" w:type="dxa"/>
            </w:tcMar>
          </w:tcPr>
          <w:p w:rsidR="00000000" w:rsidRDefault="00000000" w14:paraId="7C00000E">
            <w:pPr>
              <w:rPr/>
            </w:pPr>
            <w:r>
              <w:rPr>
                <w:sz w:val="19"/>
                <w:szCs w:val="19"/>
              </w:rPr>
              <w:t xml:space="preserve">Mistral AI (Jul 2025)</w:t>
            </w:r>
          </w:p>
        </w:tc>
      </w:tr>
      <w:tr>
        <w:trPr>
          <w:cantSplit/>
        </w:trPr>
        <w:tc>
          <w:tcPr>
            <w:tcW w:w="2300" w:type="dxa"/>
            <w:tcMar>
              <w:top w:w="80" w:type="dxa"/>
              <w:left w:w="100" w:type="dxa"/>
              <w:bottom w:w="80" w:type="dxa"/>
              <w:right w:w="100" w:type="dxa"/>
            </w:tcMar>
          </w:tcPr>
          <w:p w:rsidR="00000000" w:rsidRDefault="00000000" w14:paraId="7C00000F">
            <w:pPr>
              <w:rPr/>
            </w:pPr>
            <w:r>
              <w:rPr>
                <w:sz w:val="19"/>
                <w:szCs w:val="19"/>
              </w:rPr>
              <w:t xml:space="preserve">Gemini Apps median text prompt, comprehensive method</w:t>
            </w:r>
          </w:p>
        </w:tc>
        <w:tc>
          <w:tcPr>
            <w:tcW w:w="1700" w:type="dxa"/>
            <w:tcMar>
              <w:top w:w="80" w:type="dxa"/>
              <w:left w:w="100" w:type="dxa"/>
              <w:bottom w:w="80" w:type="dxa"/>
              <w:right w:w="100" w:type="dxa"/>
            </w:tcMar>
          </w:tcPr>
          <w:p w:rsidR="00000000" w:rsidRDefault="00000000" w14:paraId="7C000010">
            <w:pPr>
              <w:rPr/>
            </w:pPr>
            <w:r>
              <w:rPr>
                <w:sz w:val="19"/>
                <w:szCs w:val="19"/>
              </w:rPr>
              <w:t xml:space="preserve">0.24 Wh; 0.03 gCO2e; 0.26 mL water</w:t>
            </w:r>
          </w:p>
        </w:tc>
        <w:tc>
          <w:tcPr>
            <w:tcW w:w="3600" w:type="dxa"/>
            <w:tcMar>
              <w:top w:w="80" w:type="dxa"/>
              <w:left w:w="100" w:type="dxa"/>
              <w:bottom w:w="80" w:type="dxa"/>
              <w:right w:w="100" w:type="dxa"/>
            </w:tcMar>
          </w:tcPr>
          <w:p w:rsidR="00000000" w:rsidRDefault="00000000" w14:paraId="7C000011">
            <w:pPr>
              <w:rPr/>
            </w:pPr>
            <w:r>
              <w:rPr>
                <w:sz w:val="19"/>
                <w:szCs w:val="19"/>
              </w:rPr>
              <w:t xml:space="preserve">Includes host CPU/DRAM, idle capacity, facility overhead and embodied hardware; market-based. Split: 0.023 g Scope 2, 0.010 g Scope 1+3</w:t>
            </w:r>
          </w:p>
        </w:tc>
        <w:tc>
          <w:tcPr>
            <w:tcW w:w="2000" w:type="dxa"/>
            <w:tcMar>
              <w:top w:w="80" w:type="dxa"/>
              <w:left w:w="100" w:type="dxa"/>
              <w:bottom w:w="80" w:type="dxa"/>
              <w:right w:w="100" w:type="dxa"/>
            </w:tcMar>
          </w:tcPr>
          <w:p w:rsidR="00000000" w:rsidRDefault="00000000" w14:paraId="7C000012">
            <w:pPr>
              <w:rPr/>
            </w:pPr>
            <w:r>
              <w:rPr>
                <w:sz w:val="19"/>
                <w:szCs w:val="19"/>
              </w:rPr>
              <w:t xml:space="preserve">Elsworth et al., Google (Aug 2025)</w:t>
            </w:r>
          </w:p>
        </w:tc>
      </w:tr>
      <w:tr>
        <w:trPr>
          <w:cantSplit/>
        </w:trPr>
        <w:tc>
          <w:tcPr>
            <w:tcW w:w="2300" w:type="dxa"/>
            <w:tcMar>
              <w:top w:w="80" w:type="dxa"/>
              <w:left w:w="100" w:type="dxa"/>
              <w:bottom w:w="80" w:type="dxa"/>
              <w:right w:w="100" w:type="dxa"/>
            </w:tcMar>
          </w:tcPr>
          <w:p w:rsidR="00000000" w:rsidRDefault="00000000" w14:paraId="7C000013">
            <w:pPr>
              <w:rPr/>
            </w:pPr>
            <w:r>
              <w:rPr>
                <w:sz w:val="19"/>
                <w:szCs w:val="19"/>
              </w:rPr>
              <w:t xml:space="preserve">Gemini Apps median text prompt, accelerator-only method</w:t>
            </w:r>
          </w:p>
        </w:tc>
        <w:tc>
          <w:tcPr>
            <w:tcW w:w="1700" w:type="dxa"/>
            <w:tcMar>
              <w:top w:w="80" w:type="dxa"/>
              <w:left w:w="100" w:type="dxa"/>
              <w:bottom w:w="80" w:type="dxa"/>
              <w:right w:w="100" w:type="dxa"/>
            </w:tcMar>
          </w:tcPr>
          <w:p w:rsidR="00000000" w:rsidRDefault="00000000" w14:paraId="7C000014">
            <w:pPr>
              <w:rPr/>
            </w:pPr>
            <w:r>
              <w:rPr>
                <w:sz w:val="19"/>
                <w:szCs w:val="19"/>
              </w:rPr>
              <w:t xml:space="preserve">0.10 Wh; 0.02 gCO2e</w:t>
            </w:r>
          </w:p>
        </w:tc>
        <w:tc>
          <w:tcPr>
            <w:tcW w:w="3600" w:type="dxa"/>
            <w:tcMar>
              <w:top w:w="80" w:type="dxa"/>
              <w:left w:w="100" w:type="dxa"/>
              <w:bottom w:w="80" w:type="dxa"/>
              <w:right w:w="100" w:type="dxa"/>
            </w:tcMar>
          </w:tcPr>
          <w:p w:rsidR="00000000" w:rsidRDefault="00000000" w14:paraId="7C000015">
            <w:pPr>
              <w:rPr/>
            </w:pPr>
            <w:r>
              <w:rPr>
                <w:sz w:val="19"/>
                <w:szCs w:val="19"/>
              </w:rPr>
              <w:t xml:space="preserve">Active accelerator is 58% of total energy; the narrow method understates energy by 2.4x</w:t>
            </w:r>
          </w:p>
        </w:tc>
        <w:tc>
          <w:tcPr>
            <w:tcW w:w="2000" w:type="dxa"/>
            <w:tcMar>
              <w:top w:w="80" w:type="dxa"/>
              <w:left w:w="100" w:type="dxa"/>
              <w:bottom w:w="80" w:type="dxa"/>
              <w:right w:w="100" w:type="dxa"/>
            </w:tcMar>
          </w:tcPr>
          <w:p w:rsidR="00000000" w:rsidRDefault="00000000" w14:paraId="7C000016">
            <w:pPr>
              <w:rPr/>
            </w:pPr>
            <w:r>
              <w:rPr>
                <w:sz w:val="19"/>
                <w:szCs w:val="19"/>
              </w:rPr>
              <w:t xml:space="preserve">Elsworth et al., Google (Aug 2025)</w:t>
            </w:r>
          </w:p>
        </w:tc>
      </w:tr>
      <w:tr>
        <w:trPr>
          <w:cantSplit/>
        </w:trPr>
        <w:tc>
          <w:tcPr>
            <w:tcW w:w="2300" w:type="dxa"/>
            <w:tcMar>
              <w:top w:w="80" w:type="dxa"/>
              <w:left w:w="100" w:type="dxa"/>
              <w:bottom w:w="80" w:type="dxa"/>
              <w:right w:w="100" w:type="dxa"/>
            </w:tcMar>
          </w:tcPr>
          <w:p w:rsidR="00000000" w:rsidRDefault="00000000" w14:paraId="7C000017">
            <w:pPr>
              <w:rPr/>
            </w:pPr>
            <w:r>
              <w:rPr>
                <w:sz w:val="19"/>
                <w:szCs w:val="19"/>
              </w:rPr>
              <w:t xml:space="preserve">Llama 3.1 training: 8B / 70B / 405B</w:t>
            </w:r>
          </w:p>
        </w:tc>
        <w:tc>
          <w:tcPr>
            <w:tcW w:w="1700" w:type="dxa"/>
            <w:tcMar>
              <w:top w:w="80" w:type="dxa"/>
              <w:left w:w="100" w:type="dxa"/>
              <w:bottom w:w="80" w:type="dxa"/>
              <w:right w:w="100" w:type="dxa"/>
            </w:tcMar>
          </w:tcPr>
          <w:p w:rsidR="00000000" w:rsidRDefault="00000000" w14:paraId="7C000018">
            <w:pPr>
              <w:rPr/>
            </w:pPr>
            <w:r>
              <w:rPr>
                <w:sz w:val="19"/>
                <w:szCs w:val="19"/>
              </w:rPr>
              <w:t xml:space="preserve">420 / 2,040 / 8,930 tCO2e</w:t>
            </w:r>
          </w:p>
        </w:tc>
        <w:tc>
          <w:tcPr>
            <w:tcW w:w="3600" w:type="dxa"/>
            <w:tcMar>
              <w:top w:w="80" w:type="dxa"/>
              <w:left w:w="100" w:type="dxa"/>
              <w:bottom w:w="80" w:type="dxa"/>
              <w:right w:w="100" w:type="dxa"/>
            </w:tcMar>
          </w:tcPr>
          <w:p w:rsidR="00000000" w:rsidRDefault="00000000" w14:paraId="7C000019">
            <w:pPr>
              <w:rPr/>
            </w:pPr>
            <w:r>
              <w:rPr>
                <w:sz w:val="19"/>
                <w:szCs w:val="19"/>
              </w:rPr>
              <w:t xml:space="preserve">Location-based, operational only (no embodied); 39.3M H100 GPU-hours in total; about 15T pretraining tokens; market-based reported as 0</w:t>
            </w:r>
          </w:p>
        </w:tc>
        <w:tc>
          <w:tcPr>
            <w:tcW w:w="2000" w:type="dxa"/>
            <w:tcMar>
              <w:top w:w="80" w:type="dxa"/>
              <w:left w:w="100" w:type="dxa"/>
              <w:bottom w:w="80" w:type="dxa"/>
              <w:right w:w="100" w:type="dxa"/>
            </w:tcMar>
          </w:tcPr>
          <w:p w:rsidR="00000000" w:rsidRDefault="00000000" w14:paraId="7C00001A">
            <w:pPr>
              <w:rPr/>
            </w:pPr>
            <w:r>
              <w:rPr>
                <w:sz w:val="19"/>
                <w:szCs w:val="19"/>
              </w:rPr>
              <w:t xml:space="preserve">Meta, Llama 3.1 model card (Jul 2024)</w:t>
            </w:r>
          </w:p>
        </w:tc>
      </w:tr>
      <w:tr>
        <w:trPr>
          <w:cantSplit/>
        </w:trPr>
        <w:tc>
          <w:tcPr>
            <w:tcW w:w="2300" w:type="dxa"/>
            <w:tcMar>
              <w:top w:w="80" w:type="dxa"/>
              <w:left w:w="100" w:type="dxa"/>
              <w:bottom w:w="80" w:type="dxa"/>
              <w:right w:w="100" w:type="dxa"/>
            </w:tcMar>
          </w:tcPr>
          <w:p w:rsidR="00000000" w:rsidRDefault="00000000" w14:paraId="7C00001B">
            <w:pPr>
              <w:rPr/>
            </w:pPr>
            <w:r>
              <w:rPr>
                <w:sz w:val="19"/>
                <w:szCs w:val="19"/>
              </w:rPr>
              <w:t xml:space="preserve">BLOOM-176B training</w:t>
            </w:r>
          </w:p>
        </w:tc>
        <w:tc>
          <w:tcPr>
            <w:tcW w:w="1700" w:type="dxa"/>
            <w:tcMar>
              <w:top w:w="80" w:type="dxa"/>
              <w:left w:w="100" w:type="dxa"/>
              <w:bottom w:w="80" w:type="dxa"/>
              <w:right w:w="100" w:type="dxa"/>
            </w:tcMar>
          </w:tcPr>
          <w:p w:rsidR="00000000" w:rsidRDefault="00000000" w14:paraId="7C00001C">
            <w:pPr>
              <w:rPr/>
            </w:pPr>
            <w:r>
              <w:rPr>
                <w:sz w:val="19"/>
                <w:szCs w:val="19"/>
              </w:rPr>
              <w:t xml:space="preserve">24.7 vs. 50.5 tCO2e</w:t>
            </w:r>
          </w:p>
        </w:tc>
        <w:tc>
          <w:tcPr>
            <w:tcW w:w="3600" w:type="dxa"/>
            <w:tcMar>
              <w:top w:w="80" w:type="dxa"/>
              <w:left w:w="100" w:type="dxa"/>
              <w:bottom w:w="80" w:type="dxa"/>
              <w:right w:w="100" w:type="dxa"/>
            </w:tcMar>
          </w:tcPr>
          <w:p w:rsidR="00000000" w:rsidRDefault="00000000" w14:paraId="7C00001D">
            <w:pPr>
              <w:rPr/>
            </w:pPr>
            <w:r>
              <w:rPr>
                <w:sz w:val="19"/>
                <w:szCs w:val="19"/>
              </w:rPr>
              <w:t xml:space="preserve">Dynamic power only vs. including idle and upstream contributions: the system boundary roughly doubles the result</w:t>
            </w:r>
          </w:p>
        </w:tc>
        <w:tc>
          <w:tcPr>
            <w:tcW w:w="2000" w:type="dxa"/>
            <w:tcMar>
              <w:top w:w="80" w:type="dxa"/>
              <w:left w:w="100" w:type="dxa"/>
              <w:bottom w:w="80" w:type="dxa"/>
              <w:right w:w="100" w:type="dxa"/>
            </w:tcMar>
          </w:tcPr>
          <w:p w:rsidR="00000000" w:rsidRDefault="00000000" w14:paraId="7C00001E">
            <w:pPr>
              <w:rPr/>
            </w:pPr>
            <w:r>
              <w:rPr>
                <w:sz w:val="19"/>
                <w:szCs w:val="19"/>
              </w:rPr>
              <w:t xml:space="preserve">Luccioni et al. (2023)</w:t>
            </w:r>
          </w:p>
        </w:tc>
      </w:tr>
      <w:tr>
        <w:trPr>
          <w:cantSplit/>
        </w:trPr>
        <w:tc>
          <w:tcPr>
            <w:tcW w:w="2300" w:type="dxa"/>
            <w:tcMar>
              <w:top w:w="80" w:type="dxa"/>
              <w:left w:w="100" w:type="dxa"/>
              <w:bottom w:w="80" w:type="dxa"/>
              <w:right w:w="100" w:type="dxa"/>
            </w:tcMar>
          </w:tcPr>
          <w:p w:rsidR="00000000" w:rsidRDefault="00000000" w14:paraId="7C00001F">
            <w:pPr>
              <w:rPr/>
            </w:pPr>
            <w:r>
              <w:rPr>
                <w:sz w:val="19"/>
                <w:szCs w:val="19"/>
              </w:rPr>
              <w:t xml:space="preserve">NVIDIA HGX H100 baseboard (8 GPUs)</w:t>
            </w:r>
          </w:p>
        </w:tc>
        <w:tc>
          <w:tcPr>
            <w:tcW w:w="1700" w:type="dxa"/>
            <w:tcMar>
              <w:top w:w="80" w:type="dxa"/>
              <w:left w:w="100" w:type="dxa"/>
              <w:bottom w:w="80" w:type="dxa"/>
              <w:right w:w="100" w:type="dxa"/>
            </w:tcMar>
          </w:tcPr>
          <w:p w:rsidR="00000000" w:rsidRDefault="00000000" w14:paraId="7C000020">
            <w:pPr>
              <w:rPr/>
            </w:pPr>
            <w:r>
              <w:rPr>
                <w:sz w:val="19"/>
                <w:szCs w:val="19"/>
              </w:rPr>
              <w:t xml:space="preserve">1,312 kgCO2e (about 164 per GPU)</w:t>
            </w:r>
          </w:p>
        </w:tc>
        <w:tc>
          <w:tcPr>
            <w:tcW w:w="3600" w:type="dxa"/>
            <w:tcMar>
              <w:top w:w="80" w:type="dxa"/>
              <w:left w:w="100" w:type="dxa"/>
              <w:bottom w:w="80" w:type="dxa"/>
              <w:right w:w="100" w:type="dxa"/>
            </w:tcMar>
          </w:tcPr>
          <w:p w:rsidR="00000000" w:rsidRDefault="00000000" w14:paraId="7C000021">
            <w:pPr>
              <w:rPr/>
            </w:pPr>
            <w:r>
              <w:rPr>
                <w:sz w:val="19"/>
                <w:szCs w:val="19"/>
              </w:rPr>
              <w:t xml:space="preserve">Cradle-to-gate, baseboard only; excludes CPUs, server chassis, storage, networking and facility. Memory 42%, ICs 25%, thermal 18%</w:t>
            </w:r>
          </w:p>
        </w:tc>
        <w:tc>
          <w:tcPr>
            <w:tcW w:w="2000" w:type="dxa"/>
            <w:tcMar>
              <w:top w:w="80" w:type="dxa"/>
              <w:left w:w="100" w:type="dxa"/>
              <w:bottom w:w="80" w:type="dxa"/>
              <w:right w:w="100" w:type="dxa"/>
            </w:tcMar>
          </w:tcPr>
          <w:p w:rsidR="00000000" w:rsidRDefault="00000000" w14:paraId="7C000022">
            <w:pPr>
              <w:rPr/>
            </w:pPr>
            <w:r>
              <w:rPr>
                <w:sz w:val="19"/>
                <w:szCs w:val="19"/>
              </w:rPr>
              <w:t xml:space="preserve">NVIDIA Product Carbon Footprint (2025)</w:t>
            </w:r>
          </w:p>
        </w:tc>
      </w:tr>
      <w:tr>
        <w:trPr>
          <w:cantSplit/>
        </w:trPr>
        <w:tc>
          <w:tcPr>
            <w:tcW w:w="2300" w:type="dxa"/>
            <w:tcMar>
              <w:top w:w="80" w:type="dxa"/>
              <w:left w:w="100" w:type="dxa"/>
              <w:bottom w:w="80" w:type="dxa"/>
              <w:right w:w="100" w:type="dxa"/>
            </w:tcMar>
          </w:tcPr>
          <w:p w:rsidR="00000000" w:rsidRDefault="00000000" w14:paraId="7C000023">
            <w:pPr>
              <w:rPr/>
            </w:pPr>
            <w:r>
              <w:rPr>
                <w:sz w:val="19"/>
                <w:szCs w:val="19"/>
              </w:rPr>
              <w:t xml:space="preserve">Embodied intensity, HGX H100 / HGX B200</w:t>
            </w:r>
          </w:p>
        </w:tc>
        <w:tc>
          <w:tcPr>
            <w:tcW w:w="1700" w:type="dxa"/>
            <w:tcMar>
              <w:top w:w="80" w:type="dxa"/>
              <w:left w:w="100" w:type="dxa"/>
              <w:bottom w:w="80" w:type="dxa"/>
              <w:right w:w="100" w:type="dxa"/>
            </w:tcMar>
          </w:tcPr>
          <w:p w:rsidR="00000000" w:rsidRDefault="00000000" w14:paraId="7C000024">
            <w:pPr>
              <w:rPr/>
            </w:pPr>
            <w:r>
              <w:rPr>
                <w:sz w:val="19"/>
                <w:szCs w:val="19"/>
              </w:rPr>
              <w:t xml:space="preserve">0.66 / 0.50 gCO2e per exaFLOP (FP16)</w:t>
            </w:r>
          </w:p>
        </w:tc>
        <w:tc>
          <w:tcPr>
            <w:tcW w:w="3600" w:type="dxa"/>
            <w:tcMar>
              <w:top w:w="80" w:type="dxa"/>
              <w:left w:w="100" w:type="dxa"/>
              <w:bottom w:w="80" w:type="dxa"/>
              <w:right w:w="100" w:type="dxa"/>
            </w:tcMar>
          </w:tcPr>
          <w:p w:rsidR="00000000" w:rsidRDefault="00000000" w14:paraId="7C000025">
            <w:pPr>
              <w:rPr/>
            </w:pPr>
            <w:r>
              <w:rPr>
                <w:sz w:val="19"/>
                <w:szCs w:val="19"/>
              </w:rPr>
              <w:t xml:space="preserve">Amortized over the product’s lifetime FLOPs</w:t>
            </w:r>
          </w:p>
        </w:tc>
        <w:tc>
          <w:tcPr>
            <w:tcW w:w="2000" w:type="dxa"/>
            <w:tcMar>
              <w:top w:w="80" w:type="dxa"/>
              <w:left w:w="100" w:type="dxa"/>
              <w:bottom w:w="80" w:type="dxa"/>
              <w:right w:w="100" w:type="dxa"/>
            </w:tcMar>
          </w:tcPr>
          <w:p w:rsidR="00000000" w:rsidRDefault="00000000" w14:paraId="7C000026">
            <w:pPr>
              <w:rPr/>
            </w:pPr>
            <w:r>
              <w:rPr>
                <w:sz w:val="19"/>
                <w:szCs w:val="19"/>
              </w:rPr>
              <w:t xml:space="preserve">NVIDIA (2025)</w:t>
            </w:r>
          </w:p>
        </w:tc>
      </w:tr>
      <w:tr>
        <w:trPr>
          <w:cantSplit/>
        </w:trPr>
        <w:tc>
          <w:tcPr>
            <w:tcW w:w="2300" w:type="dxa"/>
            <w:tcMar>
              <w:top w:w="80" w:type="dxa"/>
              <w:left w:w="100" w:type="dxa"/>
              <w:bottom w:w="80" w:type="dxa"/>
              <w:right w:w="100" w:type="dxa"/>
            </w:tcMar>
          </w:tcPr>
          <w:p w:rsidR="00000000" w:rsidRDefault="00000000" w14:paraId="7C000027">
            <w:pPr>
              <w:rPr/>
            </w:pPr>
            <w:r>
              <w:rPr>
                <w:sz w:val="19"/>
                <w:szCs w:val="19"/>
              </w:rPr>
              <w:t xml:space="preserve">NVIDIA A100 SXM, cradle-to-grave</w:t>
            </w:r>
          </w:p>
        </w:tc>
        <w:tc>
          <w:tcPr>
            <w:tcW w:w="1700" w:type="dxa"/>
            <w:tcMar>
              <w:top w:w="80" w:type="dxa"/>
              <w:left w:w="100" w:type="dxa"/>
              <w:bottom w:w="80" w:type="dxa"/>
              <w:right w:w="100" w:type="dxa"/>
            </w:tcMar>
          </w:tcPr>
          <w:p w:rsidR="00000000" w:rsidRDefault="00000000" w14:paraId="7C000028">
            <w:pPr>
              <w:rPr/>
            </w:pPr>
            <w:r>
              <w:rPr>
                <w:sz w:val="19"/>
                <w:szCs w:val="19"/>
              </w:rPr>
              <w:t xml:space="preserve">141 kgCO2e per GPU</w:t>
            </w:r>
          </w:p>
        </w:tc>
        <w:tc>
          <w:tcPr>
            <w:tcW w:w="3600" w:type="dxa"/>
            <w:tcMar>
              <w:top w:w="80" w:type="dxa"/>
              <w:left w:w="100" w:type="dxa"/>
              <w:bottom w:w="80" w:type="dxa"/>
              <w:right w:w="100" w:type="dxa"/>
            </w:tcMar>
          </w:tcPr>
          <w:p w:rsidR="00000000" w:rsidRDefault="00000000" w14:paraId="7C000029">
            <w:pPr>
              <w:rPr/>
            </w:pPr>
            <w:r>
              <w:rPr>
                <w:sz w:val="19"/>
                <w:szCs w:val="19"/>
              </w:rPr>
              <w:t xml:space="preserve">Includes distribution (12%) and disposal; 3-year life assumed</w:t>
            </w:r>
          </w:p>
        </w:tc>
        <w:tc>
          <w:tcPr>
            <w:tcW w:w="2000" w:type="dxa"/>
            <w:tcMar>
              <w:top w:w="80" w:type="dxa"/>
              <w:left w:w="100" w:type="dxa"/>
              <w:bottom w:w="80" w:type="dxa"/>
              <w:right w:w="100" w:type="dxa"/>
            </w:tcMar>
          </w:tcPr>
          <w:p w:rsidR="00000000" w:rsidRDefault="00000000" w14:paraId="7C00002A">
            <w:pPr>
              <w:rPr/>
            </w:pPr>
            <w:r>
              <w:rPr>
                <w:sz w:val="19"/>
                <w:szCs w:val="19"/>
              </w:rPr>
              <w:t xml:space="preserve">Falk et al., “More than carbon” (2026)</w:t>
            </w:r>
          </w:p>
        </w:tc>
      </w:tr>
    </w:tbl>
    <w:p w:rsidR="00000000" w:rsidRDefault="00000000" w14:paraId="7C00002B">
      <w:pPr>
        <w:spacing w:after="120"/>
        <w:rPr/>
      </w:pPr>
    </w:p>
    <w:p w:rsidR="00000000" w:rsidRDefault="00000000" w14:paraId="7C00002C">
      <w:pPr>
        <w:pStyle w:val="Heading3"/>
        <w:spacing w:after="100" w:before="200" w:lineRule="auto"/>
        <w:rPr/>
      </w:pPr>
      <w:r>
        <w:rPr>
          <w:b w:val="1"/>
          <w:bCs w:val="1"/>
          <w:color w:val="333333"/>
          <w:sz w:val="21"/>
          <w:szCs w:val="21"/>
        </w:rPr>
        <w:t xml:space="preserve">8.8.6 Worked Example Using Cited Inputs</w:t>
      </w:r>
    </w:p>
    <w:p w:rsidR="00000000" w:rsidRDefault="00000000" w14:paraId="7C00002D">
      <w:pPr>
        <w:spacing w:after="140" w:lineRule="auto"/>
        <w:rPr/>
      </w:pPr>
      <w:r>
        <w:rPr>
          <w:b w:val="1"/>
          <w:bCs w:val="1"/>
          <w:sz w:val="21"/>
          <w:szCs w:val="21"/>
        </w:rPr>
        <w:t xml:space="preserve">Amortized training (TRA).</w:t>
      </w:r>
      <w:r>
        <w:rPr>
          <w:sz w:val="21"/>
          <w:szCs w:val="21"/>
        </w:rPr>
        <w:t xml:space="preserve"> Llama 3.1 70B has a published training footprint of 2,040 tCO2e (TLE). No provider publishes lifetime token throughput (LTT), so Stardust must estimate it. The per-call training share is highly sensitive to that estimate:</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600"/>
        <w:gridCol w:w="4000"/>
      </w:tblGrid>
      <w:tr>
        <w:trPr>
          <w:tblHeader/>
        </w:trPr>
        <w:tc>
          <w:tcPr>
            <w:tcW w:w="5600" w:type="dxa"/>
            <w:shd w:val="clear" w:color="auto" w:fill="1e7a4c"/>
            <w:tcMar>
              <w:top w:w="80" w:type="dxa"/>
              <w:left w:w="100" w:type="dxa"/>
              <w:bottom w:w="80" w:type="dxa"/>
              <w:right w:w="100" w:type="dxa"/>
            </w:tcMar>
          </w:tcPr>
          <w:p w:rsidR="00000000" w:rsidRDefault="00000000" w14:paraId="7C00002E">
            <w:pPr>
              <w:rPr/>
            </w:pPr>
            <w:r>
              <w:rPr>
                <w:b w:val="1"/>
                <w:bCs w:val="1"/>
                <w:color w:val="ffffff"/>
                <w:sz w:val="19"/>
                <w:szCs w:val="19"/>
              </w:rPr>
              <w:t xml:space="preserve">Assumed LTT (lifetime tokens served)</w:t>
            </w:r>
          </w:p>
        </w:tc>
        <w:tc>
          <w:tcPr>
            <w:tcW w:w="4000" w:type="dxa"/>
            <w:shd w:val="clear" w:color="auto" w:fill="1e7a4c"/>
            <w:tcMar>
              <w:top w:w="80" w:type="dxa"/>
              <w:left w:w="100" w:type="dxa"/>
              <w:bottom w:w="80" w:type="dxa"/>
              <w:right w:w="100" w:type="dxa"/>
            </w:tcMar>
          </w:tcPr>
          <w:p w:rsidR="00000000" w:rsidRDefault="00000000" w14:paraId="7C00002F">
            <w:pPr>
              <w:rPr/>
            </w:pPr>
            <w:r>
              <w:rPr>
                <w:b w:val="1"/>
                <w:bCs w:val="1"/>
                <w:color w:val="ffffff"/>
                <w:sz w:val="19"/>
                <w:szCs w:val="19"/>
              </w:rPr>
              <w:t xml:space="preserve">TRA per 1,000-token call (gCO2e)</w:t>
            </w:r>
          </w:p>
        </w:tc>
      </w:tr>
      <w:tr>
        <w:trPr>
          <w:cantSplit/>
        </w:trPr>
        <w:tc>
          <w:tcPr>
            <w:tcW w:w="5600" w:type="dxa"/>
            <w:tcMar>
              <w:top w:w="80" w:type="dxa"/>
              <w:left w:w="100" w:type="dxa"/>
              <w:bottom w:w="80" w:type="dxa"/>
              <w:right w:w="100" w:type="dxa"/>
            </w:tcMar>
          </w:tcPr>
          <w:p w:rsidR="00000000" w:rsidRDefault="00000000" w14:paraId="7C000030">
            <w:pPr>
              <w:rPr/>
            </w:pPr>
            <w:r>
              <w:rPr>
                <w:sz w:val="19"/>
                <w:szCs w:val="19"/>
              </w:rPr>
              <w:t xml:space="preserve">1 trillion tokens</w:t>
            </w:r>
          </w:p>
        </w:tc>
        <w:tc>
          <w:tcPr>
            <w:tcW w:w="4000" w:type="dxa"/>
            <w:tcMar>
              <w:top w:w="80" w:type="dxa"/>
              <w:left w:w="100" w:type="dxa"/>
              <w:bottom w:w="80" w:type="dxa"/>
              <w:right w:w="100" w:type="dxa"/>
            </w:tcMar>
          </w:tcPr>
          <w:p w:rsidR="00000000" w:rsidRDefault="00000000" w14:paraId="7C000031">
            <w:pPr>
              <w:rPr/>
            </w:pPr>
            <w:r>
              <w:rPr>
                <w:sz w:val="19"/>
                <w:szCs w:val="19"/>
              </w:rPr>
              <w:t xml:space="preserve">2.04</w:t>
            </w:r>
          </w:p>
        </w:tc>
      </w:tr>
      <w:tr>
        <w:trPr>
          <w:cantSplit/>
        </w:trPr>
        <w:tc>
          <w:tcPr>
            <w:tcW w:w="5600" w:type="dxa"/>
            <w:tcMar>
              <w:top w:w="80" w:type="dxa"/>
              <w:left w:w="100" w:type="dxa"/>
              <w:bottom w:w="80" w:type="dxa"/>
              <w:right w:w="100" w:type="dxa"/>
            </w:tcMar>
          </w:tcPr>
          <w:p w:rsidR="00000000" w:rsidRDefault="00000000" w14:paraId="7C000032">
            <w:pPr>
              <w:rPr/>
            </w:pPr>
            <w:r>
              <w:rPr>
                <w:sz w:val="19"/>
                <w:szCs w:val="19"/>
              </w:rPr>
              <w:t xml:space="preserve">10 trillion tokens</w:t>
            </w:r>
          </w:p>
        </w:tc>
        <w:tc>
          <w:tcPr>
            <w:tcW w:w="4000" w:type="dxa"/>
            <w:tcMar>
              <w:top w:w="80" w:type="dxa"/>
              <w:left w:w="100" w:type="dxa"/>
              <w:bottom w:w="80" w:type="dxa"/>
              <w:right w:w="100" w:type="dxa"/>
            </w:tcMar>
          </w:tcPr>
          <w:p w:rsidR="00000000" w:rsidRDefault="00000000" w14:paraId="7C000033">
            <w:pPr>
              <w:rPr/>
            </w:pPr>
            <w:r>
              <w:rPr>
                <w:sz w:val="19"/>
                <w:szCs w:val="19"/>
              </w:rPr>
              <w:t xml:space="preserve">0.20</w:t>
            </w:r>
          </w:p>
        </w:tc>
      </w:tr>
      <w:tr>
        <w:trPr>
          <w:cantSplit/>
        </w:trPr>
        <w:tc>
          <w:tcPr>
            <w:tcW w:w="5600" w:type="dxa"/>
            <w:tcMar>
              <w:top w:w="80" w:type="dxa"/>
              <w:left w:w="100" w:type="dxa"/>
              <w:bottom w:w="80" w:type="dxa"/>
              <w:right w:w="100" w:type="dxa"/>
            </w:tcMar>
          </w:tcPr>
          <w:p w:rsidR="00000000" w:rsidRDefault="00000000" w14:paraId="7C000034">
            <w:pPr>
              <w:rPr/>
            </w:pPr>
            <w:r>
              <w:rPr>
                <w:sz w:val="19"/>
                <w:szCs w:val="19"/>
              </w:rPr>
              <w:t xml:space="preserve">100 trillion tokens</w:t>
            </w:r>
          </w:p>
        </w:tc>
        <w:tc>
          <w:tcPr>
            <w:tcW w:w="4000" w:type="dxa"/>
            <w:tcMar>
              <w:top w:w="80" w:type="dxa"/>
              <w:left w:w="100" w:type="dxa"/>
              <w:bottom w:w="80" w:type="dxa"/>
              <w:right w:w="100" w:type="dxa"/>
            </w:tcMar>
          </w:tcPr>
          <w:p w:rsidR="00000000" w:rsidRDefault="00000000" w14:paraId="7C000035">
            <w:pPr>
              <w:rPr/>
            </w:pPr>
            <w:r>
              <w:rPr>
                <w:sz w:val="19"/>
                <w:szCs w:val="19"/>
              </w:rPr>
              <w:t xml:space="preserve">0.02</w:t>
            </w:r>
          </w:p>
        </w:tc>
      </w:tr>
    </w:tbl>
    <w:p w:rsidR="00000000" w:rsidRDefault="00000000" w14:paraId="7C000036">
      <w:pPr>
        <w:spacing w:after="120"/>
        <w:rPr/>
      </w:pPr>
    </w:p>
    <w:p w:rsidR="00000000" w:rsidRDefault="00000000" w14:paraId="7C000037">
      <w:pPr>
        <w:spacing w:after="140" w:lineRule="auto"/>
        <w:rPr/>
      </w:pPr>
      <w:r>
        <w:rPr>
          <w:sz w:val="21"/>
          <w:szCs w:val="21"/>
        </w:rPr>
        <w:t xml:space="preserve">For comparison, Mistral reports 1.14 gCO2e for the inference of a 400-token response and Google reports 0.03 gCO2e for a median Gemini prompt. A lightly used model can therefore carry a training share comparable to or larger than its inference emissions, while a heavily used one carries very little. Meta’s figure is also operational only; the BLOOM study shows that adding idle and upstream contributions can roughly double a training footprint.</w:t>
      </w:r>
    </w:p>
    <w:p w:rsidR="00000000" w:rsidRDefault="00000000" w14:paraId="7C000038">
      <w:pPr>
        <w:spacing w:after="140" w:lineRule="auto"/>
        <w:rPr/>
      </w:pPr>
      <w:r>
        <w:rPr>
          <w:b w:val="1"/>
          <w:bCs w:val="1"/>
          <w:sz w:val="21"/>
          <w:szCs w:val="21"/>
        </w:rPr>
        <w:t xml:space="preserve">Embodied hardware (EMB).</w:t>
      </w:r>
      <w:r>
        <w:rPr>
          <w:sz w:val="21"/>
          <w:szCs w:val="21"/>
        </w:rPr>
        <w:t xml:space="preserve"> Using NVIDIA’s 164 kgCO2e per H100 (baseboard share) and an assumed 4-year service life, embodied emissions are about 1.3 mgCO2e per GPU-second, or about 2.6 mg per useful GPU-second at 50% utilization. This is a floor: it excludes CPUs, memory outside the baseboard, storage, networking and facility construction.</w:t>
      </w:r>
    </w:p>
    <w:p w:rsidR="00000000" w:rsidRDefault="00000000" w14:paraId="7C000039">
      <w:pPr>
        <w:spacing w:after="140" w:lineRule="auto"/>
        <w:rPr/>
      </w:pPr>
      <w:r>
        <w:rPr>
          <w:b w:val="1"/>
          <w:bCs w:val="1"/>
          <w:sz w:val="21"/>
          <w:szCs w:val="21"/>
        </w:rPr>
        <w:t xml:space="preserve">Share of the total.</w:t>
      </w:r>
      <w:r>
        <w:rPr>
          <w:sz w:val="21"/>
          <w:szCs w:val="21"/>
        </w:rPr>
        <w:t xml:space="preserve"> Google’s comprehensive Gemini figure attributes about one third of per-prompt emissions (0.010 of 0.03 gCO2e) to Scope 1 and 3 sources, which include embodied hardware. Because Google’s electricity is largely matched with clean energy on a market basis, non-operational components form a larger share of the total as operational emissions fall.</w:t>
      </w:r>
    </w:p>
    <w:p w:rsidR="00000000" w:rsidRDefault="00000000" w14:paraId="7C00003A">
      <w:pPr>
        <w:pStyle w:val="Heading3"/>
        <w:spacing w:after="100" w:before="200" w:lineRule="auto"/>
        <w:rPr/>
      </w:pPr>
      <w:r>
        <w:rPr>
          <w:b w:val="1"/>
          <w:bCs w:val="1"/>
          <w:color w:val="333333"/>
          <w:sz w:val="21"/>
          <w:szCs w:val="21"/>
        </w:rPr>
        <w:t xml:space="preserve">8.8.7 Data Gaps</w:t>
      </w:r>
    </w:p>
    <w:p w:rsidR="00000000" w:rsidRDefault="00000000" w14:paraId="7C00003B">
      <w:pPr>
        <w:numPr>
          <w:ilvl w:val="0"/>
          <w:numId w:val="1"/>
        </w:numPr>
        <w:spacing w:after="60" w:before="0" w:line="240" w:lineRule="auto"/>
        <w:ind w:left="720" w:right="0" w:hanging="360"/>
        <w:rPr/>
      </w:pPr>
      <w:r>
        <w:rPr>
          <w:b w:val="1"/>
          <w:bCs w:val="1"/>
          <w:sz w:val="21"/>
          <w:szCs w:val="21"/>
        </w:rPr>
        <w:t xml:space="preserve">Lifetime token throughput</w:t>
      </w:r>
      <w:r>
        <w:rPr>
          <w:sz w:val="21"/>
          <w:szCs w:val="21"/>
        </w:rPr>
        <w:t xml:space="preserve"> is not published by any provider, so TRA remains “Estimated” for every model.</w:t>
      </w:r>
    </w:p>
    <w:p w:rsidR="00000000" w:rsidRDefault="00000000" w14:paraId="7C00003C">
      <w:pPr>
        <w:numPr>
          <w:ilvl w:val="0"/>
          <w:numId w:val="1"/>
        </w:numPr>
        <w:spacing w:after="60" w:before="0" w:line="240" w:lineRule="auto"/>
        <w:ind w:left="720" w:right="0" w:hanging="360"/>
        <w:rPr/>
      </w:pPr>
      <w:r>
        <w:rPr>
          <w:b w:val="1"/>
          <w:bCs w:val="1"/>
          <w:sz w:val="21"/>
          <w:szCs w:val="21"/>
        </w:rPr>
        <w:t xml:space="preserve">Closed frontier models</w:t>
      </w:r>
      <w:r>
        <w:rPr>
          <w:sz w:val="21"/>
          <w:szCs w:val="21"/>
        </w:rPr>
        <w:t xml:space="preserve"> generally do not disclose per-model training emissions; TLE for these must be estimated from training compute, hardware and region.</w:t>
      </w:r>
    </w:p>
    <w:p w:rsidR="00000000" w:rsidRDefault="00000000" w14:paraId="7C00003D">
      <w:pPr>
        <w:numPr>
          <w:ilvl w:val="0"/>
          <w:numId w:val="1"/>
        </w:numPr>
        <w:spacing w:after="60" w:before="0" w:line="240" w:lineRule="auto"/>
        <w:ind w:left="720" w:right="0" w:hanging="360"/>
        <w:rPr/>
      </w:pPr>
      <w:r>
        <w:rPr>
          <w:b w:val="1"/>
          <w:bCs w:val="1"/>
          <w:sz w:val="21"/>
          <w:szCs w:val="21"/>
        </w:rPr>
        <w:t xml:space="preserve">NVIDIA’s PCF covers the baseboard only</w:t>
      </w:r>
      <w:r>
        <w:rPr>
          <w:sz w:val="21"/>
          <w:szCs w:val="21"/>
        </w:rPr>
        <w:t xml:space="preserve">, so HEE for complete servers and facilities still relies on academic estimates.</w:t>
      </w:r>
    </w:p>
    <w:p w:rsidR="00000000" w:rsidRDefault="00000000" w14:paraId="7C00003E">
      <w:pPr>
        <w:numPr>
          <w:ilvl w:val="0"/>
          <w:numId w:val="1"/>
        </w:numPr>
        <w:spacing w:after="60" w:before="0" w:line="240" w:lineRule="auto"/>
        <w:ind w:left="720" w:right="0" w:hanging="360"/>
        <w:rPr/>
      </w:pPr>
      <w:r>
        <w:rPr>
          <w:b w:val="1"/>
          <w:bCs w:val="1"/>
          <w:sz w:val="21"/>
          <w:szCs w:val="21"/>
        </w:rPr>
        <w:t xml:space="preserve">Accounting bases differ.</w:t>
      </w:r>
      <w:r>
        <w:rPr>
          <w:sz w:val="21"/>
          <w:szCs w:val="21"/>
        </w:rPr>
        <w:t xml:space="preserve"> Google reports market-based figures, while Mistral and Meta’s location-based figures use different boundaries. Stardust stores the basis and boundary with every factor and never mixes them in one total without disclosure.</w:t>
      </w:r>
    </w:p>
    <w:p w:rsidR="00000000" w:rsidRDefault="00000000" w14:paraId="7C00003F">
      <w:pPr>
        <w:numPr>
          <w:ilvl w:val="0"/>
          <w:numId w:val="1"/>
        </w:numPr>
        <w:spacing w:after="60" w:before="0" w:line="240" w:lineRule="auto"/>
        <w:ind w:left="720" w:right="0" w:hanging="360"/>
        <w:rPr/>
      </w:pPr>
      <w:r>
        <w:rPr>
          <w:sz w:val="21"/>
          <w:szCs w:val="21"/>
        </w:rPr>
        <w:t xml:space="preserve">As new disclosures appear, they replace estimates through the versioned-configuration process in §8.4, and the component’s confidence tag is upgraded accordingly.</w:t>
      </w:r>
    </w:p>
    <w:p w:rsidR="00000000" w:rsidRDefault="00000000" w14:paraId="7E000001">
      <w:pPr>
        <w:pStyle w:val="Heading3"/>
        <w:spacing w:after="100" w:before="200" w:lineRule="auto"/>
        <w:rPr/>
      </w:pPr>
      <w:r>
        <w:rPr>
          <w:b w:val="1"/>
          <w:bCs w:val="1"/>
          <w:color w:val="333333"/>
          <w:sz w:val="21"/>
          <w:szCs w:val="21"/>
        </w:rPr>
        <w:t xml:space="preserve">8.8.8 Component-Level Embodied Carbon and Refresh Cycles</w:t>
      </w:r>
    </w:p>
    <w:p w:rsidR="00000000" w:rsidRDefault="00000000" w14:paraId="7E000002">
      <w:pPr>
        <w:spacing w:after="140" w:lineRule="auto"/>
        <w:rPr/>
      </w:pPr>
      <w:r>
        <w:rPr>
          <w:sz w:val="21"/>
          <w:szCs w:val="21"/>
        </w:rPr>
        <w:t xml:space="preserve">HEE (§8.8.2) treats a device as a single embodied value. Where data allows, Stardust breaks it down by component, because the split is uneven: NVIDIA attributes about 42% of the HGX H100 baseboard’s cradle-to-gate footprint to memory (§8.8.5). Upstream stages covered are materials extraction, wafer fabrication, memory (including HBM), packaging and assembly. Refresh cycles are the second lever: extending service life from 3 to 5 years reduces embodied emissions per hour of use by 40%.</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03">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04">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05">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06">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07">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08">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09">
            <w:pPr>
              <w:rPr/>
            </w:pPr>
            <w:r>
              <w:rPr>
                <w:sz w:val="19"/>
                <w:szCs w:val="19"/>
              </w:rPr>
              <w:t xml:space="preserve">EMC</w:t>
            </w:r>
          </w:p>
        </w:tc>
        <w:tc>
          <w:tcPr>
            <w:tcW w:w="2240" w:type="dxa"/>
            <w:tcMar>
              <w:top w:w="80" w:type="dxa"/>
              <w:left w:w="100" w:type="dxa"/>
              <w:bottom w:w="80" w:type="dxa"/>
              <w:right w:w="100" w:type="dxa"/>
            </w:tcMar>
          </w:tcPr>
          <w:p w:rsidR="00000000" w:rsidRDefault="00000000" w14:paraId="7E00000A">
            <w:pPr>
              <w:rPr/>
            </w:pPr>
            <w:r>
              <w:rPr>
                <w:sz w:val="19"/>
                <w:szCs w:val="19"/>
              </w:rPr>
              <w:t xml:space="preserve">Embodied Carbon by Component</w:t>
            </w:r>
          </w:p>
        </w:tc>
        <w:tc>
          <w:tcPr>
            <w:tcW w:w="2720" w:type="dxa"/>
            <w:tcMar>
              <w:top w:w="80" w:type="dxa"/>
              <w:left w:w="100" w:type="dxa"/>
              <w:bottom w:w="80" w:type="dxa"/>
              <w:right w:w="100" w:type="dxa"/>
            </w:tcMar>
          </w:tcPr>
          <w:p w:rsidR="00000000" w:rsidRDefault="00000000" w14:paraId="7E00000B">
            <w:pPr>
              <w:rPr/>
            </w:pPr>
            <w:r>
              <w:rPr>
                <w:sz w:val="19"/>
                <w:szCs w:val="19"/>
              </w:rPr>
              <w:t xml:space="preserve">Cradle-to-gate emissions for one component class of a device. Component classes use the OpenTelemetry hw.type values (cpu, gpu, memory, physical_disk, network, power_supply, enclosure), extended where needed with accelerator subcomponents (logic die, HBM stack, package and substrate, board)</w:t>
            </w:r>
          </w:p>
        </w:tc>
        <w:tc>
          <w:tcPr>
            <w:tcW w:w="1280" w:type="dxa"/>
            <w:tcMar>
              <w:top w:w="80" w:type="dxa"/>
              <w:left w:w="100" w:type="dxa"/>
              <w:bottom w:w="80" w:type="dxa"/>
              <w:right w:w="100" w:type="dxa"/>
            </w:tcMar>
          </w:tcPr>
          <w:p w:rsidR="00000000" w:rsidRDefault="00000000" w14:paraId="7E00000C">
            <w:pPr>
              <w:rPr/>
            </w:pPr>
            <w:r>
              <w:rPr>
                <w:sz w:val="19"/>
                <w:szCs w:val="19"/>
              </w:rPr>
              <w:t xml:space="preserve">kgCO2e</w:t>
            </w:r>
          </w:p>
        </w:tc>
        <w:tc>
          <w:tcPr>
            <w:tcW w:w="1280" w:type="dxa"/>
            <w:tcMar>
              <w:top w:w="80" w:type="dxa"/>
              <w:left w:w="100" w:type="dxa"/>
              <w:bottom w:w="80" w:type="dxa"/>
              <w:right w:w="100" w:type="dxa"/>
            </w:tcMar>
          </w:tcPr>
          <w:p w:rsidR="00000000" w:rsidRDefault="00000000" w14:paraId="7E00000D">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0E">
            <w:pPr>
              <w:rPr/>
            </w:pPr>
            <w:r>
              <w:rPr>
                <w:sz w:val="19"/>
                <w:szCs w:val="19"/>
              </w:rPr>
              <w:t xml:space="preserve">Cited / modeled</w:t>
            </w:r>
          </w:p>
        </w:tc>
      </w:tr>
      <w:tr>
        <w:trPr>
          <w:cantSplit/>
        </w:trPr>
        <w:tc>
          <w:tcPr>
            <w:tcW w:w="960" w:type="dxa"/>
            <w:tcMar>
              <w:top w:w="80" w:type="dxa"/>
              <w:left w:w="100" w:type="dxa"/>
              <w:bottom w:w="80" w:type="dxa"/>
              <w:right w:w="100" w:type="dxa"/>
            </w:tcMar>
          </w:tcPr>
          <w:p w:rsidR="00000000" w:rsidRDefault="00000000" w14:paraId="7E00000F">
            <w:pPr>
              <w:rPr/>
            </w:pPr>
            <w:r>
              <w:rPr>
                <w:sz w:val="19"/>
                <w:szCs w:val="19"/>
              </w:rPr>
              <w:t xml:space="preserve">EMS</w:t>
            </w:r>
          </w:p>
        </w:tc>
        <w:tc>
          <w:tcPr>
            <w:tcW w:w="2240" w:type="dxa"/>
            <w:tcMar>
              <w:top w:w="80" w:type="dxa"/>
              <w:left w:w="100" w:type="dxa"/>
              <w:bottom w:w="80" w:type="dxa"/>
              <w:right w:w="100" w:type="dxa"/>
            </w:tcMar>
          </w:tcPr>
          <w:p w:rsidR="00000000" w:rsidRDefault="00000000" w14:paraId="7E000010">
            <w:pPr>
              <w:rPr/>
            </w:pPr>
            <w:r>
              <w:rPr>
                <w:sz w:val="19"/>
                <w:szCs w:val="19"/>
              </w:rPr>
              <w:t xml:space="preserve">Embodied Data Source</w:t>
            </w:r>
          </w:p>
        </w:tc>
        <w:tc>
          <w:tcPr>
            <w:tcW w:w="2720" w:type="dxa"/>
            <w:tcMar>
              <w:top w:w="80" w:type="dxa"/>
              <w:left w:w="100" w:type="dxa"/>
              <w:bottom w:w="80" w:type="dxa"/>
              <w:right w:w="100" w:type="dxa"/>
            </w:tcMar>
          </w:tcPr>
          <w:p w:rsidR="00000000" w:rsidRDefault="00000000" w14:paraId="7E000011">
            <w:pPr>
              <w:rPr/>
            </w:pPr>
            <w:r>
              <w:rPr>
                <w:sz w:val="19"/>
                <w:szCs w:val="19"/>
              </w:rPr>
              <w:t xml:space="preserve">Source of each EMC value: manufacturer PCF (ISO 14067), open model (e.g., Boavizta), peer-reviewed literature, or default</w:t>
            </w:r>
          </w:p>
        </w:tc>
        <w:tc>
          <w:tcPr>
            <w:tcW w:w="1280" w:type="dxa"/>
            <w:tcMar>
              <w:top w:w="80" w:type="dxa"/>
              <w:left w:w="100" w:type="dxa"/>
              <w:bottom w:w="80" w:type="dxa"/>
              <w:right w:w="100" w:type="dxa"/>
            </w:tcMar>
          </w:tcPr>
          <w:p w:rsidR="00000000" w:rsidRDefault="00000000" w14:paraId="7E000012">
            <w:pPr>
              <w:rPr/>
            </w:pPr>
            <w:r>
              <w:rPr>
                <w:sz w:val="19"/>
                <w:szCs w:val="19"/>
              </w:rPr>
              <w:t xml:space="preserve">enum</w:t>
            </w:r>
          </w:p>
        </w:tc>
        <w:tc>
          <w:tcPr>
            <w:tcW w:w="1280" w:type="dxa"/>
            <w:tcMar>
              <w:top w:w="80" w:type="dxa"/>
              <w:left w:w="100" w:type="dxa"/>
              <w:bottom w:w="80" w:type="dxa"/>
              <w:right w:w="100" w:type="dxa"/>
            </w:tcMar>
          </w:tcPr>
          <w:p w:rsidR="00000000" w:rsidRDefault="00000000" w14:paraId="7E000013">
            <w:pPr>
              <w:rPr/>
            </w:pPr>
            <w:r>
              <w:rPr>
                <w:sz w:val="19"/>
                <w:szCs w:val="19"/>
              </w:rPr>
              <w:t xml:space="preserve">Per value</w:t>
            </w:r>
          </w:p>
        </w:tc>
        <w:tc>
          <w:tcPr>
            <w:tcW w:w="1120" w:type="dxa"/>
            <w:tcMar>
              <w:top w:w="80" w:type="dxa"/>
              <w:left w:w="100" w:type="dxa"/>
              <w:bottom w:w="80" w:type="dxa"/>
              <w:right w:w="100" w:type="dxa"/>
            </w:tcMar>
          </w:tcPr>
          <w:p w:rsidR="00000000" w:rsidRDefault="00000000" w14:paraId="7E000014">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15">
            <w:pPr>
              <w:rPr/>
            </w:pPr>
            <w:r>
              <w:rPr>
                <w:sz w:val="19"/>
                <w:szCs w:val="19"/>
              </w:rPr>
              <w:t xml:space="preserve">MAT</w:t>
            </w:r>
          </w:p>
        </w:tc>
        <w:tc>
          <w:tcPr>
            <w:tcW w:w="2240" w:type="dxa"/>
            <w:tcMar>
              <w:top w:w="80" w:type="dxa"/>
              <w:left w:w="100" w:type="dxa"/>
              <w:bottom w:w="80" w:type="dxa"/>
              <w:right w:w="100" w:type="dxa"/>
            </w:tcMar>
          </w:tcPr>
          <w:p w:rsidR="00000000" w:rsidRDefault="00000000" w14:paraId="7E000016">
            <w:pPr>
              <w:rPr/>
            </w:pPr>
            <w:r>
              <w:rPr>
                <w:sz w:val="19"/>
                <w:szCs w:val="19"/>
              </w:rPr>
              <w:t xml:space="preserve">Material Declaration</w:t>
            </w:r>
          </w:p>
        </w:tc>
        <w:tc>
          <w:tcPr>
            <w:tcW w:w="2720" w:type="dxa"/>
            <w:tcMar>
              <w:top w:w="80" w:type="dxa"/>
              <w:left w:w="100" w:type="dxa"/>
              <w:bottom w:w="80" w:type="dxa"/>
              <w:right w:w="100" w:type="dxa"/>
            </w:tcMar>
          </w:tcPr>
          <w:p w:rsidR="00000000" w:rsidRDefault="00000000" w14:paraId="7E000017">
            <w:pPr>
              <w:rPr/>
            </w:pPr>
            <w:r>
              <w:rPr>
                <w:sz w:val="19"/>
                <w:szCs w:val="19"/>
              </w:rPr>
              <w:t xml:space="preserve">Substance and material composition per IEC 62474, including critical raw materials, where the manufacturer provides it</w:t>
            </w:r>
          </w:p>
        </w:tc>
        <w:tc>
          <w:tcPr>
            <w:tcW w:w="1280" w:type="dxa"/>
            <w:tcMar>
              <w:top w:w="80" w:type="dxa"/>
              <w:left w:w="100" w:type="dxa"/>
              <w:bottom w:w="80" w:type="dxa"/>
              <w:right w:w="100" w:type="dxa"/>
            </w:tcMar>
          </w:tcPr>
          <w:p w:rsidR="00000000" w:rsidRDefault="00000000" w14:paraId="7E000018">
            <w:pPr>
              <w:rPr/>
            </w:pPr>
            <w:r>
              <w:rPr>
                <w:sz w:val="19"/>
                <w:szCs w:val="19"/>
              </w:rPr>
              <w:t xml:space="preserve">kg by substance</w:t>
            </w:r>
          </w:p>
        </w:tc>
        <w:tc>
          <w:tcPr>
            <w:tcW w:w="1280" w:type="dxa"/>
            <w:tcMar>
              <w:top w:w="80" w:type="dxa"/>
              <w:left w:w="100" w:type="dxa"/>
              <w:bottom w:w="80" w:type="dxa"/>
              <w:right w:w="100" w:type="dxa"/>
            </w:tcMar>
          </w:tcPr>
          <w:p w:rsidR="00000000" w:rsidRDefault="00000000" w14:paraId="7E000019">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1A">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1B">
            <w:pPr>
              <w:rPr/>
            </w:pPr>
            <w:r>
              <w:rPr>
                <w:sz w:val="19"/>
                <w:szCs w:val="19"/>
              </w:rPr>
              <w:t xml:space="preserve">DIE</w:t>
            </w:r>
          </w:p>
        </w:tc>
        <w:tc>
          <w:tcPr>
            <w:tcW w:w="2240" w:type="dxa"/>
            <w:tcMar>
              <w:top w:w="80" w:type="dxa"/>
              <w:left w:w="100" w:type="dxa"/>
              <w:bottom w:w="80" w:type="dxa"/>
              <w:right w:w="100" w:type="dxa"/>
            </w:tcMar>
          </w:tcPr>
          <w:p w:rsidR="00000000" w:rsidRDefault="00000000" w14:paraId="7E00001C">
            <w:pPr>
              <w:rPr/>
            </w:pPr>
            <w:r>
              <w:rPr>
                <w:sz w:val="19"/>
                <w:szCs w:val="19"/>
              </w:rPr>
              <w:t xml:space="preserve">Die Area and Process Node</w:t>
            </w:r>
          </w:p>
        </w:tc>
        <w:tc>
          <w:tcPr>
            <w:tcW w:w="2720" w:type="dxa"/>
            <w:tcMar>
              <w:top w:w="80" w:type="dxa"/>
              <w:left w:w="100" w:type="dxa"/>
              <w:bottom w:w="80" w:type="dxa"/>
              <w:right w:w="100" w:type="dxa"/>
            </w:tcMar>
          </w:tcPr>
          <w:p w:rsidR="00000000" w:rsidRDefault="00000000" w14:paraId="7E00001D">
            <w:pPr>
              <w:rPr/>
            </w:pPr>
            <w:r>
              <w:rPr>
                <w:sz w:val="19"/>
                <w:szCs w:val="19"/>
              </w:rPr>
              <w:t xml:space="preserve">Logic die area and fabrication node, used for fab-based estimates when no PCF exists</w:t>
            </w:r>
          </w:p>
        </w:tc>
        <w:tc>
          <w:tcPr>
            <w:tcW w:w="1280" w:type="dxa"/>
            <w:tcMar>
              <w:top w:w="80" w:type="dxa"/>
              <w:left w:w="100" w:type="dxa"/>
              <w:bottom w:w="80" w:type="dxa"/>
              <w:right w:w="100" w:type="dxa"/>
            </w:tcMar>
          </w:tcPr>
          <w:p w:rsidR="00000000" w:rsidRDefault="00000000" w14:paraId="7E00001E">
            <w:pPr>
              <w:rPr/>
            </w:pPr>
            <w:r>
              <w:rPr>
                <w:sz w:val="19"/>
                <w:szCs w:val="19"/>
              </w:rPr>
              <w:t xml:space="preserve">mm², nm</w:t>
            </w:r>
          </w:p>
        </w:tc>
        <w:tc>
          <w:tcPr>
            <w:tcW w:w="1280" w:type="dxa"/>
            <w:tcMar>
              <w:top w:w="80" w:type="dxa"/>
              <w:left w:w="100" w:type="dxa"/>
              <w:bottom w:w="80" w:type="dxa"/>
              <w:right w:w="100" w:type="dxa"/>
            </w:tcMar>
          </w:tcPr>
          <w:p w:rsidR="00000000" w:rsidRDefault="00000000" w14:paraId="7E00001F">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0">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1">
            <w:pPr>
              <w:rPr/>
            </w:pPr>
            <w:r>
              <w:rPr>
                <w:sz w:val="19"/>
                <w:szCs w:val="19"/>
              </w:rPr>
              <w:t xml:space="preserve">HBC</w:t>
            </w:r>
          </w:p>
        </w:tc>
        <w:tc>
          <w:tcPr>
            <w:tcW w:w="2240" w:type="dxa"/>
            <w:tcMar>
              <w:top w:w="80" w:type="dxa"/>
              <w:left w:w="100" w:type="dxa"/>
              <w:bottom w:w="80" w:type="dxa"/>
              <w:right w:w="100" w:type="dxa"/>
            </w:tcMar>
          </w:tcPr>
          <w:p w:rsidR="00000000" w:rsidRDefault="00000000" w14:paraId="7E000022">
            <w:pPr>
              <w:rPr/>
            </w:pPr>
            <w:r>
              <w:rPr>
                <w:sz w:val="19"/>
                <w:szCs w:val="19"/>
              </w:rPr>
              <w:t xml:space="preserve">HBM Capacity</w:t>
            </w:r>
          </w:p>
        </w:tc>
        <w:tc>
          <w:tcPr>
            <w:tcW w:w="2720" w:type="dxa"/>
            <w:tcMar>
              <w:top w:w="80" w:type="dxa"/>
              <w:left w:w="100" w:type="dxa"/>
              <w:bottom w:w="80" w:type="dxa"/>
              <w:right w:w="100" w:type="dxa"/>
            </w:tcMar>
          </w:tcPr>
          <w:p w:rsidR="00000000" w:rsidRDefault="00000000" w14:paraId="7E000023">
            <w:pPr>
              <w:rPr/>
            </w:pPr>
            <w:r>
              <w:rPr>
                <w:sz w:val="19"/>
                <w:szCs w:val="19"/>
              </w:rPr>
              <w:t xml:space="preserve">High-bandwidth memory capacity per accelerator, the input for memory-scaled embodied estimates</w:t>
            </w:r>
          </w:p>
        </w:tc>
        <w:tc>
          <w:tcPr>
            <w:tcW w:w="1280" w:type="dxa"/>
            <w:tcMar>
              <w:top w:w="80" w:type="dxa"/>
              <w:left w:w="100" w:type="dxa"/>
              <w:bottom w:w="80" w:type="dxa"/>
              <w:right w:w="100" w:type="dxa"/>
            </w:tcMar>
          </w:tcPr>
          <w:p w:rsidR="00000000" w:rsidRDefault="00000000" w14:paraId="7E000024">
            <w:pPr>
              <w:rPr/>
            </w:pPr>
            <w:r>
              <w:rPr>
                <w:sz w:val="19"/>
                <w:szCs w:val="19"/>
              </w:rPr>
              <w:t xml:space="preserve">GB</w:t>
            </w:r>
          </w:p>
        </w:tc>
        <w:tc>
          <w:tcPr>
            <w:tcW w:w="1280" w:type="dxa"/>
            <w:tcMar>
              <w:top w:w="80" w:type="dxa"/>
              <w:left w:w="100" w:type="dxa"/>
              <w:bottom w:w="80" w:type="dxa"/>
              <w:right w:w="100" w:type="dxa"/>
            </w:tcMar>
          </w:tcPr>
          <w:p w:rsidR="00000000" w:rsidRDefault="00000000" w14:paraId="7E000025">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6">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7">
            <w:pPr>
              <w:rPr/>
            </w:pPr>
            <w:r>
              <w:rPr>
                <w:sz w:val="19"/>
                <w:szCs w:val="19"/>
              </w:rPr>
              <w:t xml:space="preserve">DSD</w:t>
            </w:r>
          </w:p>
        </w:tc>
        <w:tc>
          <w:tcPr>
            <w:tcW w:w="2240" w:type="dxa"/>
            <w:tcMar>
              <w:top w:w="80" w:type="dxa"/>
              <w:left w:w="100" w:type="dxa"/>
              <w:bottom w:w="80" w:type="dxa"/>
              <w:right w:w="100" w:type="dxa"/>
            </w:tcMar>
          </w:tcPr>
          <w:p w:rsidR="00000000" w:rsidRDefault="00000000" w14:paraId="7E000028">
            <w:pPr>
              <w:rPr/>
            </w:pPr>
            <w:r>
              <w:rPr>
                <w:sz w:val="19"/>
                <w:szCs w:val="19"/>
              </w:rPr>
              <w:t xml:space="preserve">Deployment Start Date</w:t>
            </w:r>
          </w:p>
        </w:tc>
        <w:tc>
          <w:tcPr>
            <w:tcW w:w="2720" w:type="dxa"/>
            <w:tcMar>
              <w:top w:w="80" w:type="dxa"/>
              <w:left w:w="100" w:type="dxa"/>
              <w:bottom w:w="80" w:type="dxa"/>
              <w:right w:w="100" w:type="dxa"/>
            </w:tcMar>
          </w:tcPr>
          <w:p w:rsidR="00000000" w:rsidRDefault="00000000" w14:paraId="7E000029">
            <w:pPr>
              <w:rPr/>
            </w:pPr>
            <w:r>
              <w:rPr>
                <w:sz w:val="19"/>
                <w:szCs w:val="19"/>
              </w:rPr>
              <w:t xml:space="preserve">Date the device entered service</w:t>
            </w:r>
          </w:p>
        </w:tc>
        <w:tc>
          <w:tcPr>
            <w:tcW w:w="1280" w:type="dxa"/>
            <w:tcMar>
              <w:top w:w="80" w:type="dxa"/>
              <w:left w:w="100" w:type="dxa"/>
              <w:bottom w:w="80" w:type="dxa"/>
              <w:right w:w="100" w:type="dxa"/>
            </w:tcMar>
          </w:tcPr>
          <w:p w:rsidR="00000000" w:rsidRDefault="00000000" w14:paraId="7E00002A">
            <w:pPr>
              <w:rPr/>
            </w:pPr>
            <w:r>
              <w:rPr>
                <w:sz w:val="19"/>
                <w:szCs w:val="19"/>
              </w:rPr>
              <w:t xml:space="preserve">date</w:t>
            </w:r>
          </w:p>
        </w:tc>
        <w:tc>
          <w:tcPr>
            <w:tcW w:w="1280" w:type="dxa"/>
            <w:tcMar>
              <w:top w:w="80" w:type="dxa"/>
              <w:left w:w="100" w:type="dxa"/>
              <w:bottom w:w="80" w:type="dxa"/>
              <w:right w:w="100" w:type="dxa"/>
            </w:tcMar>
          </w:tcPr>
          <w:p w:rsidR="00000000" w:rsidRDefault="00000000" w14:paraId="7E00002B">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2C">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2D">
            <w:pPr>
              <w:rPr/>
            </w:pPr>
            <w:r>
              <w:rPr>
                <w:sz w:val="19"/>
                <w:szCs w:val="19"/>
              </w:rPr>
              <w:t xml:space="preserve">RCP</w:t>
            </w:r>
          </w:p>
        </w:tc>
        <w:tc>
          <w:tcPr>
            <w:tcW w:w="2240" w:type="dxa"/>
            <w:tcMar>
              <w:top w:w="80" w:type="dxa"/>
              <w:left w:w="100" w:type="dxa"/>
              <w:bottom w:w="80" w:type="dxa"/>
              <w:right w:w="100" w:type="dxa"/>
            </w:tcMar>
          </w:tcPr>
          <w:p w:rsidR="00000000" w:rsidRDefault="00000000" w14:paraId="7E00002E">
            <w:pPr>
              <w:rPr/>
            </w:pPr>
            <w:r>
              <w:rPr>
                <w:sz w:val="19"/>
                <w:szCs w:val="19"/>
              </w:rPr>
              <w:t xml:space="preserve">Refresh Cycle Plan</w:t>
            </w:r>
          </w:p>
        </w:tc>
        <w:tc>
          <w:tcPr>
            <w:tcW w:w="2720" w:type="dxa"/>
            <w:tcMar>
              <w:top w:w="80" w:type="dxa"/>
              <w:left w:w="100" w:type="dxa"/>
              <w:bottom w:w="80" w:type="dxa"/>
              <w:right w:w="100" w:type="dxa"/>
            </w:tcMar>
          </w:tcPr>
          <w:p w:rsidR="00000000" w:rsidRDefault="00000000" w14:paraId="7E00002F">
            <w:pPr>
              <w:rPr/>
            </w:pPr>
            <w:r>
              <w:rPr>
                <w:sz w:val="19"/>
                <w:szCs w:val="19"/>
              </w:rPr>
              <w:t xml:space="preserve">Planned service life before decommissioning (typically 2–6 years)</w:t>
            </w:r>
          </w:p>
        </w:tc>
        <w:tc>
          <w:tcPr>
            <w:tcW w:w="1280" w:type="dxa"/>
            <w:tcMar>
              <w:top w:w="80" w:type="dxa"/>
              <w:left w:w="100" w:type="dxa"/>
              <w:bottom w:w="80" w:type="dxa"/>
              <w:right w:w="100" w:type="dxa"/>
            </w:tcMar>
          </w:tcPr>
          <w:p w:rsidR="00000000" w:rsidRDefault="00000000" w14:paraId="7E000030">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1">
            <w:pPr>
              <w:rPr/>
            </w:pPr>
            <w:r>
              <w:rPr>
                <w:sz w:val="19"/>
                <w:szCs w:val="19"/>
              </w:rPr>
              <w:t xml:space="preserve">Per asset class</w:t>
            </w:r>
          </w:p>
        </w:tc>
        <w:tc>
          <w:tcPr>
            <w:tcW w:w="1120" w:type="dxa"/>
            <w:tcMar>
              <w:top w:w="80" w:type="dxa"/>
              <w:left w:w="100" w:type="dxa"/>
              <w:bottom w:w="80" w:type="dxa"/>
              <w:right w:w="100" w:type="dxa"/>
            </w:tcMar>
          </w:tcPr>
          <w:p w:rsidR="00000000" w:rsidRDefault="00000000" w14:paraId="7E000032">
            <w:pPr>
              <w:rPr/>
            </w:pPr>
            <w:r>
              <w:rPr>
                <w:sz w:val="19"/>
                <w:szCs w:val="19"/>
              </w:rPr>
              <w:t xml:space="preserve">Stated</w:t>
            </w:r>
          </w:p>
        </w:tc>
      </w:tr>
      <w:tr>
        <w:trPr>
          <w:cantSplit/>
        </w:trPr>
        <w:tc>
          <w:tcPr>
            <w:tcW w:w="960" w:type="dxa"/>
            <w:tcMar>
              <w:top w:w="80" w:type="dxa"/>
              <w:left w:w="100" w:type="dxa"/>
              <w:bottom w:w="80" w:type="dxa"/>
              <w:right w:w="100" w:type="dxa"/>
            </w:tcMar>
          </w:tcPr>
          <w:p w:rsidR="00000000" w:rsidRDefault="00000000" w14:paraId="7E000033">
            <w:pPr>
              <w:rPr/>
            </w:pPr>
            <w:r>
              <w:rPr>
                <w:sz w:val="19"/>
                <w:szCs w:val="19"/>
              </w:rPr>
              <w:t xml:space="preserve">ASL</w:t>
            </w:r>
          </w:p>
        </w:tc>
        <w:tc>
          <w:tcPr>
            <w:tcW w:w="2240" w:type="dxa"/>
            <w:tcMar>
              <w:top w:w="80" w:type="dxa"/>
              <w:left w:w="100" w:type="dxa"/>
              <w:bottom w:w="80" w:type="dxa"/>
              <w:right w:w="100" w:type="dxa"/>
            </w:tcMar>
          </w:tcPr>
          <w:p w:rsidR="00000000" w:rsidRDefault="00000000" w14:paraId="7E000034">
            <w:pPr>
              <w:rPr/>
            </w:pPr>
            <w:r>
              <w:rPr>
                <w:sz w:val="19"/>
                <w:szCs w:val="19"/>
              </w:rPr>
              <w:t xml:space="preserve">Actual Service Life</w:t>
            </w:r>
          </w:p>
        </w:tc>
        <w:tc>
          <w:tcPr>
            <w:tcW w:w="2720" w:type="dxa"/>
            <w:tcMar>
              <w:top w:w="80" w:type="dxa"/>
              <w:left w:w="100" w:type="dxa"/>
              <w:bottom w:w="80" w:type="dxa"/>
              <w:right w:w="100" w:type="dxa"/>
            </w:tcMar>
          </w:tcPr>
          <w:p w:rsidR="00000000" w:rsidRDefault="00000000" w14:paraId="7E000035">
            <w:pPr>
              <w:rPr/>
            </w:pPr>
            <w:r>
              <w:rPr>
                <w:sz w:val="19"/>
                <w:szCs w:val="19"/>
              </w:rPr>
              <w:t xml:space="preserve">Service life at decommissioning</w:t>
            </w:r>
          </w:p>
        </w:tc>
        <w:tc>
          <w:tcPr>
            <w:tcW w:w="1280" w:type="dxa"/>
            <w:tcMar>
              <w:top w:w="80" w:type="dxa"/>
              <w:left w:w="100" w:type="dxa"/>
              <w:bottom w:w="80" w:type="dxa"/>
              <w:right w:w="100" w:type="dxa"/>
            </w:tcMar>
          </w:tcPr>
          <w:p w:rsidR="00000000" w:rsidRDefault="00000000" w14:paraId="7E000036">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7">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38">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39">
            <w:pPr>
              <w:rPr/>
            </w:pPr>
            <w:r>
              <w:rPr>
                <w:sz w:val="19"/>
                <w:szCs w:val="19"/>
              </w:rPr>
              <w:t xml:space="preserve">D-EMH</w:t>
            </w:r>
          </w:p>
        </w:tc>
        <w:tc>
          <w:tcPr>
            <w:tcW w:w="2240" w:type="dxa"/>
            <w:tcMar>
              <w:top w:w="80" w:type="dxa"/>
              <w:left w:w="100" w:type="dxa"/>
              <w:bottom w:w="80" w:type="dxa"/>
              <w:right w:w="100" w:type="dxa"/>
            </w:tcMar>
          </w:tcPr>
          <w:p w:rsidR="00000000" w:rsidRDefault="00000000" w14:paraId="7E00003A">
            <w:pPr>
              <w:rPr/>
            </w:pPr>
            <w:r>
              <w:rPr>
                <w:sz w:val="19"/>
                <w:szCs w:val="19"/>
              </w:rPr>
              <w:t xml:space="preserve">Embodied per Useful Hour</w:t>
            </w:r>
          </w:p>
        </w:tc>
        <w:tc>
          <w:tcPr>
            <w:tcW w:w="2720" w:type="dxa"/>
            <w:tcMar>
              <w:top w:w="80" w:type="dxa"/>
              <w:left w:w="100" w:type="dxa"/>
              <w:bottom w:w="80" w:type="dxa"/>
              <w:right w:w="100" w:type="dxa"/>
            </w:tcMar>
          </w:tcPr>
          <w:p w:rsidR="00000000" w:rsidRDefault="00000000" w14:paraId="7E00003B">
            <w:pPr>
              <w:rPr/>
            </w:pPr>
            <w:r>
              <w:rPr>
                <w:sz w:val="19"/>
                <w:szCs w:val="19"/>
              </w:rPr>
              <w:t xml:space="preserve">Sum of EMC divided by (service life in hours × HUR); supersedes the single HEE value where component data exists</w:t>
            </w:r>
          </w:p>
        </w:tc>
        <w:tc>
          <w:tcPr>
            <w:tcW w:w="1280" w:type="dxa"/>
            <w:tcMar>
              <w:top w:w="80" w:type="dxa"/>
              <w:left w:w="100" w:type="dxa"/>
              <w:bottom w:w="80" w:type="dxa"/>
              <w:right w:w="100" w:type="dxa"/>
            </w:tcMar>
          </w:tcPr>
          <w:p w:rsidR="00000000" w:rsidRDefault="00000000" w14:paraId="7E00003C">
            <w:pPr>
              <w:rPr/>
            </w:pPr>
            <w:r>
              <w:rPr>
                <w:sz w:val="19"/>
                <w:szCs w:val="19"/>
              </w:rPr>
              <w:t xml:space="preserve">gCO2e/h</w:t>
            </w:r>
          </w:p>
        </w:tc>
        <w:tc>
          <w:tcPr>
            <w:tcW w:w="1280" w:type="dxa"/>
            <w:tcMar>
              <w:top w:w="80" w:type="dxa"/>
              <w:left w:w="100" w:type="dxa"/>
              <w:bottom w:w="80" w:type="dxa"/>
              <w:right w:w="100" w:type="dxa"/>
            </w:tcMar>
          </w:tcPr>
          <w:p w:rsidR="00000000" w:rsidRDefault="00000000" w14:paraId="7E00003D">
            <w:pPr>
              <w:rPr/>
            </w:pPr>
            <w:r>
              <w:rPr>
                <w:sz w:val="19"/>
                <w:szCs w:val="19"/>
              </w:rPr>
              <w:t xml:space="preserve">Daily</w:t>
            </w:r>
          </w:p>
        </w:tc>
        <w:tc>
          <w:tcPr>
            <w:tcW w:w="1120" w:type="dxa"/>
            <w:tcMar>
              <w:top w:w="80" w:type="dxa"/>
              <w:left w:w="100" w:type="dxa"/>
              <w:bottom w:w="80" w:type="dxa"/>
              <w:right w:w="100" w:type="dxa"/>
            </w:tcMar>
          </w:tcPr>
          <w:p w:rsidR="00000000" w:rsidRDefault="00000000" w14:paraId="7E00003E">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E00003F">
            <w:pPr>
              <w:rPr/>
            </w:pPr>
            <w:r>
              <w:rPr>
                <w:sz w:val="19"/>
                <w:szCs w:val="19"/>
              </w:rPr>
              <w:t xml:space="preserve">D-LXS</w:t>
            </w:r>
          </w:p>
        </w:tc>
        <w:tc>
          <w:tcPr>
            <w:tcW w:w="2240" w:type="dxa"/>
            <w:tcMar>
              <w:top w:w="80" w:type="dxa"/>
              <w:left w:w="100" w:type="dxa"/>
              <w:bottom w:w="80" w:type="dxa"/>
              <w:right w:w="100" w:type="dxa"/>
            </w:tcMar>
          </w:tcPr>
          <w:p w:rsidR="00000000" w:rsidRDefault="00000000" w14:paraId="7E000040">
            <w:pPr>
              <w:rPr/>
            </w:pPr>
            <w:r>
              <w:rPr>
                <w:sz w:val="19"/>
                <w:szCs w:val="19"/>
              </w:rPr>
              <w:t xml:space="preserve">Life-Extension Savings</w:t>
            </w:r>
          </w:p>
        </w:tc>
        <w:tc>
          <w:tcPr>
            <w:tcW w:w="2720" w:type="dxa"/>
            <w:tcMar>
              <w:top w:w="80" w:type="dxa"/>
              <w:left w:w="100" w:type="dxa"/>
              <w:bottom w:w="80" w:type="dxa"/>
              <w:right w:w="100" w:type="dxa"/>
            </w:tcMar>
          </w:tcPr>
          <w:p w:rsidR="00000000" w:rsidRDefault="00000000" w14:paraId="7E000041">
            <w:pPr>
              <w:rPr/>
            </w:pPr>
            <w:r>
              <w:rPr>
                <w:sz w:val="19"/>
                <w:szCs w:val="19"/>
              </w:rPr>
              <w:t xml:space="preserve">Reduction in D-EMH from extending service life beyond RCP</w:t>
            </w:r>
          </w:p>
        </w:tc>
        <w:tc>
          <w:tcPr>
            <w:tcW w:w="1280" w:type="dxa"/>
            <w:tcMar>
              <w:top w:w="80" w:type="dxa"/>
              <w:left w:w="100" w:type="dxa"/>
              <w:bottom w:w="80" w:type="dxa"/>
              <w:right w:w="100" w:type="dxa"/>
            </w:tcMar>
          </w:tcPr>
          <w:p w:rsidR="00000000" w:rsidRDefault="00000000" w14:paraId="7E000042">
            <w:pPr>
              <w:rPr/>
            </w:pPr>
            <w:r>
              <w:rPr>
                <w:sz w:val="19"/>
                <w:szCs w:val="19"/>
              </w:rPr>
              <w:t xml:space="preserve">gCO2e/h, %</w:t>
            </w:r>
          </w:p>
        </w:tc>
        <w:tc>
          <w:tcPr>
            <w:tcW w:w="1280" w:type="dxa"/>
            <w:tcMar>
              <w:top w:w="80" w:type="dxa"/>
              <w:left w:w="100" w:type="dxa"/>
              <w:bottom w:w="80" w:type="dxa"/>
              <w:right w:w="100" w:type="dxa"/>
            </w:tcMar>
          </w:tcPr>
          <w:p w:rsidR="00000000" w:rsidRDefault="00000000" w14:paraId="7E000043">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44">
            <w:pPr>
              <w:rPr/>
            </w:pPr>
            <w:r>
              <w:rPr>
                <w:sz w:val="19"/>
                <w:szCs w:val="19"/>
              </w:rPr>
              <w:t xml:space="preserve">Modeled</w:t>
            </w:r>
          </w:p>
        </w:tc>
      </w:tr>
    </w:tbl>
    <w:p w:rsidR="00000000" w:rsidRDefault="00000000" w14:paraId="7E000045">
      <w:pPr>
        <w:spacing w:after="120"/>
        <w:rPr/>
      </w:pPr>
    </w:p>
    <w:p w:rsidR="00000000" w:rsidRDefault="00000000" w14:paraId="7E000046">
      <w:pPr>
        <w:spacing w:after="140" w:lineRule="auto"/>
        <w:rPr/>
      </w:pPr>
      <w:r>
        <w:rPr>
          <w:b w:val="1"/>
          <w:bCs w:val="1"/>
          <w:sz w:val="21"/>
          <w:szCs w:val="21"/>
        </w:rPr>
        <w:t xml:space="preserve">Harmonization.</w:t>
      </w:r>
      <w:r>
        <w:rPr>
          <w:sz w:val="21"/>
          <w:szCs w:val="21"/>
        </w:rPr>
        <w:t xml:space="preserve"> Component classes reuse OpenTelemetry hw.type values rather than new names. Values follow a data hierarchy: manufacturer product carbon footprints prepared under ISO 14067 or the GHG Protocol Product Standard first, then open models such as Boavizta’s (queried through its API; its AGPL-licensed code is not embedded in Stardust Core), then literature, then defaults. D-LXS is surfaced as a right-sizing recommendation (§21.5) and feeds the hardware lifecycle record (§22.8).</w:t>
      </w:r>
    </w:p>
    <w:p w:rsidR="00000000" w:rsidDel="00000000" w:rsidP="00000000" w:rsidRDefault="00000000" w:rsidRPr="00000000" w14:paraId="00000185">
      <w:pPr>
        <w:pStyle w:val="Heading1"/>
        <w:spacing w:after="160" w:before="360" w:lineRule="auto"/>
        <w:rPr/>
      </w:pPr>
      <w:r>
        <w:rPr>
          <w:b w:val="1"/>
          <w:bCs w:val="1"/>
          <w:color w:val="0f4a2e"/>
          <w:sz w:val="30"/>
          <w:szCs w:val="30"/>
          <w:rtl w:val="0"/>
        </w:rPr>
        <w:t xml:space="preserve">9. System Architecture</w:t>
      </w:r>
      <w:r>
        <w:rPr>
          <w:rtl w:val="0"/>
        </w:rPr>
      </w:r>
    </w:p>
    <w:p w:rsidR="00000000" w:rsidDel="00000000" w:rsidP="00000000" w:rsidRDefault="00000000" w:rsidRPr="00000000" w14:paraId="00000186">
      <w:pPr>
        <w:pStyle w:val="Heading2"/>
        <w:spacing w:after="120" w:before="280" w:lineRule="auto"/>
        <w:rPr/>
      </w:pPr>
      <w:r>
        <w:rPr>
          <w:b w:val="1"/>
          <w:bCs w:val="1"/>
          <w:color w:val="1e7a4c"/>
          <w:sz w:val="24"/>
          <w:szCs w:val="24"/>
          <w:rtl w:val="0"/>
        </w:rPr>
        <w:t xml:space="preserve">9.1 Layers</w:t>
      </w:r>
      <w:r>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Chat Plugin — thin client using each AI platform's plugin/connector or content-injection surface; reads exposed usage metadata where available, otherwise DOM-observes rendered token/usage counters.</w:t>
      </w:r>
      <w:r>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Browser Extension — Manifest V3 background service worker + content scripts; universal fallback and general web-usage capture; handles the cross-browser portability requirement (Chrome/Edge share MV3, Firefox MV3 event-page adaptation, Safari via Safari Web Extension conversion).</w:t>
      </w:r>
      <w:r>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Infra Agent/SDK — language SDKs (starting with JS/TS and Python) plus an optional reverse-proxy/sidecar for teams that cannot modify application code directly; instruments database drivers and AI/cloud API calls to emit normalized events.</w:t>
      </w:r>
      <w:r>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 — ingestion API, event normalization, environmental-methodology engine (§8), indicator-code computation (§5), storage, and reporting/dashboard API consumed by all client UIs.</w:t>
      </w:r>
      <w:r>
        <w:rPr>
          <w:rtl w:val="0"/>
        </w:rPr>
      </w:r>
    </w:p>
    <w:p w:rsidR="00000000" w:rsidRDefault="00000000" w14:paraId="7D000003">
      <w:pPr>
        <w:numPr>
          <w:ilvl w:val="0"/>
          <w:numId w:val="1"/>
        </w:numPr>
        <w:spacing w:after="60" w:before="0" w:line="240" w:lineRule="auto"/>
        <w:ind w:left="720" w:right="0" w:hanging="360"/>
        <w:rPr/>
      </w:pPr>
      <w:r>
        <w:rPr>
          <w:b w:val="1"/>
          <w:bCs w:val="1"/>
          <w:sz w:val="21"/>
          <w:szCs w:val="21"/>
        </w:rPr>
        <w:t xml:space="preserve">Stardust Net Impact Ledger and Credit Connectors</w:t>
      </w:r>
      <w:r>
        <w:rPr>
          <w:sz w:val="21"/>
          <w:szCs w:val="21"/>
        </w:rPr>
        <w:t xml:space="preserve"> — part of Stardust Core: the Net Impact Ledger records negative and positive impact per dimension (carbon, electricity, water, heat, materials), and the Registry and Market Connector layer links the broker to the registries and markets where carbon, energy, water, heat and recycling credits are issued, traded and retired (§22.5–§22.6).</w:t>
      </w:r>
    </w:p>
    <w:p w:rsidR="00000000" w:rsidDel="00000000" w:rsidP="00000000" w:rsidRDefault="00000000" w:rsidRPr="00000000" w14:paraId="0000018B">
      <w:pPr>
        <w:pStyle w:val="Heading2"/>
        <w:spacing w:after="120" w:before="280" w:lineRule="auto"/>
        <w:rPr/>
      </w:pPr>
      <w:r>
        <w:rPr>
          <w:b w:val="1"/>
          <w:bCs w:val="1"/>
          <w:color w:val="1e7a4c"/>
          <w:sz w:val="24"/>
          <w:szCs w:val="24"/>
          <w:rtl w:val="0"/>
        </w:rPr>
        <w:t xml:space="preserve">9.2 Data Flow</w:t>
      </w:r>
      <w:r>
        <w:rPr>
          <w:rtl w:val="0"/>
        </w:rPr>
      </w:r>
    </w:p>
    <w:p w:rsidR="00000000" w:rsidDel="00000000" w:rsidP="00000000" w:rsidRDefault="00000000" w:rsidRPr="00000000" w14:paraId="0000018C">
      <w:pPr>
        <w:spacing w:after="140" w:lineRule="auto"/>
        <w:rPr/>
      </w:pPr>
      <w:sdt>
        <w:sdtPr>
          <w:id w:val="160474259"/>
          <w:tag w:val="goog_rdk_13"/>
        </w:sdtPr>
        <w:sdtContent>
          <w:r>
            <w:rPr>
              <w:rFonts w:ascii="Cardo" w:cs="Cardo" w:eastAsia="Cardo" w:hAnsi="Cardo"/>
              <w:sz w:val="21"/>
              <w:szCs w:val="21"/>
              <w:rtl w:val="0"/>
            </w:rPr>
            <w:t xml:space="preserve">Client layer captures a raw usage event → event is normalized to the schema in §7 → Stardust Core applies cost lookup and the environmental methodology engine → an indicator code is computed → the result is returned to the originating client for inline display and written to the user's/org's history for the dashboard views in §6.3.</w:t>
          </w:r>
        </w:sdtContent>
      </w:sdt>
      <w:r>
        <w:rPr>
          <w:rtl w:val="0"/>
        </w:rPr>
      </w:r>
    </w:p>
    <w:p w:rsidR="00000000" w:rsidRDefault="00000000" w14:paraId="7A000001">
      <w:pPr>
        <w:spacing w:after="140" w:lineRule="auto"/>
        <w:rPr/>
      </w:pPr>
      <w:r>
        <w:rPr>
          <w:sz w:val="21"/>
          <w:szCs w:val="21"/>
        </w:rPr>
        <w:t xml:space="preserve">Figure 2 summarizes the end-to-end flow from the point of capture to actionable outputs, including the right-sizing and efficiency engine specified in §21 and the carbon marketplace described in §10.</w:t>
      </w:r>
    </w:p>
    <w:p w:rsidR="00000000" w:rsidRDefault="00000000" w14:paraId="7A000002">
      <w:pPr>
        <w:keepNext w:val="1"/>
        <w:spacing w:before="120" w:after="60" w:lineRule="auto"/>
        <w:jc w:val="center"/>
        <w:rPr/>
      </w:pPr>
      <w:r>
        <w:rPr>
          <w:noProof/>
        </w:rPr>
        <w:drawing>
          <wp:inline distT="0" distB="0" distL="0" distR="0">
            <wp:extent cx="5852160" cy="4925846"/>
            <wp:effectExtent l="0" t="0" r="0" b="0"/>
            <wp:docPr id="2" name="Figure 2" descr="Stardust end-to-end data flow from capture to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1"/>
                    <a:stretch>
                      <a:fillRect/>
                    </a:stretch>
                  </pic:blipFill>
                  <pic:spPr>
                    <a:xfrm>
                      <a:off x="0" y="0"/>
                      <a:ext cx="5852160" cy="4925846"/>
                    </a:xfrm>
                    <a:prstGeom prst="rect">
                      <a:avLst/>
                    </a:prstGeom>
                  </pic:spPr>
                </pic:pic>
              </a:graphicData>
            </a:graphic>
          </wp:inline>
        </w:drawing>
      </w:r>
    </w:p>
    <w:p w:rsidR="00000000" w:rsidRDefault="00000000" w14:paraId="7A000003">
      <w:pPr>
        <w:spacing w:after="200" w:lineRule="auto"/>
        <w:jc w:val="center"/>
        <w:rPr/>
      </w:pPr>
      <w:r>
        <w:rPr>
          <w:i w:val="1"/>
          <w:iCs w:val="1"/>
          <w:color w:val="555555"/>
          <w:sz w:val="18"/>
          <w:szCs w:val="18"/>
        </w:rPr>
        <w:t xml:space="preserve">Figure 2. Stardust end-to-end data flow: capture in chat apps, browsers and infrastructure; metering; cost and environmental-impact enrichment; telemetry aggregation; right-sizing and efficiency analysis (§21); and action through Subscriber dashboards, the carbon marketplace, and public benchmarks.</w:t>
      </w:r>
    </w:p>
    <w:p w:rsidR="00000000" w:rsidDel="00000000" w:rsidP="00000000" w:rsidRDefault="00000000" w:rsidRPr="00000000" w14:paraId="0000018D">
      <w:pPr>
        <w:pStyle w:val="Heading2"/>
        <w:spacing w:after="120" w:before="280" w:lineRule="auto"/>
        <w:rPr/>
      </w:pPr>
      <w:r>
        <w:rPr>
          <w:b w:val="1"/>
          <w:bCs w:val="1"/>
          <w:color w:val="1e7a4c"/>
          <w:sz w:val="24"/>
          <w:szCs w:val="24"/>
          <w:rtl w:val="0"/>
        </w:rPr>
        <w:t xml:space="preserve">9.3 Deployment Model</w:t>
      </w:r>
      <w:r>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Consumer layer (chat plugin, browser extension): hosted multi-tenant Stardust Core service.</w:t>
      </w:r>
      <w:r>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Enterprise/infra layer: offer both a hosted multi-tenant option and a self-hosted/VPC-deployable Stardust Core for organizations that cannot send infrastructure telemetry to a third-party service — a likely requirement for the IT-infrastructure integration surface.</w:t>
      </w:r>
      <w:r>
        <w:rPr>
          <w:rtl w:val="0"/>
        </w:rPr>
      </w:r>
    </w:p>
    <w:p w:rsidR="00000000" w:rsidDel="00000000" w:rsidP="00000000" w:rsidRDefault="00000000" w:rsidRPr="00000000" w14:paraId="00000190">
      <w:pPr>
        <w:pStyle w:val="Heading2"/>
        <w:spacing w:after="120" w:before="280" w:lineRule="auto"/>
        <w:rPr/>
      </w:pPr>
      <w:r>
        <w:rPr>
          <w:b w:val="1"/>
          <w:bCs w:val="1"/>
          <w:color w:val="1e7a4c"/>
          <w:sz w:val="24"/>
          <w:szCs w:val="24"/>
          <w:rtl w:val="0"/>
        </w:rPr>
        <w:t xml:space="preserve">9.4 Implementation Reference: Reused Open Source Components</w:t>
      </w:r>
      <w:r>
        <w:rPr>
          <w:rtl w:val="0"/>
        </w:rPr>
      </w:r>
    </w:p>
    <w:p w:rsidR="00000000" w:rsidDel="00000000" w:rsidP="00000000" w:rsidRDefault="00000000" w:rsidRPr="00000000" w14:paraId="00000191">
      <w:pPr>
        <w:spacing w:after="140" w:lineRule="auto"/>
        <w:rPr/>
      </w:pPr>
      <w:r>
        <w:rPr>
          <w:sz w:val="21"/>
          <w:szCs w:val="21"/>
          <w:rtl w:val="0"/>
        </w:rPr>
        <w:t xml:space="preserve">Rather than build a token/cost pricing database from scratch, Stardust's cost-calculation logic is built on two existing, permissively-licensed open source projects — both compatible with Stardust's own open-core licensing direction (§17.3).</w:t>
      </w:r>
      <w:r>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Pricing data backbone: BerriAI/litellm's model_prices_and_context_window.json (MIT license) — the de facto community pricing database, covering 100+ providers and 1,600+ models. Several other pricing tools (e.g., tokencost, tokonomics) already source their own pricing from this same file rather than maintaining a separate one, so Stardust reuses the same canonical source instead of fragmenting it further.</w:t>
      </w:r>
      <w:r>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Calculator base: AgentOps-AI/tokencost (MIT license) — a lightweight Python library (calculate_prompt_cost(), calculate_completion_cost()) forked as the base for Stardust's own cost-calculation functions. Chosen over vendoring LiteLLM's full gateway/proxy, which is a heavier routing server Stardust doesn't need just to calculate cost.</w:t>
      </w:r>
      <w:r>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Extension pattern: each entry in the reused pricing data is extended with Stardust's own environmental fields — energy_wh_per_token, co2e_g_per_token, water_ml_per_token, esc, grid_style, grid_majority_share_pct (§5.3, §7) — keyed by the same model-name lookup already used for pricing, consistent with the versioned, swappable configuration principle established in §8.4.</w:t>
      </w:r>
      <w:r>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License compatibility: both source projects are MIT, compatible with the permissive license direction already proposed for Stardust itself (§17.3); original license and attribution notices are retained in the vendored/forked code per each project's license terms, consistent with standard open source practice.</w:t>
      </w:r>
      <w:r>
        <w:rPr>
          <w:rtl w:val="0"/>
        </w:rPr>
      </w:r>
    </w:p>
    <w:p w:rsidR="00000000" w:rsidRDefault="00000000" w14:paraId="6B000001">
      <w:pPr>
        <w:pStyle w:val="Heading2"/>
        <w:spacing w:after="120" w:before="280" w:lineRule="auto"/>
        <w:rPr/>
      </w:pPr>
      <w:r>
        <w:rPr>
          <w:b w:val="1"/>
          <w:bCs w:val="1"/>
          <w:color w:val="1e7a4c"/>
          <w:sz w:val="24"/>
          <w:szCs w:val="24"/>
        </w:rPr>
        <w:t xml:space="preserve">9.5 Integration Protocols</w:t>
      </w:r>
    </w:p>
    <w:p w:rsidR="00000000" w:rsidRDefault="00000000" w14:paraId="6B000002">
      <w:pPr>
        <w:spacing w:after="140" w:lineRule="auto"/>
        <w:rPr/>
      </w:pPr>
      <w:r>
        <w:rPr>
          <w:sz w:val="21"/>
          <w:szCs w:val="21"/>
        </w:rPr>
        <w:t xml:space="preserve">Stardust uses one rule for every integration: data goes in through APIs, and questions and light updates go through MCP. Telemetry needs deterministic, high-volume, auditable pipes aligned with OpenTelemetry; MCP tools run only when a model calls them, so they are never used to capture telemetry or to move money or credits.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6B000003">
            <w:pPr>
              <w:rPr/>
            </w:pPr>
            <w:r>
              <w:rPr>
                <w:b w:val="1"/>
                <w:bCs w:val="1"/>
                <w:color w:val="ffffff"/>
                <w:sz w:val="19"/>
                <w:szCs w:val="19"/>
              </w:rPr>
              <w:t xml:space="preserve">Path</w:t>
            </w:r>
          </w:p>
        </w:tc>
        <w:tc>
          <w:tcPr>
            <w:tcW w:w="3400" w:type="dxa"/>
            <w:shd w:val="clear" w:color="auto" w:fill="1e7a4c"/>
            <w:tcMar>
              <w:top w:w="80" w:type="dxa"/>
              <w:left w:w="100" w:type="dxa"/>
              <w:bottom w:w="80" w:type="dxa"/>
              <w:right w:w="100" w:type="dxa"/>
            </w:tcMar>
          </w:tcPr>
          <w:p w:rsidR="00000000" w:rsidRDefault="00000000" w14:paraId="6B000004">
            <w:pPr>
              <w:rPr/>
            </w:pPr>
            <w:r>
              <w:rPr>
                <w:b w:val="1"/>
                <w:bCs w:val="1"/>
                <w:color w:val="ffffff"/>
                <w:sz w:val="19"/>
                <w:szCs w:val="19"/>
              </w:rPr>
              <w:t xml:space="preserve">Protocol</w:t>
            </w:r>
          </w:p>
        </w:tc>
        <w:tc>
          <w:tcPr>
            <w:tcW w:w="3600" w:type="dxa"/>
            <w:shd w:val="clear" w:color="auto" w:fill="1e7a4c"/>
            <w:tcMar>
              <w:top w:w="80" w:type="dxa"/>
              <w:left w:w="100" w:type="dxa"/>
              <w:bottom w:w="80" w:type="dxa"/>
              <w:right w:w="100" w:type="dxa"/>
            </w:tcMar>
          </w:tcPr>
          <w:p w:rsidR="00000000" w:rsidRDefault="00000000" w14:paraId="6B000005">
            <w:pPr>
              <w:rPr/>
            </w:pPr>
            <w:r>
              <w:rPr>
                <w:b w:val="1"/>
                <w:bCs w:val="1"/>
                <w:color w:val="ffffff"/>
                <w:sz w:val="19"/>
                <w:szCs w:val="19"/>
              </w:rPr>
              <w:t xml:space="preserve">Used for</w:t>
            </w:r>
          </w:p>
        </w:tc>
      </w:tr>
      <w:tr>
        <w:trPr>
          <w:cantSplit/>
        </w:trPr>
        <w:tc>
          <w:tcPr>
            <w:tcW w:w="2600" w:type="dxa"/>
            <w:tcMar>
              <w:top w:w="80" w:type="dxa"/>
              <w:left w:w="100" w:type="dxa"/>
              <w:bottom w:w="80" w:type="dxa"/>
              <w:right w:w="100" w:type="dxa"/>
            </w:tcMar>
          </w:tcPr>
          <w:p w:rsidR="00000000" w:rsidRDefault="00000000" w14:paraId="6B000006">
            <w:pPr>
              <w:rPr/>
            </w:pPr>
            <w:r>
              <w:rPr>
                <w:sz w:val="19"/>
                <w:szCs w:val="19"/>
              </w:rPr>
              <w:t xml:space="preserve">Subscriber telemetry ingestion</w:t>
            </w:r>
          </w:p>
        </w:tc>
        <w:tc>
          <w:tcPr>
            <w:tcW w:w="3400" w:type="dxa"/>
            <w:tcMar>
              <w:top w:w="80" w:type="dxa"/>
              <w:left w:w="100" w:type="dxa"/>
              <w:bottom w:w="80" w:type="dxa"/>
              <w:right w:w="100" w:type="dxa"/>
            </w:tcMar>
          </w:tcPr>
          <w:p w:rsidR="00000000" w:rsidRDefault="00000000" w14:paraId="6B000007">
            <w:pPr>
              <w:rPr/>
            </w:pPr>
            <w:r>
              <w:rPr>
                <w:sz w:val="19"/>
                <w:szCs w:val="19"/>
              </w:rPr>
              <w:t xml:space="preserve">REST / OTLP ingestion API</w:t>
            </w:r>
          </w:p>
        </w:tc>
        <w:tc>
          <w:tcPr>
            <w:tcW w:w="3600" w:type="dxa"/>
            <w:tcMar>
              <w:top w:w="80" w:type="dxa"/>
              <w:left w:w="100" w:type="dxa"/>
              <w:bottom w:w="80" w:type="dxa"/>
              <w:right w:w="100" w:type="dxa"/>
            </w:tcMar>
          </w:tcPr>
          <w:p w:rsidR="00000000" w:rsidRDefault="00000000" w14:paraId="6B000008">
            <w:pPr>
              <w:rPr/>
            </w:pPr>
            <w:r>
              <w:rPr>
                <w:sz w:val="19"/>
                <w:szCs w:val="19"/>
              </w:rPr>
              <w:t xml:space="preserve">All metering events from the browser extension, infrastructure agent and database agent</w:t>
            </w:r>
          </w:p>
        </w:tc>
      </w:tr>
      <w:tr>
        <w:trPr>
          <w:cantSplit/>
        </w:trPr>
        <w:tc>
          <w:tcPr>
            <w:tcW w:w="2600" w:type="dxa"/>
            <w:tcMar>
              <w:top w:w="80" w:type="dxa"/>
              <w:left w:w="100" w:type="dxa"/>
              <w:bottom w:w="80" w:type="dxa"/>
              <w:right w:w="100" w:type="dxa"/>
            </w:tcMar>
          </w:tcPr>
          <w:p w:rsidR="00000000" w:rsidRDefault="00000000" w14:paraId="6B000009">
            <w:pPr>
              <w:rPr/>
            </w:pPr>
            <w:r>
              <w:rPr>
                <w:sz w:val="19"/>
                <w:szCs w:val="19"/>
              </w:rPr>
              <w:t xml:space="preserve">Provider telemetry</w:t>
            </w:r>
          </w:p>
        </w:tc>
        <w:tc>
          <w:tcPr>
            <w:tcW w:w="3400" w:type="dxa"/>
            <w:tcMar>
              <w:top w:w="80" w:type="dxa"/>
              <w:left w:w="100" w:type="dxa"/>
              <w:bottom w:w="80" w:type="dxa"/>
              <w:right w:w="100" w:type="dxa"/>
            </w:tcMar>
          </w:tcPr>
          <w:p w:rsidR="00000000" w:rsidRDefault="00000000" w14:paraId="6B00000A">
            <w:pPr>
              <w:rPr/>
            </w:pPr>
            <w:r>
              <w:rPr>
                <w:sz w:val="19"/>
                <w:szCs w:val="19"/>
              </w:rPr>
              <w:t xml:space="preserve">Driver/adapter SDK over the ingestion API (§10.2)</w:t>
            </w:r>
          </w:p>
        </w:tc>
        <w:tc>
          <w:tcPr>
            <w:tcW w:w="3600" w:type="dxa"/>
            <w:tcMar>
              <w:top w:w="80" w:type="dxa"/>
              <w:left w:w="100" w:type="dxa"/>
              <w:bottom w:w="80" w:type="dxa"/>
              <w:right w:w="100" w:type="dxa"/>
            </w:tcMar>
          </w:tcPr>
          <w:p w:rsidR="00000000" w:rsidRDefault="00000000" w14:paraId="6B00000B">
            <w:pPr>
              <w:rPr/>
            </w:pPr>
            <w:r>
              <w:rPr>
                <w:sz w:val="19"/>
                <w:szCs w:val="19"/>
              </w:rPr>
              <w:t xml:space="preserve">MRV data for issuance and matching</w:t>
            </w:r>
          </w:p>
        </w:tc>
      </w:tr>
      <w:tr>
        <w:trPr>
          <w:cantSplit/>
        </w:trPr>
        <w:tc>
          <w:tcPr>
            <w:tcW w:w="2600" w:type="dxa"/>
            <w:tcMar>
              <w:top w:w="80" w:type="dxa"/>
              <w:left w:w="100" w:type="dxa"/>
              <w:bottom w:w="80" w:type="dxa"/>
              <w:right w:w="100" w:type="dxa"/>
            </w:tcMar>
          </w:tcPr>
          <w:p w:rsidR="00000000" w:rsidRDefault="00000000" w14:paraId="6B00000C">
            <w:pPr>
              <w:rPr/>
            </w:pPr>
            <w:r>
              <w:rPr>
                <w:sz w:val="19"/>
                <w:szCs w:val="19"/>
              </w:rPr>
              <w:t xml:space="preserve">Registries and markets</w:t>
            </w:r>
          </w:p>
        </w:tc>
        <w:tc>
          <w:tcPr>
            <w:tcW w:w="3400" w:type="dxa"/>
            <w:tcMar>
              <w:top w:w="80" w:type="dxa"/>
              <w:left w:w="100" w:type="dxa"/>
              <w:bottom w:w="80" w:type="dxa"/>
              <w:right w:w="100" w:type="dxa"/>
            </w:tcMar>
          </w:tcPr>
          <w:p w:rsidR="00000000" w:rsidRDefault="00000000" w14:paraId="6B00000D">
            <w:pPr>
              <w:rPr/>
            </w:pPr>
            <w:r>
              <w:rPr>
                <w:sz w:val="19"/>
                <w:szCs w:val="19"/>
              </w:rPr>
              <w:t xml:space="preserve">Registry and Market Connector adapters (§22.5)</w:t>
            </w:r>
          </w:p>
        </w:tc>
        <w:tc>
          <w:tcPr>
            <w:tcW w:w="3600" w:type="dxa"/>
            <w:tcMar>
              <w:top w:w="80" w:type="dxa"/>
              <w:left w:w="100" w:type="dxa"/>
              <w:bottom w:w="80" w:type="dxa"/>
              <w:right w:w="100" w:type="dxa"/>
            </w:tcMar>
          </w:tcPr>
          <w:p w:rsidR="00000000" w:rsidRDefault="00000000" w14:paraId="6B00000E">
            <w:pPr>
              <w:rPr/>
            </w:pPr>
            <w:r>
              <w:rPr>
                <w:sz w:val="19"/>
                <w:szCs w:val="19"/>
              </w:rPr>
              <w:t xml:space="preserve">Issuance, transfer, retirement, verification</w:t>
            </w:r>
          </w:p>
        </w:tc>
      </w:tr>
      <w:tr>
        <w:trPr>
          <w:cantSplit/>
        </w:trPr>
        <w:tc>
          <w:tcPr>
            <w:tcW w:w="2600" w:type="dxa"/>
            <w:tcMar>
              <w:top w:w="80" w:type="dxa"/>
              <w:left w:w="100" w:type="dxa"/>
              <w:bottom w:w="80" w:type="dxa"/>
              <w:right w:w="100" w:type="dxa"/>
            </w:tcMar>
          </w:tcPr>
          <w:p w:rsidR="00000000" w:rsidRDefault="00000000" w14:paraId="6B00000F">
            <w:pPr>
              <w:rPr/>
            </w:pPr>
            <w:r>
              <w:rPr>
                <w:sz w:val="19"/>
                <w:szCs w:val="19"/>
              </w:rPr>
              <w:t xml:space="preserve">Credit purchases and retirements</w:t>
            </w:r>
          </w:p>
        </w:tc>
        <w:tc>
          <w:tcPr>
            <w:tcW w:w="3400" w:type="dxa"/>
            <w:tcMar>
              <w:top w:w="80" w:type="dxa"/>
              <w:left w:w="100" w:type="dxa"/>
              <w:bottom w:w="80" w:type="dxa"/>
              <w:right w:w="100" w:type="dxa"/>
            </w:tcMar>
          </w:tcPr>
          <w:p w:rsidR="00000000" w:rsidRDefault="00000000" w14:paraId="6B000010">
            <w:pPr>
              <w:rPr/>
            </w:pPr>
            <w:r>
              <w:rPr>
                <w:sz w:val="19"/>
                <w:szCs w:val="19"/>
              </w:rPr>
              <w:t xml:space="preserve">Dashboard and REST API only</w:t>
            </w:r>
          </w:p>
        </w:tc>
        <w:tc>
          <w:tcPr>
            <w:tcW w:w="3600" w:type="dxa"/>
            <w:tcMar>
              <w:top w:w="80" w:type="dxa"/>
              <w:left w:w="100" w:type="dxa"/>
              <w:bottom w:w="80" w:type="dxa"/>
              <w:right w:w="100" w:type="dxa"/>
            </w:tcMar>
          </w:tcPr>
          <w:p w:rsidR="00000000" w:rsidRDefault="00000000" w14:paraId="6B000011">
            <w:pPr>
              <w:rPr/>
            </w:pPr>
            <w:r>
              <w:rPr>
                <w:sz w:val="19"/>
                <w:szCs w:val="19"/>
              </w:rPr>
              <w:t xml:space="preserve">Every financial or credit transaction</w:t>
            </w:r>
          </w:p>
        </w:tc>
      </w:tr>
      <w:tr>
        <w:trPr>
          <w:cantSplit/>
        </w:trPr>
        <w:tc>
          <w:tcPr>
            <w:tcW w:w="2600" w:type="dxa"/>
            <w:tcMar>
              <w:top w:w="80" w:type="dxa"/>
              <w:left w:w="100" w:type="dxa"/>
              <w:bottom w:w="80" w:type="dxa"/>
              <w:right w:w="100" w:type="dxa"/>
            </w:tcMar>
          </w:tcPr>
          <w:p w:rsidR="00000000" w:rsidRDefault="00000000" w14:paraId="6B000012">
            <w:pPr>
              <w:rPr/>
            </w:pPr>
            <w:r>
              <w:rPr>
                <w:sz w:val="19"/>
                <w:szCs w:val="19"/>
              </w:rPr>
              <w:t xml:space="preserve">Conversational reporting</w:t>
            </w:r>
          </w:p>
        </w:tc>
        <w:tc>
          <w:tcPr>
            <w:tcW w:w="3400" w:type="dxa"/>
            <w:tcMar>
              <w:top w:w="80" w:type="dxa"/>
              <w:left w:w="100" w:type="dxa"/>
              <w:bottom w:w="80" w:type="dxa"/>
              <w:right w:w="100" w:type="dxa"/>
            </w:tcMar>
          </w:tcPr>
          <w:p w:rsidR="00000000" w:rsidRDefault="00000000" w14:paraId="6B000013">
            <w:pPr>
              <w:rPr/>
            </w:pPr>
            <w:r>
              <w:rPr>
                <w:sz w:val="19"/>
                <w:szCs w:val="19"/>
              </w:rPr>
              <w:t xml:space="preserve">MCP: Subscriber reporting and Provider insights servers (§23.3–§23.4)</w:t>
            </w:r>
          </w:p>
        </w:tc>
        <w:tc>
          <w:tcPr>
            <w:tcW w:w="3600" w:type="dxa"/>
            <w:tcMar>
              <w:top w:w="80" w:type="dxa"/>
              <w:left w:w="100" w:type="dxa"/>
              <w:bottom w:w="80" w:type="dxa"/>
              <w:right w:w="100" w:type="dxa"/>
            </w:tcMar>
          </w:tcPr>
          <w:p w:rsidR="00000000" w:rsidRDefault="00000000" w14:paraId="6B000014">
            <w:pPr>
              <w:rPr/>
            </w:pPr>
            <w:r>
              <w:rPr>
                <w:sz w:val="19"/>
                <w:szCs w:val="19"/>
              </w:rPr>
              <w:t xml:space="preserve">Questions, explanations, recommendations, quotes</w:t>
            </w:r>
          </w:p>
        </w:tc>
      </w:tr>
      <w:tr>
        <w:trPr>
          <w:cantSplit/>
        </w:trPr>
        <w:tc>
          <w:tcPr>
            <w:tcW w:w="2600" w:type="dxa"/>
            <w:tcMar>
              <w:top w:w="80" w:type="dxa"/>
              <w:left w:w="100" w:type="dxa"/>
              <w:bottom w:w="80" w:type="dxa"/>
              <w:right w:w="100" w:type="dxa"/>
            </w:tcMar>
          </w:tcPr>
          <w:p w:rsidR="00000000" w:rsidRDefault="00000000" w14:paraId="6B000015">
            <w:pPr>
              <w:rPr/>
            </w:pPr>
            <w:r>
              <w:rPr>
                <w:sz w:val="19"/>
                <w:szCs w:val="19"/>
              </w:rPr>
              <w:t xml:space="preserve">Operator lifecycle updates</w:t>
            </w:r>
          </w:p>
        </w:tc>
        <w:tc>
          <w:tcPr>
            <w:tcW w:w="3400" w:type="dxa"/>
            <w:tcMar>
              <w:top w:w="80" w:type="dxa"/>
              <w:left w:w="100" w:type="dxa"/>
              <w:bottom w:w="80" w:type="dxa"/>
              <w:right w:w="100" w:type="dxa"/>
            </w:tcMar>
          </w:tcPr>
          <w:p w:rsidR="00000000" w:rsidRDefault="00000000" w14:paraId="6B000016">
            <w:pPr>
              <w:rPr/>
            </w:pPr>
            <w:r>
              <w:rPr>
                <w:sz w:val="19"/>
                <w:szCs w:val="19"/>
              </w:rPr>
              <w:t xml:space="preserve">MCP: operator server with propose/confirm (§23.5)</w:t>
            </w:r>
          </w:p>
        </w:tc>
        <w:tc>
          <w:tcPr>
            <w:tcW w:w="3600" w:type="dxa"/>
            <w:tcMar>
              <w:top w:w="80" w:type="dxa"/>
              <w:left w:w="100" w:type="dxa"/>
              <w:bottom w:w="80" w:type="dxa"/>
              <w:right w:w="100" w:type="dxa"/>
            </w:tcMar>
          </w:tcPr>
          <w:p w:rsidR="00000000" w:rsidRDefault="00000000" w14:paraId="6B000017">
            <w:pPr>
              <w:rPr/>
            </w:pPr>
            <w:r>
              <w:rPr>
                <w:sz w:val="19"/>
                <w:szCs w:val="19"/>
              </w:rPr>
              <w:t xml:space="preserve">Individual state changes; bulk imports use the API</w:t>
            </w:r>
          </w:p>
        </w:tc>
      </w:tr>
    </w:tbl>
    <w:p w:rsidR="00000000" w:rsidRDefault="00000000" w14:paraId="6B000018">
      <w:pPr>
        <w:spacing w:after="120"/>
        <w:rPr/>
      </w:pPr>
    </w:p>
    <w:p w:rsidR="00000000" w:rsidDel="00000000" w:rsidP="00000000" w:rsidRDefault="00000000" w:rsidRPr="00000000" w14:paraId="00000196">
      <w:pPr>
        <w:pStyle w:val="Heading1"/>
        <w:spacing w:after="160" w:before="360" w:lineRule="auto"/>
        <w:rPr/>
      </w:pPr>
      <w:r>
        <w:rPr>
          <w:b w:val="1"/>
          <w:bCs w:val="1"/>
          <w:color w:val="0f4a2e"/>
          <w:sz w:val="30"/>
          <w:szCs w:val="30"/>
          <w:rtl w:val="0"/>
        </w:rPr>
        <w:t xml:space="preserve">10. Remediation Provider and Subscriber Architecture</w:t>
      </w:r>
      <w:r>
        <w:rPr>
          <w:rtl w:val="0"/>
        </w:rPr>
      </w:r>
    </w:p>
    <w:p w:rsidR="00000000" w:rsidDel="00000000" w:rsidP="00000000" w:rsidRDefault="00000000" w:rsidRPr="00000000" w14:paraId="00000197">
      <w:pPr>
        <w:spacing w:after="140" w:lineRule="auto"/>
        <w:rPr/>
      </w:pPr>
      <w:r>
        <w:rPr>
          <w:sz w:val="21"/>
          <w:szCs w:val="21"/>
          <w:rtl w:val="0"/>
        </w:rPr>
        <w:t xml:space="preserve">The remediation call-to-action introduced in §6.2 and the donation flow in §18 both assume something that has not, until now, been specified: how Stardust actually connects a user's measured impact to a real-world carbon-sequestration or habitat-restoration action. This section defines that connection as a three-layer model, deliberately modeled on two familiar plug-and-play patterns: remediation providers attach the way print drivers attach to an operating system's print spooler, and subscribing applications attach the way client apps talk to a background OS service — with AIforE's Stardust Core acting as the broker in the middle, the same way the OS mediates between drivers and applications without either side needing to know about the other directly.</w:t>
      </w:r>
      <w:r>
        <w:rPr>
          <w:rtl w:val="0"/>
        </w:rPr>
      </w:r>
    </w:p>
    <w:p w:rsidR="00000000" w:rsidDel="00000000" w:rsidP="00000000" w:rsidRDefault="00000000" w:rsidRPr="00000000" w14:paraId="00000198">
      <w:pPr>
        <w:pStyle w:val="Heading2"/>
        <w:spacing w:after="120" w:before="280" w:lineRule="auto"/>
        <w:rPr/>
      </w:pPr>
      <w:r>
        <w:rPr>
          <w:b w:val="1"/>
          <w:bCs w:val="1"/>
          <w:color w:val="1e7a4c"/>
          <w:sz w:val="24"/>
          <w:szCs w:val="24"/>
          <w:rtl w:val="0"/>
        </w:rPr>
        <w:t xml:space="preserve">10.1 The Three Layers</w:t>
      </w:r>
      <w:r>
        <w:rPr>
          <w:rtl w:val="0"/>
        </w:rPr>
      </w:r>
    </w:p>
    <w:tbl>
      <w:tblPr>
        <w:tblStyle w:val="Table1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3800"/>
        <w:tblGridChange w:id="0">
          <w:tblGrid>
            <w:gridCol w:w="2400"/>
            <w:gridCol w:w="4200"/>
            <w:gridCol w:w="3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99">
            <w:pPr>
              <w:rPr/>
            </w:pPr>
            <w:r>
              <w:rPr>
                <w:b w:val="1"/>
                <w:bCs w:val="1"/>
                <w:color w:val="ffffff"/>
                <w:sz w:val="19"/>
                <w:szCs w:val="19"/>
                <w:rtl w:val="0"/>
              </w:rPr>
              <w:t xml:space="preserve">Layer</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9A">
            <w:pPr>
              <w:rPr/>
            </w:pPr>
            <w:r>
              <w:rPr>
                <w:b w:val="1"/>
                <w:bCs w:val="1"/>
                <w:color w:val="ffffff"/>
                <w:sz w:val="19"/>
                <w:szCs w:val="19"/>
                <w:rtl w:val="0"/>
              </w:rPr>
              <w:t xml:space="preserve">Analogy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9B">
            <w:pPr>
              <w:rPr/>
            </w:pPr>
            <w:r>
              <w:rPr>
                <w:b w:val="1"/>
                <w:bCs w:val="1"/>
                <w:color w:val="ffffff"/>
                <w:sz w:val="19"/>
                <w:szCs w:val="19"/>
                <w:rtl w:val="0"/>
              </w:rPr>
              <w:t xml:space="preserve">Who's here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C">
            <w:pPr>
              <w:rPr/>
            </w:pPr>
            <w:r>
              <w:rPr>
                <w:sz w:val="19"/>
                <w:szCs w:val="19"/>
                <w:rtl w:val="0"/>
              </w:rPr>
              <w:t xml:space="preserve">Provider layer</w:t>
            </w:r>
            <w:r>
              <w:rPr>
                <w:rtl w:val="0"/>
              </w:rPr>
            </w:r>
          </w:p>
        </w:tc>
        <w:tc>
          <w:tcPr>
            <w:tcMar>
              <w:top w:w="80.0" w:type="dxa"/>
              <w:left w:w="100.0" w:type="dxa"/>
              <w:bottom w:w="80.0" w:type="dxa"/>
              <w:right w:w="100.0" w:type="dxa"/>
            </w:tcMar>
          </w:tcPr>
          <w:p w:rsidR="00000000" w:rsidDel="00000000" w:rsidP="00000000" w:rsidRDefault="00000000" w:rsidRPr="00000000" w14:paraId="0000019D">
            <w:pPr>
              <w:rPr/>
            </w:pPr>
            <w:r>
              <w:rPr>
                <w:sz w:val="19"/>
                <w:szCs w:val="19"/>
                <w:rtl w:val="0"/>
              </w:rPr>
              <w:t xml:space="preserve">Print drivers — each implements one standard interface to become available system-wide</w:t>
            </w:r>
            <w:r>
              <w:rPr>
                <w:rtl w:val="0"/>
              </w:rPr>
            </w:r>
          </w:p>
        </w:tc>
        <w:tc>
          <w:tcPr>
            <w:tcMar>
              <w:top w:w="80.0" w:type="dxa"/>
              <w:left w:w="100.0" w:type="dxa"/>
              <w:bottom w:w="80.0" w:type="dxa"/>
              <w:right w:w="100.0" w:type="dxa"/>
            </w:tcMar>
          </w:tcPr>
          <w:p w:rsidR="00000000" w:rsidDel="00000000" w:rsidP="00000000" w:rsidRDefault="00000000" w:rsidRPr="00000000" w14:paraId="0000019E">
            <w:pPr>
              <w:rPr/>
            </w:pPr>
            <w:r>
              <w:rPr>
                <w:sz w:val="19"/>
                <w:szCs w:val="19"/>
                <w:rtl w:val="0"/>
              </w:rPr>
              <w:t xml:space="preserve">Tree-planting and reforestation programs, kelp/blue-carbon restoration projects, direct air capture (DAC) and biochar operators, mangrove/seagrass restoration — and any future remediation category, added the same way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F">
            <w:pPr>
              <w:rPr/>
            </w:pPr>
            <w:r>
              <w:rPr>
                <w:sz w:val="19"/>
                <w:szCs w:val="19"/>
                <w:rtl w:val="0"/>
              </w:rPr>
              <w:t xml:space="preserve">AIforE middle layer</w:t>
            </w:r>
            <w:r>
              <w:rPr>
                <w:rtl w:val="0"/>
              </w:rPr>
            </w:r>
          </w:p>
        </w:tc>
        <w:tc>
          <w:tcPr>
            <w:tcMar>
              <w:top w:w="80.0" w:type="dxa"/>
              <w:left w:w="100.0" w:type="dxa"/>
              <w:bottom w:w="80.0" w:type="dxa"/>
              <w:right w:w="100.0" w:type="dxa"/>
            </w:tcMar>
          </w:tcPr>
          <w:p w:rsidR="00000000" w:rsidDel="00000000" w:rsidP="00000000" w:rsidRDefault="00000000" w:rsidRPr="00000000" w14:paraId="000001A0">
            <w:pPr>
              <w:rPr/>
            </w:pPr>
            <w:r>
              <w:rPr>
                <w:sz w:val="19"/>
                <w:szCs w:val="19"/>
                <w:rtl w:val="0"/>
              </w:rPr>
              <w:t xml:space="preserve">The OS print spooler — owns the driver registry, routes jobs, exposes one API to applications</w:t>
            </w:r>
            <w:r>
              <w:rPr>
                <w:rtl w:val="0"/>
              </w:rPr>
            </w:r>
          </w:p>
        </w:tc>
        <w:tc>
          <w:tcPr>
            <w:tcMar>
              <w:top w:w="80.0" w:type="dxa"/>
              <w:left w:w="100.0" w:type="dxa"/>
              <w:bottom w:w="80.0" w:type="dxa"/>
              <w:right w:w="100.0" w:type="dxa"/>
            </w:tcMar>
          </w:tcPr>
          <w:p w:rsidR="00000000" w:rsidDel="00000000" w:rsidP="00000000" w:rsidRDefault="00000000" w:rsidRPr="00000000" w14:paraId="000001A1">
            <w:pPr>
              <w:rPr/>
            </w:pPr>
            <w:r>
              <w:rPr>
                <w:sz w:val="19"/>
                <w:szCs w:val="19"/>
                <w:rtl w:val="0"/>
              </w:rPr>
              <w:t xml:space="preserve">Stardust Core's Remediation Registry and Broker (§10.4), part of the same Core described in §9.1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2">
            <w:pPr>
              <w:rPr/>
            </w:pPr>
            <w:r>
              <w:rPr>
                <w:sz w:val="19"/>
                <w:szCs w:val="19"/>
                <w:rtl w:val="0"/>
              </w:rPr>
              <w:t xml:space="preserve">Subscriber layer</w:t>
            </w:r>
            <w:r>
              <w:rPr>
                <w:rtl w:val="0"/>
              </w:rPr>
            </w:r>
          </w:p>
        </w:tc>
        <w:tc>
          <w:tcPr>
            <w:tcMar>
              <w:top w:w="80.0" w:type="dxa"/>
              <w:left w:w="100.0" w:type="dxa"/>
              <w:bottom w:w="80.0" w:type="dxa"/>
              <w:right w:w="100.0" w:type="dxa"/>
            </w:tcMar>
          </w:tcPr>
          <w:p w:rsidR="00000000" w:rsidDel="00000000" w:rsidP="00000000" w:rsidRDefault="00000000" w:rsidRPr="00000000" w14:paraId="000001A3">
            <w:pPr>
              <w:rPr/>
            </w:pPr>
            <w:r>
              <w:rPr>
                <w:sz w:val="19"/>
                <w:szCs w:val="19"/>
                <w:rtl w:val="0"/>
              </w:rPr>
              <w:t xml:space="preserve">Applications calling a Windows service — each talks to one documented API, never to the driver directly</w:t>
            </w:r>
            <w:r>
              <w:rPr>
                <w:rtl w:val="0"/>
              </w:rPr>
            </w:r>
          </w:p>
        </w:tc>
        <w:tc>
          <w:tcPr>
            <w:tcMar>
              <w:top w:w="80.0" w:type="dxa"/>
              <w:left w:w="100.0" w:type="dxa"/>
              <w:bottom w:w="80.0" w:type="dxa"/>
              <w:right w:w="100.0" w:type="dxa"/>
            </w:tcMar>
          </w:tcPr>
          <w:p w:rsidR="00000000" w:rsidDel="00000000" w:rsidP="00000000" w:rsidRDefault="00000000" w:rsidRPr="00000000" w14:paraId="000001A4">
            <w:pPr>
              <w:rPr/>
            </w:pPr>
            <w:r>
              <w:rPr>
                <w:sz w:val="19"/>
                <w:szCs w:val="19"/>
                <w:rtl w:val="0"/>
              </w:rPr>
              <w:t xml:space="preserve">Stardust's own chat-plugin/browser-extension/dashboard clients (§12), plus any third-party product built on the open core (§17) — any company can subscribe</w:t>
            </w:r>
            <w:r>
              <w:rPr>
                <w:rtl w:val="0"/>
              </w:rPr>
            </w:r>
          </w:p>
        </w:tc>
      </w:tr>
    </w:tbl>
    <w:p w:rsidR="00000000" w:rsidDel="00000000" w:rsidP="00000000" w:rsidRDefault="00000000" w:rsidRPr="00000000" w14:paraId="000001A5">
      <w:pPr>
        <w:spacing w:after="140" w:lineRule="auto"/>
        <w:rPr/>
      </w:pPr>
      <w:r>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provider only has to implement the interface once (§10.2) to become available to every current and future subscriber, without either side writing integration code against the other — the same reason a printer manufacturer writes one driver rather than one integration per application.</w:t>
      </w:r>
      <w:r>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subscriber only has to integrate against the broker's one API (§10.3) to offer remediation and donation actions to its own users, without maintaining a relationship with every individual tree-planting or kelp-restoration organization itself.</w:t>
      </w:r>
      <w:r>
        <w:rPr>
          <w:rtl w:val="0"/>
        </w:rPr>
      </w:r>
    </w:p>
    <w:p w:rsidR="00000000" w:rsidRDefault="00000000" w14:paraId="7D000004">
      <w:pPr>
        <w:spacing w:after="140" w:lineRule="auto"/>
        <w:rPr/>
      </w:pPr>
      <w:r>
        <w:rPr>
          <w:sz w:val="21"/>
          <w:szCs w:val="21"/>
        </w:rPr>
        <w:t xml:space="preserve">As of v1.2 the Provider layer is no longer limited to carbon remediation. Renewable energy generators, water restoration, recycling and remediation operators, heat recovery operators, and materials recyclers join through the same interface, and each is matched to Subscribers like for like by impact dimension (§22).</w:t>
      </w:r>
    </w:p>
    <w:p w:rsidR="00000000" w:rsidDel="00000000" w:rsidP="00000000" w:rsidRDefault="00000000" w:rsidRPr="00000000" w14:paraId="000001A8">
      <w:pPr>
        <w:pStyle w:val="Heading2"/>
        <w:spacing w:after="120" w:before="280" w:lineRule="auto"/>
        <w:rPr/>
      </w:pPr>
      <w:r>
        <w:rPr>
          <w:b w:val="1"/>
          <w:bCs w:val="1"/>
          <w:color w:val="1e7a4c"/>
          <w:sz w:val="24"/>
          <w:szCs w:val="24"/>
          <w:rtl w:val="0"/>
        </w:rPr>
        <w:t xml:space="preserve">10.2 Provider SDK</w:t>
      </w:r>
      <w:r>
        <w:rPr>
          <w:rtl w:val="0"/>
        </w:rPr>
      </w:r>
    </w:p>
    <w:p w:rsidR="00000000" w:rsidDel="00000000" w:rsidP="00000000" w:rsidRDefault="00000000" w:rsidRPr="00000000" w14:paraId="000001A9">
      <w:pPr>
        <w:spacing w:after="140" w:lineRule="auto"/>
        <w:rPr/>
      </w:pPr>
      <w:r>
        <w:rPr>
          <w:sz w:val="21"/>
          <w:szCs w:val="21"/>
          <w:rtl w:val="0"/>
        </w:rPr>
        <w:t xml:space="preserve">The Remediation Provider Interface is the standard contract every provider implements, regardless of remediation category. It is part of the open core (§17) — published, versioned, and implementable by any organization without needing AIforE's permission to write against it, the same way Windows documents its print driver model rather than gatekeeping who can implement one.</w:t>
      </w:r>
      <w:r>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AA">
            <w:pPr>
              <w:rPr/>
            </w:pPr>
            <w:r>
              <w:rPr>
                <w:b w:val="1"/>
                <w:bCs w:val="1"/>
                <w:color w:val="ffffff"/>
                <w:sz w:val="19"/>
                <w:szCs w:val="19"/>
                <w:rtl w:val="0"/>
              </w:rPr>
              <w:t xml:space="preserve">Interface method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AB">
            <w:pPr>
              <w:rPr/>
            </w:pPr>
            <w:r>
              <w:rPr>
                <w:b w:val="1"/>
                <w:bCs w:val="1"/>
                <w:color w:val="ffffff"/>
                <w:sz w:val="19"/>
                <w:szCs w:val="19"/>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C">
            <w:pPr>
              <w:rPr/>
            </w:pPr>
            <w:r>
              <w:rPr>
                <w:sz w:val="19"/>
                <w:szCs w:val="19"/>
                <w:rtl w:val="0"/>
              </w:rPr>
              <w:t xml:space="preserve">register_provider()</w:t>
            </w:r>
            <w:r>
              <w:rPr>
                <w:rtl w:val="0"/>
              </w:rPr>
            </w:r>
          </w:p>
        </w:tc>
        <w:tc>
          <w:tcPr>
            <w:tcMar>
              <w:top w:w="80.0" w:type="dxa"/>
              <w:left w:w="100.0" w:type="dxa"/>
              <w:bottom w:w="80.0" w:type="dxa"/>
              <w:right w:w="100.0" w:type="dxa"/>
            </w:tcMar>
          </w:tcPr>
          <w:p w:rsidR="00000000" w:rsidDel="00000000" w:rsidP="00000000" w:rsidRDefault="00000000" w:rsidRPr="00000000" w14:paraId="000001AD">
            <w:pPr>
              <w:rPr/>
            </w:pPr>
            <w:r>
              <w:rPr>
                <w:sz w:val="19"/>
                <w:szCs w:val="19"/>
                <w:rtl w:val="0"/>
              </w:rPr>
              <w:t xml:space="preserve">Declares provider identity, remediation category (reforestation, blue carbon, DAC, biochar, mangrove/seagrass, other), and certification status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E">
            <w:pPr>
              <w:rPr/>
            </w:pPr>
            <w:r>
              <w:rPr>
                <w:sz w:val="19"/>
                <w:szCs w:val="19"/>
                <w:rtl w:val="0"/>
              </w:rPr>
              <w:t xml:space="preserve">get_catalog()</w:t>
            </w:r>
            <w:r>
              <w:rPr>
                <w:rtl w:val="0"/>
              </w:rPr>
            </w:r>
          </w:p>
        </w:tc>
        <w:tc>
          <w:tcPr>
            <w:tcMar>
              <w:top w:w="80.0" w:type="dxa"/>
              <w:left w:w="100.0" w:type="dxa"/>
              <w:bottom w:w="80.0" w:type="dxa"/>
              <w:right w:w="100.0" w:type="dxa"/>
            </w:tcMar>
          </w:tcPr>
          <w:p w:rsidR="00000000" w:rsidDel="00000000" w:rsidP="00000000" w:rsidRDefault="00000000" w:rsidRPr="00000000" w14:paraId="000001AF">
            <w:pPr>
              <w:rPr/>
            </w:pPr>
            <w:r>
              <w:rPr>
                <w:sz w:val="19"/>
                <w:szCs w:val="19"/>
                <w:rtl w:val="0"/>
              </w:rPr>
              <w:t xml:space="preserve">Lists the provider's available remediation products or projects — region, capacity, price — for the broker's registry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0">
            <w:pPr>
              <w:rPr/>
            </w:pPr>
            <w:r>
              <w:rPr>
                <w:sz w:val="19"/>
                <w:szCs w:val="19"/>
                <w:rtl w:val="0"/>
              </w:rPr>
              <w:t xml:space="preserve">quote(co2e_g)</w:t>
            </w:r>
            <w:r>
              <w:rPr>
                <w:rtl w:val="0"/>
              </w:rPr>
            </w:r>
          </w:p>
        </w:tc>
        <w:tc>
          <w:tcPr>
            <w:tcMar>
              <w:top w:w="80.0" w:type="dxa"/>
              <w:left w:w="100.0" w:type="dxa"/>
              <w:bottom w:w="80.0" w:type="dxa"/>
              <w:right w:w="100.0" w:type="dxa"/>
            </w:tcMar>
          </w:tcPr>
          <w:p w:rsidR="00000000" w:rsidDel="00000000" w:rsidP="00000000" w:rsidRDefault="00000000" w:rsidRPr="00000000" w14:paraId="000001B1">
            <w:pPr>
              <w:rPr/>
            </w:pPr>
            <w:r>
              <w:rPr>
                <w:sz w:val="19"/>
                <w:szCs w:val="19"/>
                <w:rtl w:val="0"/>
              </w:rPr>
              <w:t xml:space="preserve">Returns a cost and fulfillment-time estimate for sequestering a given quantity of CO2e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2">
            <w:pPr>
              <w:rPr/>
            </w:pPr>
            <w:r>
              <w:rPr>
                <w:sz w:val="19"/>
                <w:szCs w:val="19"/>
                <w:rtl w:val="0"/>
              </w:rPr>
              <w:t xml:space="preserve">fulfill(order)</w:t>
            </w:r>
            <w:r>
              <w:rPr>
                <w:rtl w:val="0"/>
              </w:rPr>
            </w:r>
          </w:p>
        </w:tc>
        <w:tc>
          <w:tcPr>
            <w:tcMar>
              <w:top w:w="80.0" w:type="dxa"/>
              <w:left w:w="100.0" w:type="dxa"/>
              <w:bottom w:w="80.0" w:type="dxa"/>
              <w:right w:w="100.0" w:type="dxa"/>
            </w:tcMar>
          </w:tcPr>
          <w:p w:rsidR="00000000" w:rsidDel="00000000" w:rsidP="00000000" w:rsidRDefault="00000000" w:rsidRPr="00000000" w14:paraId="000001B3">
            <w:pPr>
              <w:rPr/>
            </w:pPr>
            <w:r>
              <w:rPr>
                <w:sz w:val="19"/>
                <w:szCs w:val="19"/>
                <w:rtl w:val="0"/>
              </w:rPr>
              <w:t xml:space="preserve">Executes and records a remediation purchase against a specific subscriber-originated order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4">
            <w:pPr>
              <w:rPr/>
            </w:pPr>
            <w:r>
              <w:rPr>
                <w:sz w:val="19"/>
                <w:szCs w:val="19"/>
                <w:rtl w:val="0"/>
              </w:rPr>
              <w:t xml:space="preserve">get_certificate() / verify()</w:t>
            </w:r>
            <w:r>
              <w:rPr>
                <w:rtl w:val="0"/>
              </w:rPr>
            </w:r>
          </w:p>
        </w:tc>
        <w:tc>
          <w:tcPr>
            <w:tcMar>
              <w:top w:w="80.0" w:type="dxa"/>
              <w:left w:w="100.0" w:type="dxa"/>
              <w:bottom w:w="80.0" w:type="dxa"/>
              <w:right w:w="100.0" w:type="dxa"/>
            </w:tcMar>
          </w:tcPr>
          <w:p w:rsidR="00000000" w:rsidDel="00000000" w:rsidP="00000000" w:rsidRDefault="00000000" w:rsidRPr="00000000" w14:paraId="000001B5">
            <w:pPr>
              <w:rPr/>
            </w:pPr>
            <w:r>
              <w:rPr>
                <w:sz w:val="19"/>
                <w:szCs w:val="19"/>
                <w:rtl w:val="0"/>
              </w:rPr>
              <w:t xml:space="preserve">Returns proof of fulfillment — a Verra/Gold Standard credit serial number where one exists, or a provider attestation where no formal standard exists yet (§10.2.1)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6">
            <w:pPr>
              <w:rPr/>
            </w:pPr>
            <w:r>
              <w:rPr>
                <w:sz w:val="19"/>
                <w:szCs w:val="19"/>
                <w:rtl w:val="0"/>
              </w:rPr>
              <w:t xml:space="preserve">report_status(order_id)</w:t>
            </w:r>
            <w:r>
              <w:rPr>
                <w:rtl w:val="0"/>
              </w:rPr>
            </w:r>
          </w:p>
        </w:tc>
        <w:tc>
          <w:tcPr>
            <w:tcMar>
              <w:top w:w="80.0" w:type="dxa"/>
              <w:left w:w="100.0" w:type="dxa"/>
              <w:bottom w:w="80.0" w:type="dxa"/>
              <w:right w:w="100.0" w:type="dxa"/>
            </w:tcMar>
          </w:tcPr>
          <w:p w:rsidR="00000000" w:rsidDel="00000000" w:rsidP="00000000" w:rsidRDefault="00000000" w:rsidRPr="00000000" w14:paraId="000001B7">
            <w:pPr>
              <w:rPr/>
            </w:pPr>
            <w:r>
              <w:rPr>
                <w:sz w:val="19"/>
                <w:szCs w:val="19"/>
                <w:rtl w:val="0"/>
              </w:rPr>
              <w:t xml:space="preserve">Ongoing fulfillment status for orders that complete over time (e.g., a tree's multi-year growth horizon, §2 of the cited tree-offset methodology sources)</w:t>
            </w:r>
            <w:r>
              <w:rPr>
                <w:rtl w:val="0"/>
              </w:rPr>
            </w:r>
          </w:p>
        </w:tc>
      </w:tr>
    </w:tbl>
    <w:p w:rsidR="00000000" w:rsidDel="00000000" w:rsidP="00000000" w:rsidRDefault="00000000" w:rsidRPr="00000000" w14:paraId="000001B8">
      <w:pPr>
        <w:spacing w:after="140" w:lineRule="auto"/>
        <w:rPr/>
      </w:pPr>
      <w:r>
        <w:rPr>
          <w:rtl w:val="0"/>
        </w:rPr>
      </w:r>
    </w:p>
    <w:p w:rsidR="00000000" w:rsidRDefault="00000000" w14:paraId="7D000005">
      <w:pPr>
        <w:spacing w:after="140" w:lineRule="auto"/>
        <w:rPr/>
      </w:pPr>
      <w:r>
        <w:rPr>
          <w:sz w:val="21"/>
          <w:szCs w:val="21"/>
        </w:rPr>
        <w:t xml:space="preserve">Multi-attribute extension (§22.4–§22.5): register_provider() accepts the additional categories renewable energy (REN), water restoration and recycling (WRR), heat recovery (HRC) and materials recycling (RCY), and quote() generalizes from a CO2e quantity to an impact vector covering carbon, electricity, water, heat and materials.</w:t>
      </w:r>
    </w:p>
    <w:p w:rsidR="00000000" w:rsidDel="00000000" w:rsidP="00000000" w:rsidRDefault="00000000" w:rsidRPr="00000000" w14:paraId="000001B9">
      <w:pPr>
        <w:pStyle w:val="Heading3"/>
        <w:spacing w:after="100" w:before="200" w:lineRule="auto"/>
        <w:rPr/>
      </w:pPr>
      <w:r>
        <w:rPr>
          <w:b w:val="1"/>
          <w:bCs w:val="1"/>
          <w:color w:val="333333"/>
          <w:sz w:val="21"/>
          <w:szCs w:val="21"/>
          <w:rtl w:val="0"/>
        </w:rPr>
        <w:t xml:space="preserve">10.2.1 Provider Confidence Tiers</w:t>
      </w:r>
      <w:r>
        <w:rPr>
          <w:rtl w:val="0"/>
        </w:rPr>
      </w:r>
    </w:p>
    <w:p w:rsidR="00000000" w:rsidDel="00000000" w:rsidP="00000000" w:rsidRDefault="00000000" w:rsidRPr="00000000" w14:paraId="000001BA">
      <w:pPr>
        <w:spacing w:after="140" w:lineRule="auto"/>
        <w:rPr/>
      </w:pPr>
      <w:r>
        <w:rPr>
          <w:sz w:val="21"/>
          <w:szCs w:val="21"/>
          <w:rtl w:val="0"/>
        </w:rPr>
        <w:t xml:space="preserve">Remediation categories are not equally verifiable, and the broker applies the same confidence-tier discipline already established for environmental figures (§8.1–§8.3) to providers themselves, so every subscriber sees consistent labeling no matter which specific provider fulfills an order.</w:t>
      </w:r>
      <w:r>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BB">
            <w:pPr>
              <w:rPr/>
            </w:pPr>
            <w:r>
              <w:rPr>
                <w:b w:val="1"/>
                <w:bCs w:val="1"/>
                <w:color w:val="ffffff"/>
                <w:sz w:val="19"/>
                <w:szCs w:val="19"/>
                <w:rtl w:val="0"/>
              </w:rPr>
              <w:t xml:space="preserve">Tier</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BC">
            <w:pPr>
              <w:rPr/>
            </w:pPr>
            <w:r>
              <w:rPr>
                <w:b w:val="1"/>
                <w:bCs w:val="1"/>
                <w:color w:val="ffffff"/>
                <w:sz w:val="19"/>
                <w:szCs w:val="19"/>
                <w:rtl w:val="0"/>
              </w:rPr>
              <w:t xml:space="preserve">Category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BD">
            <w:pPr>
              <w:rPr/>
            </w:pPr>
            <w:r>
              <w:rPr>
                <w:b w:val="1"/>
                <w:bCs w:val="1"/>
                <w:color w:val="ffffff"/>
                <w:sz w:val="19"/>
                <w:szCs w:val="19"/>
                <w:rtl w:val="0"/>
              </w:rPr>
              <w:t xml:space="preserve">Examples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E">
            <w:pPr>
              <w:rPr/>
            </w:pPr>
            <w:r>
              <w:rPr>
                <w:sz w:val="19"/>
                <w:szCs w:val="19"/>
                <w:rtl w:val="0"/>
              </w:rPr>
              <w:t xml:space="preserve">Verified / standard-backed</w:t>
            </w:r>
            <w:r>
              <w:rPr>
                <w:rtl w:val="0"/>
              </w:rPr>
            </w:r>
          </w:p>
        </w:tc>
        <w:tc>
          <w:tcPr>
            <w:tcMar>
              <w:top w:w="80.0" w:type="dxa"/>
              <w:left w:w="100.0" w:type="dxa"/>
              <w:bottom w:w="80.0" w:type="dxa"/>
              <w:right w:w="100.0" w:type="dxa"/>
            </w:tcMar>
          </w:tcPr>
          <w:p w:rsidR="00000000" w:rsidDel="00000000" w:rsidP="00000000" w:rsidRDefault="00000000" w:rsidRPr="00000000" w14:paraId="000001BF">
            <w:pPr>
              <w:rPr/>
            </w:pPr>
            <w:r>
              <w:rPr>
                <w:sz w:val="19"/>
                <w:szCs w:val="19"/>
                <w:rtl w:val="0"/>
              </w:rPr>
              <w:t xml:space="preserve">Certified under an established methodology (Verra, Gold Standard) with third-party verification</w:t>
            </w:r>
            <w:r>
              <w:rPr>
                <w:rtl w:val="0"/>
              </w:rPr>
            </w:r>
          </w:p>
        </w:tc>
        <w:tc>
          <w:tcPr>
            <w:tcMar>
              <w:top w:w="80.0" w:type="dxa"/>
              <w:left w:w="100.0" w:type="dxa"/>
              <w:bottom w:w="80.0" w:type="dxa"/>
              <w:right w:w="100.0" w:type="dxa"/>
            </w:tcMar>
          </w:tcPr>
          <w:p w:rsidR="00000000" w:rsidDel="00000000" w:rsidP="00000000" w:rsidRDefault="00000000" w:rsidRPr="00000000" w14:paraId="000001C0">
            <w:pPr>
              <w:rPr/>
            </w:pPr>
            <w:r>
              <w:rPr>
                <w:sz w:val="19"/>
                <w:szCs w:val="19"/>
                <w:rtl w:val="0"/>
              </w:rPr>
              <w:t xml:space="preserve">Certified reforestation credits; typically $15–$30/ton CO2, with lower-cost uncertified tree-planting programs offered separately and labeled as a different product, not an equivalent credit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1">
            <w:pPr>
              <w:rPr/>
            </w:pPr>
            <w:r>
              <w:rPr>
                <w:sz w:val="19"/>
                <w:szCs w:val="19"/>
                <w:rtl w:val="0"/>
              </w:rPr>
              <w:t xml:space="preserve">Emerging / methodology-immature</w:t>
            </w:r>
            <w:r>
              <w:rPr>
                <w:rtl w:val="0"/>
              </w:rPr>
            </w:r>
          </w:p>
        </w:tc>
        <w:tc>
          <w:tcPr>
            <w:tcMar>
              <w:top w:w="80.0" w:type="dxa"/>
              <w:left w:w="100.0" w:type="dxa"/>
              <w:bottom w:w="80.0" w:type="dxa"/>
              <w:right w:w="100.0" w:type="dxa"/>
            </w:tcMar>
          </w:tcPr>
          <w:p w:rsidR="00000000" w:rsidDel="00000000" w:rsidP="00000000" w:rsidRDefault="00000000" w:rsidRPr="00000000" w14:paraId="000001C2">
            <w:pPr>
              <w:rPr/>
            </w:pPr>
            <w:r>
              <w:rPr>
                <w:sz w:val="19"/>
                <w:szCs w:val="19"/>
                <w:rtl w:val="0"/>
              </w:rPr>
              <w:t xml:space="preserve">Scientifically documented sequestration with no formally recognized crediting methodology yet</w:t>
            </w:r>
            <w:r>
              <w:rPr>
                <w:rtl w:val="0"/>
              </w:rPr>
            </w:r>
          </w:p>
        </w:tc>
        <w:tc>
          <w:tcPr>
            <w:tcMar>
              <w:top w:w="80.0" w:type="dxa"/>
              <w:left w:w="100.0" w:type="dxa"/>
              <w:bottom w:w="80.0" w:type="dxa"/>
              <w:right w:w="100.0" w:type="dxa"/>
            </w:tcMar>
          </w:tcPr>
          <w:p w:rsidR="00000000" w:rsidDel="00000000" w:rsidP="00000000" w:rsidRDefault="00000000" w:rsidRPr="00000000" w14:paraId="000001C3">
            <w:pPr>
              <w:rPr/>
            </w:pPr>
            <w:r>
              <w:rPr>
                <w:sz w:val="19"/>
                <w:szCs w:val="19"/>
                <w:rtl w:val="0"/>
              </w:rPr>
              <w:t xml:space="preserve">Kelp and other blue-carbon restoration — no Gold Standard or Verra kelp methodology exists as of this draft; providers in this tier are surfaced with an explicit “emerging, not independently verified” label, never presented at the same confidence level as Tier 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4">
            <w:pPr>
              <w:rPr/>
            </w:pPr>
            <w:r>
              <w:rPr>
                <w:sz w:val="19"/>
                <w:szCs w:val="19"/>
                <w:rtl w:val="0"/>
              </w:rPr>
              <w:t xml:space="preserve">Engineered / durable</w:t>
            </w:r>
            <w:r>
              <w:rPr>
                <w:rtl w:val="0"/>
              </w:rPr>
            </w:r>
          </w:p>
        </w:tc>
        <w:tc>
          <w:tcPr>
            <w:tcMar>
              <w:top w:w="80.0" w:type="dxa"/>
              <w:left w:w="100.0" w:type="dxa"/>
              <w:bottom w:w="80.0" w:type="dxa"/>
              <w:right w:w="100.0" w:type="dxa"/>
            </w:tcMar>
          </w:tcPr>
          <w:p w:rsidR="00000000" w:rsidDel="00000000" w:rsidP="00000000" w:rsidRDefault="00000000" w:rsidRPr="00000000" w14:paraId="000001C5">
            <w:pPr>
              <w:rPr/>
            </w:pPr>
            <w:r>
              <w:rPr>
                <w:sz w:val="19"/>
                <w:szCs w:val="19"/>
                <w:rtl w:val="0"/>
              </w:rPr>
              <w:t xml:space="preserve">High-permanence removal, generally at a materially higher cost per ton</w:t>
            </w:r>
            <w:r>
              <w:rPr>
                <w:rtl w:val="0"/>
              </w:rPr>
            </w:r>
          </w:p>
        </w:tc>
        <w:tc>
          <w:tcPr>
            <w:tcMar>
              <w:top w:w="80.0" w:type="dxa"/>
              <w:left w:w="100.0" w:type="dxa"/>
              <w:bottom w:w="80.0" w:type="dxa"/>
              <w:right w:w="100.0" w:type="dxa"/>
            </w:tcMar>
          </w:tcPr>
          <w:p w:rsidR="00000000" w:rsidDel="00000000" w:rsidP="00000000" w:rsidRDefault="00000000" w:rsidRPr="00000000" w14:paraId="000001C6">
            <w:pPr>
              <w:rPr/>
            </w:pPr>
            <w:r>
              <w:rPr>
                <w:sz w:val="19"/>
                <w:szCs w:val="19"/>
                <w:rtl w:val="0"/>
              </w:rPr>
              <w:t xml:space="preserve">Direct air capture, biochar — offered for subscribers prioritizing permanence over cost</w:t>
            </w:r>
            <w:r>
              <w:rPr>
                <w:rtl w:val="0"/>
              </w:rPr>
            </w:r>
          </w:p>
        </w:tc>
      </w:tr>
    </w:tbl>
    <w:p w:rsidR="00000000" w:rsidDel="00000000" w:rsidP="00000000" w:rsidRDefault="00000000" w:rsidRPr="00000000" w14:paraId="000001C7">
      <w:pPr>
        <w:spacing w:after="140" w:lineRule="auto"/>
        <w:rPr/>
      </w:pPr>
      <w:r>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provider's tier is a property the broker enforces at the registry level (§10.4), not something a provider self-declares — the same way a print spooler, not the driver, decides what capabilities get exposed to applications.</w:t>
      </w:r>
      <w:r>
        <w:rPr>
          <w:rtl w:val="0"/>
        </w:rPr>
      </w:r>
    </w:p>
    <w:p w:rsidR="00000000" w:rsidDel="00000000" w:rsidP="00000000" w:rsidRDefault="00000000" w:rsidRPr="00000000" w14:paraId="000001C9">
      <w:pPr>
        <w:pStyle w:val="Heading2"/>
        <w:spacing w:after="120" w:before="280" w:lineRule="auto"/>
        <w:rPr/>
      </w:pPr>
      <w:r>
        <w:rPr>
          <w:b w:val="1"/>
          <w:bCs w:val="1"/>
          <w:color w:val="1e7a4c"/>
          <w:sz w:val="24"/>
          <w:szCs w:val="24"/>
          <w:rtl w:val="0"/>
        </w:rPr>
        <w:t xml:space="preserve">10.3 Subscriber Interface</w:t>
      </w:r>
      <w:r>
        <w:rPr>
          <w:rtl w:val="0"/>
        </w:rPr>
      </w:r>
    </w:p>
    <w:p w:rsidR="00000000" w:rsidDel="00000000" w:rsidP="00000000" w:rsidRDefault="00000000" w:rsidRPr="00000000" w14:paraId="000001CA">
      <w:pPr>
        <w:spacing w:after="140" w:lineRule="auto"/>
        <w:rPr/>
      </w:pPr>
      <w:r>
        <w:rPr>
          <w:sz w:val="21"/>
          <w:szCs w:val="21"/>
          <w:rtl w:val="0"/>
        </w:rPr>
        <w:t xml:space="preserve">The Subscriber API is the one documented surface any consuming application talks to — Stardust's own clients (§12) and any third-party product alike. Subscribers never call a provider directly.</w:t>
      </w:r>
      <w:r>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CB">
            <w:pPr>
              <w:rPr/>
            </w:pPr>
            <w:r>
              <w:rPr>
                <w:b w:val="1"/>
                <w:bCs w:val="1"/>
                <w:color w:val="ffffff"/>
                <w:sz w:val="19"/>
                <w:szCs w:val="19"/>
                <w:rtl w:val="0"/>
              </w:rPr>
              <w:t xml:space="preserve">Interface method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CC">
            <w:pPr>
              <w:rPr/>
            </w:pPr>
            <w:r>
              <w:rPr>
                <w:b w:val="1"/>
                <w:bCs w:val="1"/>
                <w:color w:val="ffffff"/>
                <w:sz w:val="19"/>
                <w:szCs w:val="19"/>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D">
            <w:pPr>
              <w:rPr/>
            </w:pPr>
            <w:r>
              <w:rPr>
                <w:sz w:val="19"/>
                <w:szCs w:val="19"/>
                <w:rtl w:val="0"/>
              </w:rPr>
              <w:t xml:space="preserve">request_quote(co2e_g, tier_preference)</w:t>
            </w:r>
            <w:r>
              <w:rPr>
                <w:rtl w:val="0"/>
              </w:rPr>
            </w:r>
          </w:p>
        </w:tc>
        <w:tc>
          <w:tcPr>
            <w:tcMar>
              <w:top w:w="80.0" w:type="dxa"/>
              <w:left w:w="100.0" w:type="dxa"/>
              <w:bottom w:w="80.0" w:type="dxa"/>
              <w:right w:w="100.0" w:type="dxa"/>
            </w:tcMar>
          </w:tcPr>
          <w:p w:rsidR="00000000" w:rsidDel="00000000" w:rsidP="00000000" w:rsidRDefault="00000000" w:rsidRPr="00000000" w14:paraId="000001CE">
            <w:pPr>
              <w:rPr/>
            </w:pPr>
            <w:r>
              <w:rPr>
                <w:sz w:val="19"/>
                <w:szCs w:val="19"/>
                <w:rtl w:val="0"/>
              </w:rPr>
              <w:t xml:space="preserve">Asks the broker for available remediation options matching a measured impact and an optional tier filter (§10.2.1)</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F">
            <w:pPr>
              <w:rPr/>
            </w:pPr>
            <w:r>
              <w:rPr>
                <w:sz w:val="19"/>
                <w:szCs w:val="19"/>
                <w:rtl w:val="0"/>
              </w:rPr>
              <w:t xml:space="preserve">submit_remediation_order(quote_id, payment_ref)</w:t>
            </w:r>
            <w:r>
              <w:rPr>
                <w:rtl w:val="0"/>
              </w:rPr>
            </w:r>
          </w:p>
        </w:tc>
        <w:tc>
          <w:tcPr>
            <w:tcMar>
              <w:top w:w="80.0" w:type="dxa"/>
              <w:left w:w="100.0" w:type="dxa"/>
              <w:bottom w:w="80.0" w:type="dxa"/>
              <w:right w:w="100.0" w:type="dxa"/>
            </w:tcMar>
          </w:tcPr>
          <w:p w:rsidR="00000000" w:rsidDel="00000000" w:rsidP="00000000" w:rsidRDefault="00000000" w:rsidRPr="00000000" w14:paraId="000001D0">
            <w:pPr>
              <w:rPr/>
            </w:pPr>
            <w:r>
              <w:rPr>
                <w:sz w:val="19"/>
                <w:szCs w:val="19"/>
                <w:rtl w:val="0"/>
              </w:rPr>
              <w:t xml:space="preserve">Places an order against a specific quote; the broker routes it to the matching provider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1">
            <w:pPr>
              <w:rPr/>
            </w:pPr>
            <w:r>
              <w:rPr>
                <w:sz w:val="19"/>
                <w:szCs w:val="19"/>
                <w:rtl w:val="0"/>
              </w:rPr>
              <w:t xml:space="preserve">get_fulfillment_status(order_id)</w:t>
            </w:r>
            <w:r>
              <w:rPr>
                <w:rtl w:val="0"/>
              </w:rPr>
            </w:r>
          </w:p>
        </w:tc>
        <w:tc>
          <w:tcPr>
            <w:tcMar>
              <w:top w:w="80.0" w:type="dxa"/>
              <w:left w:w="100.0" w:type="dxa"/>
              <w:bottom w:w="80.0" w:type="dxa"/>
              <w:right w:w="100.0" w:type="dxa"/>
            </w:tcMar>
          </w:tcPr>
          <w:p w:rsidR="00000000" w:rsidDel="00000000" w:rsidP="00000000" w:rsidRDefault="00000000" w:rsidRPr="00000000" w14:paraId="000001D2">
            <w:pPr>
              <w:rPr/>
            </w:pPr>
            <w:r>
              <w:rPr>
                <w:sz w:val="19"/>
                <w:szCs w:val="19"/>
                <w:rtl w:val="0"/>
              </w:rPr>
              <w:t xml:space="preserve">Polls or subscribes to fulfillment progress and, once available, the certificate/attestation from §10.2</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3">
            <w:pPr>
              <w:rPr/>
            </w:pPr>
            <w:r>
              <w:rPr>
                <w:sz w:val="19"/>
                <w:szCs w:val="19"/>
                <w:rtl w:val="0"/>
              </w:rPr>
              <w:t xml:space="preserve">request_donation(amount, recipient=AIforE)</w:t>
            </w:r>
            <w:r>
              <w:rPr>
                <w:rtl w:val="0"/>
              </w:rPr>
            </w:r>
          </w:p>
        </w:tc>
        <w:tc>
          <w:tcPr>
            <w:tcMar>
              <w:top w:w="80.0" w:type="dxa"/>
              <w:left w:w="100.0" w:type="dxa"/>
              <w:bottom w:w="80.0" w:type="dxa"/>
              <w:right w:w="100.0" w:type="dxa"/>
            </w:tcMar>
          </w:tcPr>
          <w:p w:rsidR="00000000" w:rsidDel="00000000" w:rsidP="00000000" w:rsidRDefault="00000000" w:rsidRPr="00000000" w14:paraId="000001D4">
            <w:pPr>
              <w:rPr/>
            </w:pPr>
            <w:r>
              <w:rPr>
                <w:sz w:val="19"/>
                <w:szCs w:val="19"/>
                <w:rtl w:val="0"/>
              </w:rPr>
              <w:t xml:space="preserve">The parallel, donation-specific path described in §18 — same broker, same API shape, different resolution (AIforE itself rather than a remediation provider)</w:t>
            </w:r>
            <w:r>
              <w:rPr>
                <w:rtl w:val="0"/>
              </w:rPr>
            </w:r>
          </w:p>
        </w:tc>
      </w:tr>
    </w:tbl>
    <w:p w:rsidR="00000000" w:rsidDel="00000000" w:rsidP="00000000" w:rsidRDefault="00000000" w:rsidRPr="00000000" w14:paraId="000001D5">
      <w:pPr>
        <w:spacing w:after="140" w:lineRule="auto"/>
        <w:rPr/>
      </w:pP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the concrete mechanism behind the “remediate this” and “support AIforE” call-to-actions already specified in §6.2: both are subscriber-side calls into this same API, differing only in which method they invoke.</w:t>
      </w:r>
      <w:r>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Any company building on the open core (§17) becomes a subscriber by implementing against this API, not by negotiating a bespoke integration with AIforE or with individual providers.</w:t>
      </w:r>
      <w:r>
        <w:rPr>
          <w:rtl w:val="0"/>
        </w:rPr>
      </w:r>
    </w:p>
    <w:p w:rsidR="00000000" w:rsidDel="00000000" w:rsidP="00000000" w:rsidRDefault="00000000" w:rsidRPr="00000000" w14:paraId="000001D8">
      <w:pPr>
        <w:pStyle w:val="Heading2"/>
        <w:spacing w:after="120" w:before="280" w:lineRule="auto"/>
        <w:rPr/>
      </w:pPr>
      <w:r>
        <w:rPr>
          <w:b w:val="1"/>
          <w:bCs w:val="1"/>
          <w:color w:val="1e7a4c"/>
          <w:sz w:val="24"/>
          <w:szCs w:val="24"/>
          <w:rtl w:val="0"/>
        </w:rPr>
        <w:t xml:space="preserve">10.4 AIforE's Broker Role</w:t>
      </w:r>
      <w:r>
        <w:rPr>
          <w:rtl w:val="0"/>
        </w:rPr>
      </w:r>
    </w:p>
    <w:p w:rsidR="00000000" w:rsidDel="00000000" w:rsidP="00000000" w:rsidRDefault="00000000" w:rsidRPr="00000000" w14:paraId="000001D9">
      <w:pPr>
        <w:spacing w:after="140" w:lineRule="auto"/>
        <w:rPr/>
      </w:pPr>
      <w:r>
        <w:rPr>
          <w:sz w:val="21"/>
          <w:szCs w:val="21"/>
          <w:rtl w:val="0"/>
        </w:rPr>
        <w:t xml:space="preserve">The Remediation Registry and Broker sits inside Stardust Core (§9.1) as the component that owns both interfaces from §10.2–§10.3. It is the “middle” in the print-driver/OS-service analogy: neither providers nor subscribers integrate with each other directly, only with the broker.</w:t>
      </w:r>
      <w:r>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Maintains the provider catalog and lets providers be added or removed without any change to subscriber-side code — a new kelp-restoration provider coming online, or an existing one being delisted, is invisible to every subscriber except that the catalog returned by request_quote() changes.</w:t>
      </w:r>
      <w:r>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Applies the confidence-tier framework (§10.2.1) uniformly, so tiering isn't left to each provider's own marketing claims.</w:t>
      </w:r>
      <w:r>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Keeps the AIforE donation flow (§18) and third-party remediation flow (§6.2, §17.2) architecturally parallel — both are broker-mediated requests using the same Subscriber API shape (§10.3) — but resolve to different recipients and are never presented to the user as interchangeable (§18.3 already establishes this distinction for donations specifically; it now extends to the provider layer generally).</w:t>
      </w:r>
      <w:r>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broker's interface contracts themselves (§10.2–§10.3), not any specific provider integration, are what's published as part of the open core (§17) — consistent with §17.1's scope, which already includes “the reference clients” and the event schema as open, with commercial services built on top (§17.2) staying separate.</w:t>
      </w:r>
      <w:r>
        <w:rPr>
          <w:rtl w:val="0"/>
        </w:rPr>
      </w:r>
    </w:p>
    <w:p w:rsidR="00000000" w:rsidRDefault="00000000" w14:paraId="7A000004">
      <w:pPr>
        <w:spacing w:after="140" w:lineRule="auto"/>
        <w:rPr/>
      </w:pPr>
      <w:r>
        <w:rPr>
          <w:sz w:val="21"/>
          <w:szCs w:val="21"/>
        </w:rPr>
        <w:t xml:space="preserve">Figure 3 shows the Broker’s role in the Subscriber/Provider marketplace workflow, from tiered Subscriber demand through Provider delivery, registry verification, and Return-on-Impact reporting.</w:t>
      </w:r>
    </w:p>
    <w:p w:rsidR="00000000" w:rsidRDefault="00000000" w14:paraId="7A000005">
      <w:pPr>
        <w:keepNext w:val="1"/>
        <w:spacing w:before="120" w:after="60" w:lineRule="auto"/>
        <w:jc w:val="center"/>
        <w:rPr/>
      </w:pPr>
      <w:r>
        <w:rPr>
          <w:noProof/>
        </w:rPr>
        <w:drawing>
          <wp:inline distT="0" distB="0" distL="0" distR="0">
            <wp:extent cx="5852160" cy="3701909"/>
            <wp:effectExtent l="0" t="0" r="0" b="0"/>
            <wp:docPr id="3" name="Figure 3" descr="Carbon marketplace workflow between Subscribers, AIforE, Providers and th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2"/>
                    <a:stretch>
                      <a:fillRect/>
                    </a:stretch>
                  </pic:blipFill>
                  <pic:spPr>
                    <a:xfrm>
                      <a:off x="0" y="0"/>
                      <a:ext cx="5852160" cy="3701909"/>
                    </a:xfrm>
                    <a:prstGeom prst="rect">
                      <a:avLst/>
                    </a:prstGeom>
                  </pic:spPr>
                </pic:pic>
              </a:graphicData>
            </a:graphic>
          </wp:inline>
        </w:drawing>
      </w:r>
    </w:p>
    <w:p w:rsidR="00000000" w:rsidRDefault="00000000" w14:paraId="7A000006">
      <w:pPr>
        <w:spacing w:after="200" w:lineRule="auto"/>
        <w:jc w:val="center"/>
        <w:rPr/>
      </w:pPr>
      <w:r>
        <w:rPr>
          <w:i w:val="1"/>
          <w:iCs w:val="1"/>
          <w:color w:val="555555"/>
          <w:sz w:val="18"/>
          <w:szCs w:val="18"/>
        </w:rPr>
        <w:t xml:space="preserve">Figure 3. Carbon marketplace workflow: enterprise, small-company and pooled retail Subscribers; AIforE matching, pooling and contracting; Provider delivery; registry verification, issuance and retirement; and a Return-on-Impact report that feeds back to Subscriber dashboards.</w:t>
      </w:r>
    </w:p>
    <w:p w:rsidR="00000000" w:rsidDel="00000000" w:rsidP="00000000" w:rsidRDefault="00000000" w:rsidRPr="00000000" w14:paraId="000001DE">
      <w:pPr>
        <w:pStyle w:val="Heading2"/>
        <w:spacing w:after="120" w:before="280" w:lineRule="auto"/>
        <w:rPr/>
      </w:pPr>
      <w:r>
        <w:rPr>
          <w:b w:val="1"/>
          <w:bCs w:val="1"/>
          <w:color w:val="1e7a4c"/>
          <w:sz w:val="24"/>
          <w:szCs w:val="24"/>
          <w:rtl w:val="0"/>
        </w:rPr>
        <w:t xml:space="preserve">10.5 Data Model Additions</w:t>
      </w:r>
      <w:r>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5600"/>
        <w:tblGridChange w:id="0">
          <w:tblGrid>
            <w:gridCol w:w="2600"/>
            <w:gridCol w:w="1800"/>
            <w:gridCol w:w="5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D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0">
            <w:pPr>
              <w:rPr/>
            </w:pPr>
            <w:r>
              <w:rPr>
                <w:b w:val="1"/>
                <w:bCs w:val="1"/>
                <w:color w:val="ffffff"/>
                <w:sz w:val="19"/>
                <w:szCs w:val="19"/>
                <w:rtl w:val="0"/>
              </w:rPr>
              <w:t xml:space="preserve">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1">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2">
            <w:pPr>
              <w:rPr/>
            </w:pPr>
            <w:r>
              <w:rPr>
                <w:sz w:val="19"/>
                <w:szCs w:val="19"/>
                <w:rtl w:val="0"/>
              </w:rPr>
              <w:t xml:space="preserve">remediation_order_id</w:t>
            </w:r>
            <w:r>
              <w:rPr>
                <w:rtl w:val="0"/>
              </w:rPr>
            </w:r>
          </w:p>
        </w:tc>
        <w:tc>
          <w:tcPr>
            <w:tcMar>
              <w:top w:w="80.0" w:type="dxa"/>
              <w:left w:w="100.0" w:type="dxa"/>
              <w:bottom w:w="80.0" w:type="dxa"/>
              <w:right w:w="100.0" w:type="dxa"/>
            </w:tcMar>
          </w:tcPr>
          <w:p w:rsidR="00000000" w:rsidDel="00000000" w:rsidP="00000000" w:rsidRDefault="00000000" w:rsidRPr="00000000" w14:paraId="000001E3">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1E4">
            <w:pPr>
              <w:rPr/>
            </w:pPr>
            <w:r>
              <w:rPr>
                <w:sz w:val="19"/>
                <w:szCs w:val="19"/>
                <w:rtl w:val="0"/>
              </w:rPr>
              <w:t xml:space="preserve">Unique per broker-mediated order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5">
            <w:pPr>
              <w:rPr/>
            </w:pPr>
            <w:r>
              <w:rPr>
                <w:sz w:val="19"/>
                <w:szCs w:val="19"/>
                <w:rtl w:val="0"/>
              </w:rPr>
              <w:t xml:space="preserve">provider_id</w:t>
            </w:r>
            <w:r>
              <w:rPr>
                <w:rtl w:val="0"/>
              </w:rPr>
            </w:r>
          </w:p>
        </w:tc>
        <w:tc>
          <w:tcPr>
            <w:tcMar>
              <w:top w:w="80.0" w:type="dxa"/>
              <w:left w:w="100.0" w:type="dxa"/>
              <w:bottom w:w="80.0" w:type="dxa"/>
              <w:right w:w="100.0" w:type="dxa"/>
            </w:tcMar>
          </w:tcPr>
          <w:p w:rsidR="00000000" w:rsidDel="00000000" w:rsidP="00000000" w:rsidRDefault="00000000" w:rsidRPr="00000000" w14:paraId="000001E6">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7">
            <w:pPr>
              <w:rPr/>
            </w:pPr>
            <w:r>
              <w:rPr>
                <w:sz w:val="19"/>
                <w:szCs w:val="19"/>
                <w:rtl w:val="0"/>
              </w:rPr>
              <w:t xml:space="preserve">References the fulfilling provider's registry entry (§10.2); null for a donation order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8">
            <w:pPr>
              <w:rPr/>
            </w:pPr>
            <w:r>
              <w:rPr>
                <w:sz w:val="19"/>
                <w:szCs w:val="19"/>
                <w:rtl w:val="0"/>
              </w:rPr>
              <w:t xml:space="preserve">subscriber_id</w:t>
            </w:r>
            <w:r>
              <w:rPr>
                <w:rtl w:val="0"/>
              </w:rPr>
            </w:r>
          </w:p>
        </w:tc>
        <w:tc>
          <w:tcPr>
            <w:tcMar>
              <w:top w:w="80.0" w:type="dxa"/>
              <w:left w:w="100.0" w:type="dxa"/>
              <w:bottom w:w="80.0" w:type="dxa"/>
              <w:right w:w="100.0" w:type="dxa"/>
            </w:tcMar>
          </w:tcPr>
          <w:p w:rsidR="00000000" w:rsidDel="00000000" w:rsidP="00000000" w:rsidRDefault="00000000" w:rsidRPr="00000000" w14:paraId="000001E9">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A">
            <w:pPr>
              <w:rPr/>
            </w:pPr>
            <w:r>
              <w:rPr>
                <w:sz w:val="19"/>
                <w:szCs w:val="19"/>
                <w:rtl w:val="0"/>
              </w:rPr>
              <w:t xml:space="preserve">References the requesting subscriber application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B">
            <w:pPr>
              <w:rPr/>
            </w:pPr>
            <w:r>
              <w:rPr>
                <w:sz w:val="19"/>
                <w:szCs w:val="19"/>
                <w:rtl w:val="0"/>
              </w:rPr>
              <w:t xml:space="preserve">provider_tier</w:t>
            </w:r>
            <w:r>
              <w:rPr>
                <w:rtl w:val="0"/>
              </w:rPr>
            </w:r>
          </w:p>
        </w:tc>
        <w:tc>
          <w:tcPr>
            <w:tcMar>
              <w:top w:w="80.0" w:type="dxa"/>
              <w:left w:w="100.0" w:type="dxa"/>
              <w:bottom w:w="80.0" w:type="dxa"/>
              <w:right w:w="100.0" w:type="dxa"/>
            </w:tcMar>
          </w:tcPr>
          <w:p w:rsidR="00000000" w:rsidDel="00000000" w:rsidP="00000000" w:rsidRDefault="00000000" w:rsidRPr="00000000" w14:paraId="000001EC">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ED">
            <w:pPr>
              <w:rPr/>
            </w:pPr>
            <w:r>
              <w:rPr>
                <w:sz w:val="19"/>
                <w:szCs w:val="19"/>
                <w:rtl w:val="0"/>
              </w:rPr>
              <w:t xml:space="preserve">verified | emerging | engineered (§10.2.1), recorded at time of order in case a provider's tier status changes later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E">
            <w:pPr>
              <w:rPr/>
            </w:pPr>
            <w:r>
              <w:rPr>
                <w:sz w:val="19"/>
                <w:szCs w:val="19"/>
                <w:rtl w:val="0"/>
              </w:rPr>
              <w:t xml:space="preserve">co2e_g_offset</w:t>
            </w:r>
            <w:r>
              <w:rPr>
                <w:rtl w:val="0"/>
              </w:rPr>
            </w:r>
          </w:p>
        </w:tc>
        <w:tc>
          <w:tcPr>
            <w:tcMar>
              <w:top w:w="80.0" w:type="dxa"/>
              <w:left w:w="100.0" w:type="dxa"/>
              <w:bottom w:w="80.0" w:type="dxa"/>
              <w:right w:w="100.0" w:type="dxa"/>
            </w:tcMar>
          </w:tcPr>
          <w:p w:rsidR="00000000" w:rsidDel="00000000" w:rsidP="00000000" w:rsidRDefault="00000000" w:rsidRPr="00000000" w14:paraId="000001EF">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F0">
            <w:pPr>
              <w:rPr/>
            </w:pPr>
            <w:r>
              <w:rPr>
                <w:sz w:val="19"/>
                <w:szCs w:val="19"/>
                <w:rtl w:val="0"/>
              </w:rPr>
              <w:t xml:space="preserve">Quantity of CO2e the order targets, typically sourced from the same job's stardust.impact.co2e_g figure (§7, §10.2 of the OTel harmonization section)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1">
            <w:pPr>
              <w:rPr/>
            </w:pPr>
            <w:r>
              <w:rPr>
                <w:sz w:val="19"/>
                <w:szCs w:val="19"/>
                <w:rtl w:val="0"/>
              </w:rPr>
              <w:t xml:space="preserve">fulfillment_status</w:t>
            </w:r>
            <w:r>
              <w:rPr>
                <w:rtl w:val="0"/>
              </w:rPr>
            </w:r>
          </w:p>
        </w:tc>
        <w:tc>
          <w:tcPr>
            <w:tcMar>
              <w:top w:w="80.0" w:type="dxa"/>
              <w:left w:w="100.0" w:type="dxa"/>
              <w:bottom w:w="80.0" w:type="dxa"/>
              <w:right w:w="100.0" w:type="dxa"/>
            </w:tcMar>
          </w:tcPr>
          <w:p w:rsidR="00000000" w:rsidDel="00000000" w:rsidP="00000000" w:rsidRDefault="00000000" w:rsidRPr="00000000" w14:paraId="000001F2">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F3">
            <w:pPr>
              <w:rPr/>
            </w:pPr>
            <w:r>
              <w:rPr>
                <w:sz w:val="19"/>
                <w:szCs w:val="19"/>
                <w:rtl w:val="0"/>
              </w:rPr>
              <w:t xml:space="preserve">quoted | ordered | fulfilling | fulfilled | failed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4">
            <w:pPr>
              <w:rPr/>
            </w:pPr>
            <w:r>
              <w:rPr>
                <w:sz w:val="19"/>
                <w:szCs w:val="19"/>
                <w:rtl w:val="0"/>
              </w:rPr>
              <w:t xml:space="preserve">certificate_ref</w:t>
            </w:r>
            <w:r>
              <w:rPr>
                <w:rtl w:val="0"/>
              </w:rPr>
            </w:r>
          </w:p>
        </w:tc>
        <w:tc>
          <w:tcPr>
            <w:tcMar>
              <w:top w:w="80.0" w:type="dxa"/>
              <w:left w:w="100.0" w:type="dxa"/>
              <w:bottom w:w="80.0" w:type="dxa"/>
              <w:right w:w="100.0" w:type="dxa"/>
            </w:tcMar>
          </w:tcPr>
          <w:p w:rsidR="00000000" w:rsidDel="00000000" w:rsidP="00000000" w:rsidRDefault="00000000" w:rsidRPr="00000000" w14:paraId="000001F5">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F6">
            <w:pPr>
              <w:rPr/>
            </w:pPr>
            <w:r>
              <w:rPr>
                <w:sz w:val="19"/>
                <w:szCs w:val="19"/>
                <w:rtl w:val="0"/>
              </w:rPr>
              <w:t xml:space="preserve">Verified credit serial number (Tier 1) or provider attestation reference (Tier 2/3), per §10.2</w:t>
            </w:r>
            <w:r>
              <w:rPr>
                <w:rtl w:val="0"/>
              </w:rPr>
            </w:r>
          </w:p>
        </w:tc>
      </w:tr>
    </w:tbl>
    <w:p w:rsidR="00000000" w:rsidDel="00000000" w:rsidP="00000000" w:rsidRDefault="00000000" w:rsidRPr="00000000" w14:paraId="000001F7">
      <w:pPr>
        <w:spacing w:after="140" w:lineRule="auto"/>
        <w:rPr/>
      </w:pPr>
      <w:r>
        <w:rPr>
          <w:rtl w:val="0"/>
        </w:rPr>
      </w:r>
    </w:p>
    <w:p w:rsidR="00000000" w:rsidDel="00000000" w:rsidP="00000000" w:rsidRDefault="00000000" w:rsidRPr="00000000" w14:paraId="000001F8">
      <w:pPr>
        <w:pStyle w:val="Heading2"/>
        <w:spacing w:after="120" w:before="280" w:lineRule="auto"/>
        <w:rPr/>
      </w:pPr>
      <w:r>
        <w:rPr>
          <w:b w:val="1"/>
          <w:bCs w:val="1"/>
          <w:color w:val="1e7a4c"/>
          <w:sz w:val="24"/>
          <w:szCs w:val="24"/>
          <w:rtl w:val="0"/>
        </w:rPr>
        <w:t xml:space="preserve">10.6 Governance and Vetting</w:t>
      </w:r>
      <w:r>
        <w:rPr>
          <w:rtl w:val="0"/>
        </w:rPr>
      </w:r>
    </w:p>
    <w:p w:rsidR="00000000" w:rsidDel="00000000" w:rsidP="00000000" w:rsidRDefault="00000000" w:rsidRPr="00000000" w14:paraId="000001F9">
      <w:pPr>
        <w:spacing w:after="140" w:lineRule="auto"/>
        <w:rPr/>
      </w:pPr>
      <w:r>
        <w:rPr>
          <w:sz w:val="21"/>
          <w:szCs w:val="21"/>
          <w:rtl w:val="0"/>
        </w:rPr>
        <w:t xml:space="preserve">The print-driver analogy has a limit worth stating explicitly: a bad print driver wastes paper, but a fraudulent or non-performing remediation provider spends real donor and subscriber money on land or ocean projects that may not deliver what they claim. Unlike a print driver model, provider onboarding is not fully permissionless.</w:t>
      </w:r>
      <w:r>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Provider registration (§10.2's register_provider()) is gated by a minimal AIforE-run vetting step — legal entity verification and, for Tier 1 providers, confirmation of an active Verra/Gold Standard registration — before a provider's catalog becomes visible to subscribers, distinct from the fully open, no-gatekeeping model used for subscriber onboarding (§10.3, §17).</w:t>
      </w:r>
      <w:r>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vetting step, its depth, and who at AIforE performs it are open questions (§19), not yet specified in detail here.</w:t>
      </w:r>
      <w:r>
        <w:rPr>
          <w:rtl w:val="0"/>
        </w:rPr>
      </w:r>
    </w:p>
    <w:p w:rsidR="00000000" w:rsidDel="00000000" w:rsidP="00000000" w:rsidRDefault="00000000" w:rsidRPr="00000000" w14:paraId="6A000000">
      <w:pPr>
        <w:pStyle w:val="Heading1"/>
        <w:spacing w:after="160" w:before="360" w:lineRule="auto"/>
        <w:rPr/>
      </w:pPr>
      <w:r>
        <w:rPr>
          <w:b w:val="1"/>
          <w:bCs w:val="1"/>
          <w:color w:val="0f4a2e"/>
          <w:sz w:val="30"/>
          <w:szCs w:val="30"/>
          <w:rtl w:val="0"/>
        </w:rPr>
        <w:t xml:space="preserve">11. Harmonization with OpenTelemetry</w:t>
      </w:r>
      <w:r>
        <w:rPr>
          <w:rtl w:val="0"/>
        </w:rPr>
      </w:r>
    </w:p>
    <w:p w:rsidR="00000000" w:rsidDel="00000000" w:rsidP="00000000" w:rsidRDefault="00000000" w:rsidRPr="00000000" w14:paraId="6A000001">
      <w:pPr>
        <w:spacing w:after="140" w:lineRule="auto"/>
        <w:rPr/>
      </w:pPr>
      <w:r>
        <w:rPr>
          <w:sz w:val="21"/>
          <w:szCs w:val="21"/>
          <w:rtl w:val="0"/>
        </w:rPr>
        <w:t xml:space="preserve">OpenTelemetry (OTel) is the vendor-neutral standard most infrastructure and AI observability tooling is converging on, and two of its active efforts map closely onto what Stardust measures: the GenAI Semantic Conventions (token usage, model, provider) and an emerging Green Software Foundation collaboration drafting carbon/energy conventions for OTel. Harmonizing means Stardust's data model reuses OTel's vocabulary wherever one already exists, emits its events as standard OTel signals (traces, metrics) rather than a bespoke format, and contributes the environmental attributes it needs but OTel doesn't yet have back to the relevant standards effort — consistent with the open-ecosystem goal in §17.</w:t>
      </w:r>
      <w:r>
        <w:rPr>
          <w:rtl w:val="0"/>
        </w:rPr>
      </w:r>
    </w:p>
    <w:p w:rsidR="00000000" w:rsidDel="00000000" w:rsidP="00000000" w:rsidRDefault="00000000" w:rsidRPr="00000000" w14:paraId="6A000002">
      <w:pPr>
        <w:pStyle w:val="Heading2"/>
        <w:spacing w:after="120" w:before="280" w:lineRule="auto"/>
        <w:rPr/>
      </w:pPr>
      <w:r>
        <w:rPr>
          <w:b w:val="1"/>
          <w:bCs w:val="1"/>
          <w:color w:val="1e7a4c"/>
          <w:sz w:val="24"/>
          <w:szCs w:val="24"/>
          <w:rtl w:val="0"/>
        </w:rPr>
        <w:t xml:space="preserve">11.1 What Already Overlaps: GenAI Semantic Conventions</w:t>
      </w:r>
      <w:r>
        <w:rPr>
          <w:rtl w:val="0"/>
        </w:rPr>
      </w:r>
    </w:p>
    <w:p w:rsidR="00000000" w:rsidDel="00000000" w:rsidP="00000000" w:rsidRDefault="00000000" w:rsidRPr="00000000" w14:paraId="6A000003">
      <w:pPr>
        <w:spacing w:after="140" w:lineRule="auto"/>
        <w:rPr/>
      </w:pPr>
      <w:r>
        <w:rPr>
          <w:sz w:val="21"/>
          <w:szCs w:val="21"/>
          <w:rtl w:val="0"/>
        </w:rPr>
        <w:t xml:space="preserve">OTel's GenAI Special Interest Group (active since April 2024) defines a gen_ai.* attribute namespace for LLM and agent telemetry, covering exactly the usage side of §7's data model. As of this draft the conventions are still marked experimental, with active dual-emission support (OTEL_SEMCONV_STABILITY_OPT_IN) for teams tracking the transition to stable.</w:t>
      </w:r>
      <w:r>
        <w:rPr>
          <w:rtl w:val="0"/>
        </w:rPr>
      </w:r>
    </w:p>
    <w:tbl>
      <w:tblPr>
        <w:tblStyle w:val="Table1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400"/>
        <w:tblGridChange w:id="0">
          <w:tblGrid>
            <w:gridCol w:w="2600"/>
            <w:gridCol w:w="3800"/>
            <w:gridCol w:w="34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6A000004">
            <w:pPr>
              <w:rPr/>
            </w:pPr>
            <w:r>
              <w:rPr>
                <w:b w:val="1"/>
                <w:bCs w:val="1"/>
                <w:color w:val="ffffff"/>
                <w:sz w:val="19"/>
                <w:szCs w:val="19"/>
                <w:rtl w:val="0"/>
              </w:rPr>
              <w:t xml:space="preserve">Stardust field (§7)</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5">
            <w:pPr>
              <w:rPr/>
            </w:pPr>
            <w:r>
              <w:rPr>
                <w:b w:val="1"/>
                <w:bCs w:val="1"/>
                <w:color w:val="ffffff"/>
                <w:sz w:val="19"/>
                <w:szCs w:val="19"/>
                <w:rtl w:val="0"/>
              </w:rPr>
              <w:t xml:space="preserve">OTel GenAI equivalent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6">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7">
            <w:pPr>
              <w:rPr/>
            </w:pPr>
            <w:r>
              <w:rPr>
                <w:sz w:val="19"/>
                <w:szCs w:val="19"/>
                <w:rtl w:val="0"/>
              </w:rPr>
              <w:t xml:space="preserve">provider</w:t>
            </w:r>
            <w:r>
              <w:rPr>
                <w:rtl w:val="0"/>
              </w:rPr>
            </w:r>
          </w:p>
        </w:tc>
        <w:tc>
          <w:tcPr>
            <w:tcMar>
              <w:top w:w="80.0" w:type="dxa"/>
              <w:left w:w="100.0" w:type="dxa"/>
              <w:bottom w:w="80.0" w:type="dxa"/>
              <w:right w:w="100.0" w:type="dxa"/>
            </w:tcMar>
          </w:tcPr>
          <w:p w:rsidR="00000000" w:rsidDel="00000000" w:rsidP="00000000" w:rsidRDefault="00000000" w:rsidRPr="00000000" w14:paraId="6A000008">
            <w:pPr>
              <w:rPr/>
            </w:pPr>
            <w:r>
              <w:rPr>
                <w:sz w:val="19"/>
                <w:szCs w:val="19"/>
                <w:rtl w:val="0"/>
              </w:rPr>
              <w:t xml:space="preserve">gen_ai.provider.name</w:t>
            </w:r>
            <w:r>
              <w:rPr>
                <w:rtl w:val="0"/>
              </w:rPr>
            </w:r>
          </w:p>
        </w:tc>
        <w:tc>
          <w:tcPr>
            <w:tcMar>
              <w:top w:w="80.0" w:type="dxa"/>
              <w:left w:w="100.0" w:type="dxa"/>
              <w:bottom w:w="80.0" w:type="dxa"/>
              <w:right w:w="100.0" w:type="dxa"/>
            </w:tcMar>
          </w:tcPr>
          <w:p w:rsidR="00000000" w:rsidDel="00000000" w:rsidP="00000000" w:rsidRDefault="00000000" w:rsidRPr="00000000" w14:paraId="6A000009">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A">
            <w:pPr>
              <w:rPr/>
            </w:pPr>
            <w:r>
              <w:rPr>
                <w:sz w:val="19"/>
                <w:szCs w:val="19"/>
                <w:rtl w:val="0"/>
              </w:rPr>
              <w:t xml:space="preserve">service / model</w:t>
            </w:r>
            <w:r>
              <w:rPr>
                <w:rtl w:val="0"/>
              </w:rPr>
            </w:r>
          </w:p>
        </w:tc>
        <w:tc>
          <w:tcPr>
            <w:tcMar>
              <w:top w:w="80.0" w:type="dxa"/>
              <w:left w:w="100.0" w:type="dxa"/>
              <w:bottom w:w="80.0" w:type="dxa"/>
              <w:right w:w="100.0" w:type="dxa"/>
            </w:tcMar>
          </w:tcPr>
          <w:p w:rsidR="00000000" w:rsidDel="00000000" w:rsidP="00000000" w:rsidRDefault="00000000" w:rsidRPr="00000000" w14:paraId="6A00000B">
            <w:pPr>
              <w:rPr/>
            </w:pPr>
            <w:r>
              <w:rPr>
                <w:sz w:val="19"/>
                <w:szCs w:val="19"/>
                <w:rtl w:val="0"/>
              </w:rPr>
              <w:t xml:space="preserve">gen_ai.request.model</w:t>
            </w:r>
            <w:r>
              <w:rPr>
                <w:rtl w:val="0"/>
              </w:rPr>
            </w:r>
          </w:p>
        </w:tc>
        <w:tc>
          <w:tcPr>
            <w:tcMar>
              <w:top w:w="80.0" w:type="dxa"/>
              <w:left w:w="100.0" w:type="dxa"/>
              <w:bottom w:w="80.0" w:type="dxa"/>
              <w:right w:w="100.0" w:type="dxa"/>
            </w:tcMar>
          </w:tcPr>
          <w:p w:rsidR="00000000" w:rsidDel="00000000" w:rsidP="00000000" w:rsidRDefault="00000000" w:rsidRPr="00000000" w14:paraId="6A00000C">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D">
            <w:pPr>
              <w:rPr/>
            </w:pPr>
            <w:r>
              <w:rPr>
                <w:sz w:val="19"/>
                <w:szCs w:val="19"/>
                <w:rtl w:val="0"/>
              </w:rPr>
              <w:t xml:space="preserve">tokens_in / tokens_out</w:t>
            </w:r>
            <w:r>
              <w:rPr>
                <w:rtl w:val="0"/>
              </w:rPr>
            </w:r>
          </w:p>
        </w:tc>
        <w:tc>
          <w:tcPr>
            <w:tcMar>
              <w:top w:w="80.0" w:type="dxa"/>
              <w:left w:w="100.0" w:type="dxa"/>
              <w:bottom w:w="80.0" w:type="dxa"/>
              <w:right w:w="100.0" w:type="dxa"/>
            </w:tcMar>
          </w:tcPr>
          <w:p w:rsidR="00000000" w:rsidDel="00000000" w:rsidP="00000000" w:rsidRDefault="00000000" w:rsidRPr="00000000" w14:paraId="6A00000E">
            <w:pPr>
              <w:rPr/>
            </w:pPr>
            <w:r>
              <w:rPr>
                <w:sz w:val="19"/>
                <w:szCs w:val="19"/>
                <w:rtl w:val="0"/>
              </w:rPr>
              <w:t xml:space="preserve">gen_ai.usage.input_tokens / gen_ai.usage.output_tokens</w:t>
            </w:r>
            <w:r>
              <w:rPr>
                <w:rtl w:val="0"/>
              </w:rPr>
            </w:r>
          </w:p>
        </w:tc>
        <w:tc>
          <w:tcPr>
            <w:tcMar>
              <w:top w:w="80.0" w:type="dxa"/>
              <w:left w:w="100.0" w:type="dxa"/>
              <w:bottom w:w="80.0" w:type="dxa"/>
              <w:right w:w="100.0" w:type="dxa"/>
            </w:tcMar>
          </w:tcPr>
          <w:p w:rsidR="00000000" w:rsidDel="00000000" w:rsidP="00000000" w:rsidRDefault="00000000" w:rsidRPr="00000000" w14:paraId="6A00000F">
            <w:pPr>
              <w:rPr/>
            </w:pPr>
            <w:r>
              <w:rPr>
                <w:sz w:val="19"/>
                <w:szCs w:val="19"/>
                <w:rtl w:val="0"/>
              </w:rPr>
              <w:t xml:space="preserve">Direct mapping; OTel also defines a gen_ai.token.type metric attribute for the input/output split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0">
            <w:pPr>
              <w:rPr/>
            </w:pPr>
            <w:r>
              <w:rPr>
                <w:sz w:val="19"/>
                <w:szCs w:val="19"/>
                <w:rtl w:val="0"/>
              </w:rPr>
              <w:t xml:space="preserve">source_layer</w:t>
            </w:r>
            <w:r>
              <w:rPr>
                <w:rtl w:val="0"/>
              </w:rPr>
            </w:r>
          </w:p>
        </w:tc>
        <w:tc>
          <w:tcPr>
            <w:tcMar>
              <w:top w:w="80.0" w:type="dxa"/>
              <w:left w:w="100.0" w:type="dxa"/>
              <w:bottom w:w="80.0" w:type="dxa"/>
              <w:right w:w="100.0" w:type="dxa"/>
            </w:tcMar>
          </w:tcPr>
          <w:p w:rsidR="00000000" w:rsidDel="00000000" w:rsidP="00000000" w:rsidRDefault="00000000" w:rsidRPr="00000000" w14:paraId="6A000011">
            <w:pPr>
              <w:rPr/>
            </w:pPr>
            <w:r>
              <w:rPr>
                <w:sz w:val="19"/>
                <w:szCs w:val="19"/>
                <w:rtl w:val="0"/>
              </w:rPr>
              <w:t xml:space="preserve">(no direct equivalent)</w:t>
            </w:r>
            <w:r>
              <w:rPr>
                <w:rtl w:val="0"/>
              </w:rPr>
            </w:r>
          </w:p>
        </w:tc>
        <w:tc>
          <w:tcPr>
            <w:tcMar>
              <w:top w:w="80.0" w:type="dxa"/>
              <w:left w:w="100.0" w:type="dxa"/>
              <w:bottom w:w="80.0" w:type="dxa"/>
              <w:right w:w="100.0" w:type="dxa"/>
            </w:tcMar>
          </w:tcPr>
          <w:p w:rsidR="00000000" w:rsidDel="00000000" w:rsidP="00000000" w:rsidRDefault="00000000" w:rsidRPr="00000000" w14:paraId="6A000012">
            <w:pPr>
              <w:rPr/>
            </w:pPr>
            <w:r>
              <w:rPr>
                <w:sz w:val="19"/>
                <w:szCs w:val="19"/>
                <w:rtl w:val="0"/>
              </w:rPr>
              <w:t xml:space="preserve">Stardust-specific; expressed as a resource or span attribute in the stardust.* namespace (§11.3)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3">
            <w:pPr>
              <w:rPr/>
            </w:pPr>
            <w:r>
              <w:rPr>
                <w:sz w:val="19"/>
                <w:szCs w:val="19"/>
                <w:rtl w:val="0"/>
              </w:rPr>
              <w:t xml:space="preserve">region</w:t>
            </w:r>
            <w:r>
              <w:rPr>
                <w:rtl w:val="0"/>
              </w:rPr>
            </w:r>
          </w:p>
        </w:tc>
        <w:tc>
          <w:tcPr>
            <w:tcMar>
              <w:top w:w="80.0" w:type="dxa"/>
              <w:left w:w="100.0" w:type="dxa"/>
              <w:bottom w:w="80.0" w:type="dxa"/>
              <w:right w:w="100.0" w:type="dxa"/>
            </w:tcMar>
          </w:tcPr>
          <w:p w:rsidR="00000000" w:rsidDel="00000000" w:rsidP="00000000" w:rsidRDefault="00000000" w:rsidRPr="00000000" w14:paraId="6A000014">
            <w:pPr>
              <w:rPr/>
            </w:pPr>
            <w:r>
              <w:rPr>
                <w:sz w:val="19"/>
                <w:szCs w:val="19"/>
                <w:rtl w:val="0"/>
              </w:rPr>
              <w:t xml:space="preserve">cloud.region (Resource semantic conventions)</w:t>
            </w:r>
            <w:r>
              <w:rPr>
                <w:rtl w:val="0"/>
              </w:rPr>
            </w:r>
          </w:p>
        </w:tc>
        <w:tc>
          <w:tcPr>
            <w:tcMar>
              <w:top w:w="80.0" w:type="dxa"/>
              <w:left w:w="100.0" w:type="dxa"/>
              <w:bottom w:w="80.0" w:type="dxa"/>
              <w:right w:w="100.0" w:type="dxa"/>
            </w:tcMar>
          </w:tcPr>
          <w:p w:rsidR="00000000" w:rsidDel="00000000" w:rsidP="00000000" w:rsidRDefault="00000000" w:rsidRPr="00000000" w14:paraId="6A000015">
            <w:pPr>
              <w:rPr/>
            </w:pPr>
            <w:r>
              <w:rPr>
                <w:sz w:val="19"/>
                <w:szCs w:val="19"/>
                <w:rtl w:val="0"/>
              </w:rPr>
              <w:t xml:space="preserve">Reuse the existing OTel Resource attribute rather than a Stardust-specific one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6">
            <w:pPr>
              <w:rPr/>
            </w:pPr>
            <w:r>
              <w:rPr>
                <w:sz w:val="19"/>
                <w:szCs w:val="19"/>
                <w:rtl w:val="0"/>
              </w:rPr>
              <w:t xml:space="preserve">event_id</w:t>
            </w:r>
            <w:r>
              <w:rPr>
                <w:rtl w:val="0"/>
              </w:rPr>
            </w:r>
          </w:p>
        </w:tc>
        <w:tc>
          <w:tcPr>
            <w:tcMar>
              <w:top w:w="80.0" w:type="dxa"/>
              <w:left w:w="100.0" w:type="dxa"/>
              <w:bottom w:w="80.0" w:type="dxa"/>
              <w:right w:w="100.0" w:type="dxa"/>
            </w:tcMar>
          </w:tcPr>
          <w:p w:rsidR="00000000" w:rsidDel="00000000" w:rsidP="00000000" w:rsidRDefault="00000000" w:rsidRPr="00000000" w14:paraId="6A000017">
            <w:pPr>
              <w:rPr/>
            </w:pPr>
            <w:r>
              <w:rPr>
                <w:sz w:val="19"/>
                <w:szCs w:val="19"/>
                <w:rtl w:val="0"/>
              </w:rPr>
              <w:t xml:space="preserve">trace_id / span_id (OTel trace context)</w:t>
            </w:r>
            <w:r>
              <w:rPr>
                <w:rtl w:val="0"/>
              </w:rPr>
            </w:r>
          </w:p>
        </w:tc>
        <w:tc>
          <w:tcPr>
            <w:tcMar>
              <w:top w:w="80.0" w:type="dxa"/>
              <w:left w:w="100.0" w:type="dxa"/>
              <w:bottom w:w="80.0" w:type="dxa"/>
              <w:right w:w="100.0" w:type="dxa"/>
            </w:tcMar>
          </w:tcPr>
          <w:p w:rsidR="00000000" w:rsidDel="00000000" w:rsidP="00000000" w:rsidRDefault="00000000" w:rsidRPr="00000000" w14:paraId="6A000018">
            <w:pPr>
              <w:rPr/>
            </w:pPr>
            <w:r>
              <w:rPr>
                <w:sz w:val="19"/>
                <w:szCs w:val="19"/>
                <w:rtl w:val="0"/>
              </w:rPr>
              <w:t xml:space="preserve">OTel's own identifiers become the primary correlation key once emitted as spans; event_id can be dropped or kept as an internal join key</w:t>
            </w:r>
            <w:r>
              <w:rPr>
                <w:rtl w:val="0"/>
              </w:rPr>
            </w:r>
          </w:p>
        </w:tc>
      </w:tr>
    </w:tbl>
    <w:p w:rsidR="00000000" w:rsidDel="00000000" w:rsidP="00000000" w:rsidRDefault="00000000" w:rsidRPr="00000000" w14:paraId="6A000019">
      <w:pPr>
        <w:spacing w:after="140" w:lineRule="auto"/>
        <w:rPr/>
      </w:pPr>
      <w:r>
        <w:rPr>
          <w:rtl w:val="0"/>
        </w:rPr>
      </w:r>
    </w:p>
    <w:p w:rsidR="00000000" w:rsidDel="00000000" w:rsidP="00000000" w:rsidRDefault="00000000" w:rsidRPr="00000000" w14:paraId="6A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Practically, this means a Stardust Chat Plugin or Infra SDK event (§9.1) can be emitted as an OTel span with gen_ai.* attributes for the usage side, so any team already running OTel-based LLM observability (Datadog, Grafana, Honeycomb, and others already support gen_ai.* as of 2026) picks up Stardust data with no new tooling.</w:t>
      </w:r>
      <w:r>
        <w:rPr>
          <w:rtl w:val="0"/>
        </w:rPr>
      </w:r>
    </w:p>
    <w:p w:rsidR="00000000" w:rsidDel="00000000" w:rsidP="00000000" w:rsidRDefault="00000000" w:rsidRPr="00000000" w14:paraId="6A00001B">
      <w:pPr>
        <w:pStyle w:val="Heading2"/>
        <w:spacing w:after="120" w:before="280" w:lineRule="auto"/>
        <w:rPr/>
      </w:pPr>
      <w:r>
        <w:rPr>
          <w:b w:val="1"/>
          <w:bCs w:val="1"/>
          <w:color w:val="1e7a4c"/>
          <w:sz w:val="24"/>
          <w:szCs w:val="24"/>
          <w:rtl w:val="0"/>
        </w:rPr>
        <w:t xml:space="preserve">11.2 What OTel Doesn't Have Yet: Environmental Attributes</w:t>
      </w:r>
      <w:r>
        <w:rPr>
          <w:rtl w:val="0"/>
        </w:rPr>
      </w:r>
    </w:p>
    <w:p w:rsidR="00000000" w:rsidDel="00000000" w:rsidP="00000000" w:rsidRDefault="00000000" w:rsidRPr="00000000" w14:paraId="6A00001C">
      <w:pPr>
        <w:spacing w:after="140" w:lineRule="auto"/>
        <w:rPr/>
      </w:pPr>
      <w:r>
        <w:rPr>
          <w:sz w:val="21"/>
          <w:szCs w:val="21"/>
          <w:rtl w:val="0"/>
        </w:rPr>
        <w:t xml:space="preserve">No stable OTel semantic convention exists yet for per-operation energy, carbon, or water — the closest efforts are hardware-level power/energy metrics (hw.power, hw.energy) for physical infrastructure, and a Green Software Foundation-led initiative (“SCI for OpenTelemetry”) currently drafting Software Carbon Intensity conventions (energy consumption, carbon intensity, embodied carbon, functional unit) for submission to the OTel Semantic Conventions SIG. As of this draft that work is still at the blueprint/Assembly stage, not yet ratified.</w:t>
      </w:r>
      <w:r>
        <w:rPr>
          <w:rtl w:val="0"/>
        </w:rPr>
      </w:r>
    </w:p>
    <w:p w:rsidR="00000000" w:rsidDel="00000000" w:rsidP="00000000" w:rsidRDefault="00000000" w:rsidRPr="00000000" w14:paraId="6A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Until those conventions stabilize, Stardust's environmental fields (energy_wh, co2e_g, water_ml, particulate_mg/ewaste_mg, confidence_tier, indicator_code, job_sji, energy_source_code, energy_mix_breakdown, grid_style, grid_majority_share_pct — all from §7 and §5.3) are emitted under a namespaced stardust.* attribute prefix (e.g. stardust.impact.co2e_g, stardust.esc.code), following OTel's own convention that domain-specific attributes not yet in the core registry should be clearly namespaced rather than squatting on an unprefixed name.</w:t>
      </w:r>
      <w:r>
        <w:rPr>
          <w:rtl w:val="0"/>
        </w:rPr>
      </w:r>
    </w:p>
    <w:p w:rsidR="00000000" w:rsidDel="00000000" w:rsidP="00000000" w:rsidRDefault="00000000" w:rsidRPr="00000000" w14:paraId="6A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Given the overlap in intent, AIforE contributing its methodology (§8) and Energy Source Code taxonomy (§5.3.1–§5.3.2) to the SCI-for-OpenTelemetry Assembly is a more direct path to the “open, citable benchmark” goal in §1.2 than publishing a parallel, competing taxonomy — the Assembly is explicitly structured to bring outside expert input to consensus before conventions are finalized.</w:t>
      </w:r>
      <w:r>
        <w:rPr>
          <w:rtl w:val="0"/>
        </w:rPr>
      </w:r>
    </w:p>
    <w:p w:rsidR="00000000" w:rsidDel="00000000" w:rsidP="00000000" w:rsidRDefault="00000000" w:rsidRPr="00000000" w14:paraId="6A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and when SCI-for-OpenTelemetry conventions stabilize, Stardust's stardust.* attributes should migrate to the ratified names the same way the GenAI conventions themselves are handling their own experimental-to-stable transition (§11.1), keeping the versioned-configuration approach in §8.4 as the mechanism for that migration.</w:t>
      </w:r>
      <w:r>
        <w:rPr>
          <w:rtl w:val="0"/>
        </w:rPr>
      </w:r>
    </w:p>
    <w:p w:rsidR="00000000" w:rsidDel="00000000" w:rsidP="00000000" w:rsidRDefault="00000000" w:rsidRPr="00000000" w14:paraId="6A000020">
      <w:pPr>
        <w:pStyle w:val="Heading2"/>
        <w:spacing w:after="120" w:before="280" w:lineRule="auto"/>
        <w:rPr/>
      </w:pPr>
      <w:r>
        <w:rPr>
          <w:b w:val="1"/>
          <w:bCs w:val="1"/>
          <w:color w:val="1e7a4c"/>
          <w:sz w:val="24"/>
          <w:szCs w:val="24"/>
          <w:rtl w:val="0"/>
        </w:rPr>
        <w:t xml:space="preserve">11.3 Emission Model</w:t>
      </w:r>
      <w:r>
        <w:rPr>
          <w:rtl w:val="0"/>
        </w:rPr>
      </w:r>
    </w:p>
    <w:p w:rsidR="00000000" w:rsidDel="00000000" w:rsidP="00000000" w:rsidRDefault="00000000" w:rsidRPr="00000000" w14:paraId="6A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measured operation (§7) is emitted as an OTel span (or a metric data point for aggregated dashboard views, §6.3), carrying gen_ai.* attributes where a direct mapping exists (§11.1) and stardust.* attributes for everything environmental (§11.2).</w:t>
      </w:r>
      <w:r>
        <w:rPr>
          <w:rtl w:val="0"/>
        </w:rPr>
      </w:r>
    </w:p>
    <w:p w:rsidR="00000000" w:rsidDel="00000000" w:rsidP="00000000" w:rsidRDefault="00000000" w:rsidRPr="00000000" w14:paraId="6A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Resource-level context (provider region, cloud platform) is set once via OTel Resource attributes (cloud.provider, cloud.region) rather than repeated per span, consistent with how OTel expects infrastructure context to be attached.</w:t>
      </w:r>
      <w:r>
        <w:rPr>
          <w:rtl w:val="0"/>
        </w:rPr>
      </w:r>
    </w:p>
    <w:p w:rsidR="00000000" w:rsidDel="00000000" w:rsidP="00000000" w:rsidRDefault="00000000" w:rsidRPr="00000000" w14:paraId="6A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Stardust Job Identifier (§5.3) is carried as a span attribute (e.g. stardust.job.sji) alongside OTel's own trace_id/span_id, which remain the primary correlation key for any OTel-based backend; the SJI stays a human-facing companion identifier, not a replacement for OTel's trace context, consistent with how it's already kept distinct from event_id in §7.</w:t>
      </w:r>
      <w:r>
        <w:rPr>
          <w:rtl w:val="0"/>
        </w:rPr>
      </w:r>
    </w:p>
    <w:p w:rsidR="00000000" w:rsidDel="00000000" w:rsidP="00000000" w:rsidRDefault="00000000" w:rsidRPr="00000000" w14:paraId="6A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 (§9.1) can act as both an OTLP receiver (accepting standard OTel telemetry already carrying gen_ai.* attributes from a team's existing instrumentation) and an OTLP exporter (emitting its own enriched stardust.* attributes back into a team's existing OTel Collector pipeline), so adopting Stardust doesn't require a parallel telemetry stack alongside an OTel-based one.</w:t>
      </w:r>
      <w:r>
        <w:rPr>
          <w:rtl w:val="0"/>
        </w:rPr>
      </w:r>
    </w:p>
    <w:p w:rsidR="00000000" w:rsidDel="00000000" w:rsidP="00000000" w:rsidRDefault="00000000" w:rsidRPr="00000000" w14:paraId="6A000025">
      <w:pPr>
        <w:pStyle w:val="Heading2"/>
        <w:spacing w:after="120" w:before="280" w:lineRule="auto"/>
        <w:rPr/>
      </w:pPr>
      <w:r>
        <w:rPr>
          <w:b w:val="1"/>
          <w:bCs w:val="1"/>
          <w:color w:val="1e7a4c"/>
          <w:sz w:val="24"/>
          <w:szCs w:val="24"/>
          <w:rtl w:val="0"/>
        </w:rPr>
        <w:t xml:space="preserve">11.4 Why This Matters for the Open Source Strategy</w:t>
      </w:r>
      <w:r>
        <w:rPr>
          <w:rtl w:val="0"/>
        </w:rPr>
      </w:r>
    </w:p>
    <w:p w:rsidR="00000000" w:rsidDel="00000000" w:rsidP="00000000" w:rsidRDefault="00000000" w:rsidRPr="00000000" w14:paraId="6A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Emitting standard OTLP instead of a Stardust-only wire format directly serves §17's goal: a third party building on the open core doesn't need a custom ingestion path, since any existing OTel Collector, backend, or dashboard already knows how to route and store the signal.</w:t>
      </w:r>
      <w:r>
        <w:rPr>
          <w:rtl w:val="0"/>
        </w:rPr>
      </w:r>
    </w:p>
    <w:p w:rsidR="00000000" w:rsidDel="00000000" w:rsidP="00000000" w:rsidRDefault="00000000" w:rsidRPr="00000000" w14:paraId="6A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also reduces integration cost for the platform-specific paths in §12 — several of the cited providers (OpenAI, Anthropic, LangChain, LlamaIndex) already have community OTel auto-instrumentation packages emitting gen_ai.* attributes, which Stardust's Infra SDK can attach to and enrich rather than instrument from scratch.</w:t>
      </w:r>
      <w:r>
        <w:rPr>
          <w:rtl w:val="0"/>
        </w:rPr>
      </w:r>
    </w:p>
    <w:p w:rsidR="00000000" w:rsidDel="00000000" w:rsidP="00000000" w:rsidRDefault="00000000" w:rsidRPr="00000000" w14:paraId="6A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Aligning early, while both the GenAI conventions and the SCI-for-OpenTelemetry effort are still experimental/pre-ratification, gives AIforE a chance to shape the environmental side of the standard rather than retrofit onto it later — directly consistent with the ecosystem-stewardship rationale in §17.4.</w:t>
      </w:r>
      <w:r>
        <w:rPr>
          <w:rtl w:val="0"/>
        </w:rPr>
      </w:r>
    </w:p>
    <w:p w:rsidR="00000000" w:rsidRDefault="00000000" w14:paraId="7E000047">
      <w:pPr>
        <w:pStyle w:val="Heading2"/>
        <w:spacing w:after="120" w:before="280" w:lineRule="auto"/>
        <w:rPr/>
      </w:pPr>
      <w:r>
        <w:rPr>
          <w:b w:val="1"/>
          <w:bCs w:val="1"/>
          <w:color w:val="1e7a4c"/>
          <w:sz w:val="24"/>
          <w:szCs w:val="24"/>
        </w:rPr>
        <w:t xml:space="preserve">11.5 Harmonization Rules and Mapping for Time, Embodied and Lifecycle Telemetry</w:t>
      </w:r>
    </w:p>
    <w:p w:rsidR="00000000" w:rsidRDefault="00000000" w14:paraId="7E000048">
      <w:pPr>
        <w:spacing w:after="140" w:lineRule="auto"/>
        <w:rPr/>
      </w:pPr>
      <w:r>
        <w:rPr>
          <w:sz w:val="21"/>
          <w:szCs w:val="21"/>
        </w:rPr>
        <w:t xml:space="preserve">Two rules govern every telemetry addition: reuse an existing standard or de facto convention before defining anything new, and give any attribute proposed upstream a vendor-neutral name so the convention can be adopted by anyone. The stardust.* namespace (§11.2) remains only as the interim experimental space until a neutral convention is accepted, with migration handled as in §11.2. Proposed names below are drafts for discussion with the OpenTelemetry semantic conventions community and the Green Software Foundation. The OTel hardware conventions are themselves still in Development status, so Stardust tracks their changes through the versioned configuration in §8.4.</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049">
            <w:pPr>
              <w:rPr/>
            </w:pPr>
            <w:r>
              <w:rPr>
                <w:b w:val="1"/>
                <w:bCs w:val="1"/>
                <w:color w:val="ffffff"/>
                <w:sz w:val="19"/>
                <w:szCs w:val="19"/>
              </w:rPr>
              <w:t xml:space="preserve">Stardust concept</w:t>
            </w:r>
          </w:p>
        </w:tc>
        <w:tc>
          <w:tcPr>
            <w:tcW w:w="3400" w:type="dxa"/>
            <w:shd w:val="clear" w:color="auto" w:fill="1e7a4c"/>
            <w:tcMar>
              <w:top w:w="80" w:type="dxa"/>
              <w:left w:w="100" w:type="dxa"/>
              <w:bottom w:w="80" w:type="dxa"/>
              <w:right w:w="100" w:type="dxa"/>
            </w:tcMar>
          </w:tcPr>
          <w:p w:rsidR="00000000" w:rsidRDefault="00000000" w14:paraId="7E00004A">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04B">
            <w:pPr>
              <w:rPr/>
            </w:pPr>
            <w:r>
              <w:rPr>
                <w:b w:val="1"/>
                <w:bCs w:val="1"/>
                <w:color w:val="ffffff"/>
                <w:sz w:val="19"/>
                <w:szCs w:val="19"/>
              </w:rPr>
              <w:t xml:space="preserve">Stardust action</w:t>
            </w:r>
          </w:p>
        </w:tc>
      </w:tr>
      <w:tr>
        <w:trPr>
          <w:cantSplit/>
        </w:trPr>
        <w:tc>
          <w:tcPr>
            <w:tcW w:w="2600" w:type="dxa"/>
            <w:tcMar>
              <w:top w:w="80" w:type="dxa"/>
              <w:left w:w="100" w:type="dxa"/>
              <w:bottom w:w="80" w:type="dxa"/>
              <w:right w:w="100" w:type="dxa"/>
            </w:tcMar>
          </w:tcPr>
          <w:p w:rsidR="00000000" w:rsidRDefault="00000000" w14:paraId="7E00004C">
            <w:pPr>
              <w:rPr/>
            </w:pPr>
            <w:r>
              <w:rPr>
                <w:sz w:val="19"/>
                <w:szCs w:val="19"/>
              </w:rPr>
              <w:t xml:space="preserve">Host, GPU, memory and PSU energy</w:t>
            </w:r>
          </w:p>
        </w:tc>
        <w:tc>
          <w:tcPr>
            <w:tcW w:w="3400" w:type="dxa"/>
            <w:tcMar>
              <w:top w:w="80" w:type="dxa"/>
              <w:left w:w="100" w:type="dxa"/>
              <w:bottom w:w="80" w:type="dxa"/>
              <w:right w:w="100" w:type="dxa"/>
            </w:tcMar>
          </w:tcPr>
          <w:p w:rsidR="00000000" w:rsidRDefault="00000000" w14:paraId="7E00004D">
            <w:pPr>
              <w:rPr/>
            </w:pPr>
            <w:r>
              <w:rPr>
                <w:sz w:val="19"/>
                <w:szCs w:val="19"/>
              </w:rPr>
              <w:t xml:space="preserve">Existing: OTel hw.energy, hw.host.energy, hw.gpu.* metrics; collected via Kepler (Kubernetes), NVIDIA DCGM, or Redfish power telemetry</w:t>
            </w:r>
          </w:p>
        </w:tc>
        <w:tc>
          <w:tcPr>
            <w:tcW w:w="3600" w:type="dxa"/>
            <w:tcMar>
              <w:top w:w="80" w:type="dxa"/>
              <w:left w:w="100" w:type="dxa"/>
              <w:bottom w:w="80" w:type="dxa"/>
              <w:right w:w="100" w:type="dxa"/>
            </w:tcMar>
          </w:tcPr>
          <w:p w:rsidR="00000000" w:rsidRDefault="00000000" w14:paraId="7E00004E">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4F">
            <w:pPr>
              <w:rPr/>
            </w:pPr>
            <w:r>
              <w:rPr>
                <w:sz w:val="19"/>
                <w:szCs w:val="19"/>
              </w:rPr>
              <w:t xml:space="preserve">Component class for embodied data</w:t>
            </w:r>
          </w:p>
        </w:tc>
        <w:tc>
          <w:tcPr>
            <w:tcW w:w="3400" w:type="dxa"/>
            <w:tcMar>
              <w:top w:w="80" w:type="dxa"/>
              <w:left w:w="100" w:type="dxa"/>
              <w:bottom w:w="80" w:type="dxa"/>
              <w:right w:w="100" w:type="dxa"/>
            </w:tcMar>
          </w:tcPr>
          <w:p w:rsidR="00000000" w:rsidRDefault="00000000" w14:paraId="7E000050">
            <w:pPr>
              <w:rPr/>
            </w:pPr>
            <w:r>
              <w:rPr>
                <w:sz w:val="19"/>
                <w:szCs w:val="19"/>
              </w:rPr>
              <w:t xml:space="preserve">Existing: OTel hw.type well-known values</w:t>
            </w:r>
          </w:p>
        </w:tc>
        <w:tc>
          <w:tcPr>
            <w:tcW w:w="3600" w:type="dxa"/>
            <w:tcMar>
              <w:top w:w="80" w:type="dxa"/>
              <w:left w:w="100" w:type="dxa"/>
              <w:bottom w:w="80" w:type="dxa"/>
              <w:right w:w="100" w:type="dxa"/>
            </w:tcMar>
          </w:tcPr>
          <w:p w:rsidR="00000000" w:rsidRDefault="00000000" w14:paraId="7E000051">
            <w:pPr>
              <w:rPr/>
            </w:pPr>
            <w:r>
              <w:rPr>
                <w:sz w:val="19"/>
                <w:szCs w:val="19"/>
              </w:rPr>
              <w:t xml:space="preserve">Use as is; extend only for accelerator subcomponents</w:t>
            </w:r>
          </w:p>
        </w:tc>
      </w:tr>
      <w:tr>
        <w:trPr>
          <w:cantSplit/>
        </w:trPr>
        <w:tc>
          <w:tcPr>
            <w:tcW w:w="2600" w:type="dxa"/>
            <w:tcMar>
              <w:top w:w="80" w:type="dxa"/>
              <w:left w:w="100" w:type="dxa"/>
              <w:bottom w:w="80" w:type="dxa"/>
              <w:right w:w="100" w:type="dxa"/>
            </w:tcMar>
          </w:tcPr>
          <w:p w:rsidR="00000000" w:rsidRDefault="00000000" w14:paraId="7E000052">
            <w:pPr>
              <w:rPr/>
            </w:pPr>
            <w:r>
              <w:rPr>
                <w:sz w:val="19"/>
                <w:szCs w:val="19"/>
              </w:rPr>
              <w:t xml:space="preserve">Asset identity (manufacturer, model, serial)</w:t>
            </w:r>
          </w:p>
        </w:tc>
        <w:tc>
          <w:tcPr>
            <w:tcW w:w="3400" w:type="dxa"/>
            <w:tcMar>
              <w:top w:w="80" w:type="dxa"/>
              <w:left w:w="100" w:type="dxa"/>
              <w:bottom w:w="80" w:type="dxa"/>
              <w:right w:w="100" w:type="dxa"/>
            </w:tcMar>
          </w:tcPr>
          <w:p w:rsidR="00000000" w:rsidRDefault="00000000" w14:paraId="7E000053">
            <w:pPr>
              <w:rPr/>
            </w:pPr>
            <w:r>
              <w:rPr>
                <w:sz w:val="19"/>
                <w:szCs w:val="19"/>
              </w:rPr>
              <w:t xml:space="preserve">Existing: OTel host.* resource attributes; DMTF Redfish inventory properties</w:t>
            </w:r>
          </w:p>
        </w:tc>
        <w:tc>
          <w:tcPr>
            <w:tcW w:w="3600" w:type="dxa"/>
            <w:tcMar>
              <w:top w:w="80" w:type="dxa"/>
              <w:left w:w="100" w:type="dxa"/>
              <w:bottom w:w="80" w:type="dxa"/>
              <w:right w:w="100" w:type="dxa"/>
            </w:tcMar>
          </w:tcPr>
          <w:p w:rsidR="00000000" w:rsidRDefault="00000000" w14:paraId="7E000054">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55">
            <w:pPr>
              <w:rPr/>
            </w:pPr>
            <w:r>
              <w:rPr>
                <w:sz w:val="19"/>
                <w:szCs w:val="19"/>
              </w:rPr>
              <w:t xml:space="preserve">Grid carbon intensity and signal type</w:t>
            </w:r>
          </w:p>
        </w:tc>
        <w:tc>
          <w:tcPr>
            <w:tcW w:w="3400" w:type="dxa"/>
            <w:tcMar>
              <w:top w:w="80" w:type="dxa"/>
              <w:left w:w="100" w:type="dxa"/>
              <w:bottom w:w="80" w:type="dxa"/>
              <w:right w:w="100" w:type="dxa"/>
            </w:tcMar>
          </w:tcPr>
          <w:p w:rsidR="00000000" w:rsidRDefault="00000000" w14:paraId="7E000056">
            <w:pPr>
              <w:rPr/>
            </w:pPr>
            <w:r>
              <w:rPr>
                <w:sz w:val="19"/>
                <w:szCs w:val="19"/>
              </w:rPr>
              <w:t xml:space="preserve">No OTel convention. De facto sources: WattTime (marginal), Electricity Maps (average), normalized by the GSF Carbon Aware SDK in gCO2e/kWh</w:t>
            </w:r>
          </w:p>
        </w:tc>
        <w:tc>
          <w:tcPr>
            <w:tcW w:w="3600" w:type="dxa"/>
            <w:tcMar>
              <w:top w:w="80" w:type="dxa"/>
              <w:left w:w="100" w:type="dxa"/>
              <w:bottom w:w="80" w:type="dxa"/>
              <w:right w:w="100" w:type="dxa"/>
            </w:tcMar>
          </w:tcPr>
          <w:p w:rsidR="00000000" w:rsidRDefault="00000000" w14:paraId="7E000057">
            <w:pPr>
              <w:rPr/>
            </w:pPr>
            <w:r>
              <w:rPr>
                <w:sz w:val="19"/>
                <w:szCs w:val="19"/>
              </w:rPr>
              <w:t xml:space="preserve">Propose energy.grid.carbon_intensity, energy.grid.signal_type, energy.grid.signal_source</w:t>
            </w:r>
          </w:p>
        </w:tc>
      </w:tr>
      <w:tr>
        <w:trPr>
          <w:cantSplit/>
        </w:trPr>
        <w:tc>
          <w:tcPr>
            <w:tcW w:w="2600" w:type="dxa"/>
            <w:tcMar>
              <w:top w:w="80" w:type="dxa"/>
              <w:left w:w="100" w:type="dxa"/>
              <w:bottom w:w="80" w:type="dxa"/>
              <w:right w:w="100" w:type="dxa"/>
            </w:tcMar>
          </w:tcPr>
          <w:p w:rsidR="00000000" w:rsidRDefault="00000000" w14:paraId="7E000058">
            <w:pPr>
              <w:rPr/>
            </w:pPr>
            <w:r>
              <w:rPr>
                <w:sz w:val="19"/>
                <w:szCs w:val="19"/>
              </w:rPr>
              <w:t xml:space="preserve">Time-of-use tariff period and rate</w:t>
            </w:r>
          </w:p>
        </w:tc>
        <w:tc>
          <w:tcPr>
            <w:tcW w:w="3400" w:type="dxa"/>
            <w:tcMar>
              <w:top w:w="80" w:type="dxa"/>
              <w:left w:w="100" w:type="dxa"/>
              <w:bottom w:w="80" w:type="dxa"/>
              <w:right w:w="100" w:type="dxa"/>
            </w:tcMar>
          </w:tcPr>
          <w:p w:rsidR="00000000" w:rsidRDefault="00000000" w14:paraId="7E000059">
            <w:pPr>
              <w:rPr/>
            </w:pPr>
            <w:r>
              <w:rPr>
                <w:sz w:val="19"/>
                <w:szCs w:val="19"/>
              </w:rPr>
              <w:t xml:space="preserve">No OTel convention. De facto sources: OpenADR 3.0 price events, OpenEI Utility Rate Database, Green Button interval data</w:t>
            </w:r>
          </w:p>
        </w:tc>
        <w:tc>
          <w:tcPr>
            <w:tcW w:w="3600" w:type="dxa"/>
            <w:tcMar>
              <w:top w:w="80" w:type="dxa"/>
              <w:left w:w="100" w:type="dxa"/>
              <w:bottom w:w="80" w:type="dxa"/>
              <w:right w:w="100" w:type="dxa"/>
            </w:tcMar>
          </w:tcPr>
          <w:p w:rsidR="00000000" w:rsidRDefault="00000000" w14:paraId="7E00005A">
            <w:pPr>
              <w:rPr/>
            </w:pPr>
            <w:r>
              <w:rPr>
                <w:sz w:val="19"/>
                <w:szCs w:val="19"/>
              </w:rPr>
              <w:t xml:space="preserve">Propose energy.tariff.period, energy.tariff.rate</w:t>
            </w:r>
          </w:p>
        </w:tc>
      </w:tr>
      <w:tr>
        <w:trPr>
          <w:cantSplit/>
        </w:trPr>
        <w:tc>
          <w:tcPr>
            <w:tcW w:w="2600" w:type="dxa"/>
            <w:tcMar>
              <w:top w:w="80" w:type="dxa"/>
              <w:left w:w="100" w:type="dxa"/>
              <w:bottom w:w="80" w:type="dxa"/>
              <w:right w:w="100" w:type="dxa"/>
            </w:tcMar>
          </w:tcPr>
          <w:p w:rsidR="00000000" w:rsidRDefault="00000000" w14:paraId="7E00005B">
            <w:pPr>
              <w:rPr/>
            </w:pPr>
            <w:r>
              <w:rPr>
                <w:sz w:val="19"/>
                <w:szCs w:val="19"/>
              </w:rPr>
              <w:t xml:space="preserve">Scheduling slack and shift</w:t>
            </w:r>
          </w:p>
        </w:tc>
        <w:tc>
          <w:tcPr>
            <w:tcW w:w="3400" w:type="dxa"/>
            <w:tcMar>
              <w:top w:w="80" w:type="dxa"/>
              <w:left w:w="100" w:type="dxa"/>
              <w:bottom w:w="80" w:type="dxa"/>
              <w:right w:w="100" w:type="dxa"/>
            </w:tcMar>
          </w:tcPr>
          <w:p w:rsidR="00000000" w:rsidRDefault="00000000" w14:paraId="7E00005C">
            <w:pPr>
              <w:rPr/>
            </w:pPr>
            <w:r>
              <w:rPr>
                <w:sz w:val="19"/>
                <w:szCs w:val="19"/>
              </w:rPr>
              <w:t xml:space="preserve">No convention</w:t>
            </w:r>
          </w:p>
        </w:tc>
        <w:tc>
          <w:tcPr>
            <w:tcW w:w="3600" w:type="dxa"/>
            <w:tcMar>
              <w:top w:w="80" w:type="dxa"/>
              <w:left w:w="100" w:type="dxa"/>
              <w:bottom w:w="80" w:type="dxa"/>
              <w:right w:w="100" w:type="dxa"/>
            </w:tcMar>
          </w:tcPr>
          <w:p w:rsidR="00000000" w:rsidRDefault="00000000" w14:paraId="7E00005D">
            <w:pPr>
              <w:rPr/>
            </w:pPr>
            <w:r>
              <w:rPr>
                <w:sz w:val="19"/>
                <w:szCs w:val="19"/>
              </w:rPr>
              <w:t xml:space="preserve">Propose workload.schedule.slack, workload.schedule.shift</w:t>
            </w:r>
          </w:p>
        </w:tc>
      </w:tr>
      <w:tr>
        <w:trPr>
          <w:cantSplit/>
        </w:trPr>
        <w:tc>
          <w:tcPr>
            <w:tcW w:w="2600" w:type="dxa"/>
            <w:tcMar>
              <w:top w:w="80" w:type="dxa"/>
              <w:left w:w="100" w:type="dxa"/>
              <w:bottom w:w="80" w:type="dxa"/>
              <w:right w:w="100" w:type="dxa"/>
            </w:tcMar>
          </w:tcPr>
          <w:p w:rsidR="00000000" w:rsidRDefault="00000000" w14:paraId="7E00005E">
            <w:pPr>
              <w:rPr/>
            </w:pPr>
            <w:r>
              <w:rPr>
                <w:sz w:val="19"/>
                <w:szCs w:val="19"/>
              </w:rPr>
              <w:t xml:space="preserve">Embodied carbon per device or component</w:t>
            </w:r>
          </w:p>
        </w:tc>
        <w:tc>
          <w:tcPr>
            <w:tcW w:w="3400" w:type="dxa"/>
            <w:tcMar>
              <w:top w:w="80" w:type="dxa"/>
              <w:left w:w="100" w:type="dxa"/>
              <w:bottom w:w="80" w:type="dxa"/>
              <w:right w:w="100" w:type="dxa"/>
            </w:tcMar>
          </w:tcPr>
          <w:p w:rsidR="00000000" w:rsidRDefault="00000000" w14:paraId="7E00005F">
            <w:pPr>
              <w:rPr/>
            </w:pPr>
            <w:r>
              <w:rPr>
                <w:sz w:val="19"/>
                <w:szCs w:val="19"/>
              </w:rPr>
              <w:t xml:space="preserve">No OTel convention; ISO 14067 PCFs, Boavizta</w:t>
            </w:r>
          </w:p>
        </w:tc>
        <w:tc>
          <w:tcPr>
            <w:tcW w:w="3600" w:type="dxa"/>
            <w:tcMar>
              <w:top w:w="80" w:type="dxa"/>
              <w:left w:w="100" w:type="dxa"/>
              <w:bottom w:w="80" w:type="dxa"/>
              <w:right w:w="100" w:type="dxa"/>
            </w:tcMar>
          </w:tcPr>
          <w:p w:rsidR="00000000" w:rsidRDefault="00000000" w14:paraId="7E000060">
            <w:pPr>
              <w:rPr/>
            </w:pPr>
            <w:r>
              <w:rPr>
                <w:sz w:val="19"/>
                <w:szCs w:val="19"/>
              </w:rPr>
              <w:t xml:space="preserve">Propose hw.embodied.co2e, hw.embodied.source</w:t>
            </w:r>
          </w:p>
        </w:tc>
      </w:tr>
      <w:tr>
        <w:trPr>
          <w:cantSplit/>
        </w:trPr>
        <w:tc>
          <w:tcPr>
            <w:tcW w:w="2600" w:type="dxa"/>
            <w:tcMar>
              <w:top w:w="80" w:type="dxa"/>
              <w:left w:w="100" w:type="dxa"/>
              <w:bottom w:w="80" w:type="dxa"/>
              <w:right w:w="100" w:type="dxa"/>
            </w:tcMar>
          </w:tcPr>
          <w:p w:rsidR="00000000" w:rsidRDefault="00000000" w14:paraId="7E000061">
            <w:pPr>
              <w:rPr/>
            </w:pPr>
            <w:r>
              <w:rPr>
                <w:sz w:val="19"/>
                <w:szCs w:val="19"/>
              </w:rPr>
              <w:t xml:space="preserve">Hardware lifecycle state</w:t>
            </w:r>
          </w:p>
        </w:tc>
        <w:tc>
          <w:tcPr>
            <w:tcW w:w="3400" w:type="dxa"/>
            <w:tcMar>
              <w:top w:w="80" w:type="dxa"/>
              <w:left w:w="100" w:type="dxa"/>
              <w:bottom w:w="80" w:type="dxa"/>
              <w:right w:w="100" w:type="dxa"/>
            </w:tcMar>
          </w:tcPr>
          <w:p w:rsidR="00000000" w:rsidRDefault="00000000" w14:paraId="7E000062">
            <w:pPr>
              <w:rPr/>
            </w:pPr>
            <w:r>
              <w:rPr>
                <w:sz w:val="19"/>
                <w:szCs w:val="19"/>
              </w:rPr>
              <w:t xml:space="preserve">No convention (OTel hw.status covers only ok/degraded/failed)</w:t>
            </w:r>
          </w:p>
        </w:tc>
        <w:tc>
          <w:tcPr>
            <w:tcW w:w="3600" w:type="dxa"/>
            <w:tcMar>
              <w:top w:w="80" w:type="dxa"/>
              <w:left w:w="100" w:type="dxa"/>
              <w:bottom w:w="80" w:type="dxa"/>
              <w:right w:w="100" w:type="dxa"/>
            </w:tcMar>
          </w:tcPr>
          <w:p w:rsidR="00000000" w:rsidRDefault="00000000" w14:paraId="7E000063">
            <w:pPr>
              <w:rPr/>
            </w:pPr>
            <w:r>
              <w:rPr>
                <w:sz w:val="19"/>
                <w:szCs w:val="19"/>
              </w:rPr>
              <w:t xml:space="preserve">Propose hw.lifecycle.state</w:t>
            </w:r>
          </w:p>
        </w:tc>
      </w:tr>
      <w:tr>
        <w:trPr>
          <w:cantSplit/>
        </w:trPr>
        <w:tc>
          <w:tcPr>
            <w:tcW w:w="2600" w:type="dxa"/>
            <w:tcMar>
              <w:top w:w="80" w:type="dxa"/>
              <w:left w:w="100" w:type="dxa"/>
              <w:bottom w:w="80" w:type="dxa"/>
              <w:right w:w="100" w:type="dxa"/>
            </w:tcMar>
          </w:tcPr>
          <w:p w:rsidR="00000000" w:rsidRDefault="00000000" w14:paraId="7E000064">
            <w:pPr>
              <w:rPr/>
            </w:pPr>
            <w:r>
              <w:rPr>
                <w:sz w:val="19"/>
                <w:szCs w:val="19"/>
              </w:rPr>
              <w:t xml:space="preserve">Circularity indicators</w:t>
            </w:r>
          </w:p>
        </w:tc>
        <w:tc>
          <w:tcPr>
            <w:tcW w:w="3400" w:type="dxa"/>
            <w:tcMar>
              <w:top w:w="80" w:type="dxa"/>
              <w:left w:w="100" w:type="dxa"/>
              <w:bottom w:w="80" w:type="dxa"/>
              <w:right w:w="100" w:type="dxa"/>
            </w:tcMar>
          </w:tcPr>
          <w:p w:rsidR="00000000" w:rsidRDefault="00000000" w14:paraId="7E000065">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066">
            <w:pPr>
              <w:rPr/>
            </w:pPr>
            <w:r>
              <w:rPr>
                <w:sz w:val="19"/>
                <w:szCs w:val="19"/>
              </w:rPr>
              <w:t xml:space="preserve">Reference the standard; no new attribute</w:t>
            </w:r>
          </w:p>
        </w:tc>
      </w:tr>
    </w:tbl>
    <w:p w:rsidR="00000000" w:rsidRDefault="00000000" w14:paraId="7E000067">
      <w:pPr>
        <w:spacing w:after="120"/>
        <w:rPr/>
      </w:pPr>
    </w:p>
    <w:p w:rsidR="00000000" w:rsidDel="00000000" w:rsidP="00000000" w:rsidRDefault="00000000" w:rsidRPr="00000000" w14:paraId="00000225">
      <w:pPr>
        <w:pStyle w:val="Heading1"/>
        <w:spacing w:after="160" w:before="360" w:lineRule="auto"/>
        <w:rPr/>
      </w:pPr>
      <w:r>
        <w:rPr>
          <w:b w:val="1"/>
          <w:bCs w:val="1"/>
          <w:color w:val="0f4a2e"/>
          <w:sz w:val="30"/>
          <w:szCs w:val="30"/>
          <w:rtl w:val="0"/>
        </w:rPr>
        <w:t xml:space="preserve">12. Platform-Specific Porting Specifications</w:t>
      </w:r>
      <w:r>
        <w:rPr>
          <w:rtl w:val="0"/>
        </w:rPr>
      </w:r>
    </w:p>
    <w:p w:rsidR="00000000" w:rsidDel="00000000" w:rsidP="00000000" w:rsidRDefault="00000000" w:rsidRPr="00000000" w14:paraId="00000226">
      <w:pPr>
        <w:spacing w:after="140" w:lineRule="auto"/>
        <w:rPr/>
      </w:pPr>
      <w:r>
        <w:rPr>
          <w:sz w:val="21"/>
          <w:szCs w:val="21"/>
          <w:rtl w:val="0"/>
        </w:rPr>
        <w:t xml:space="preserve">This section details, target by target, how Stardust actually attaches to each named app, browser, and infrastructure service — the concrete integration surface, what data it yields, the resulting confidence tier (§8), and known constraints. It supersedes the general statements in §3 with implementation-level detail per target.</w:t>
      </w:r>
      <w:r>
        <w:rPr>
          <w:rtl w:val="0"/>
        </w:rPr>
      </w:r>
    </w:p>
    <w:p w:rsidR="00000000" w:rsidDel="00000000" w:rsidP="00000000" w:rsidRDefault="00000000" w:rsidRPr="00000000" w14:paraId="00000227">
      <w:pPr>
        <w:pStyle w:val="Heading2"/>
        <w:spacing w:after="120" w:before="280" w:lineRule="auto"/>
        <w:rPr/>
      </w:pPr>
      <w:r>
        <w:rPr>
          <w:b w:val="1"/>
          <w:bCs w:val="1"/>
          <w:color w:val="1e7a4c"/>
          <w:sz w:val="24"/>
          <w:szCs w:val="24"/>
          <w:rtl w:val="0"/>
        </w:rPr>
        <w:t xml:space="preserve">12.1 Summary Matrix</w:t>
      </w:r>
      <w:r>
        <w:rPr>
          <w:rtl w:val="0"/>
        </w:rPr>
      </w:r>
    </w:p>
    <w:tbl>
      <w:tblPr>
        <w:tblStyle w:val="Table1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4200"/>
        <w:gridCol w:w="2200"/>
        <w:tblGridChange w:id="0">
          <w:tblGrid>
            <w:gridCol w:w="3400"/>
            <w:gridCol w:w="4200"/>
            <w:gridCol w:w="22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228">
            <w:pPr>
              <w:rPr/>
            </w:pPr>
            <w:r>
              <w:rPr>
                <w:b w:val="1"/>
                <w:bCs w:val="1"/>
                <w:color w:val="ffffff"/>
                <w:sz w:val="19"/>
                <w:szCs w:val="19"/>
                <w:rtl w:val="0"/>
              </w:rPr>
              <w:t xml:space="preserve">Target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29">
            <w:pPr>
              <w:rPr/>
            </w:pPr>
            <w:r>
              <w:rPr>
                <w:b w:val="1"/>
                <w:bCs w:val="1"/>
                <w:color w:val="ffffff"/>
                <w:sz w:val="19"/>
                <w:szCs w:val="19"/>
                <w:rtl w:val="0"/>
              </w:rPr>
              <w:t xml:space="preserve">Integration path</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2A">
            <w:pPr>
              <w:rPr/>
            </w:pPr>
            <w:r>
              <w:rPr>
                <w:b w:val="1"/>
                <w:bCs w:val="1"/>
                <w:color w:val="ffffff"/>
                <w:sz w:val="19"/>
                <w:szCs w:val="19"/>
                <w:rtl w:val="0"/>
              </w:rPr>
              <w:t xml:space="preserve">Confidence tier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B">
            <w:pPr>
              <w:rPr/>
            </w:pPr>
            <w:r>
              <w:rPr>
                <w:sz w:val="19"/>
                <w:szCs w:val="19"/>
                <w:rtl w:val="0"/>
              </w:rPr>
              <w:t xml:space="preserve">Claude (claude.ai / Desktop / Code / Cowork)</w:t>
            </w:r>
            <w:r>
              <w:rPr>
                <w:rtl w:val="0"/>
              </w:rPr>
            </w:r>
          </w:p>
        </w:tc>
        <w:tc>
          <w:tcPr>
            <w:tcMar>
              <w:top w:w="80.0" w:type="dxa"/>
              <w:left w:w="100.0" w:type="dxa"/>
              <w:bottom w:w="80.0" w:type="dxa"/>
              <w:right w:w="100.0" w:type="dxa"/>
            </w:tcMar>
          </w:tcPr>
          <w:p w:rsidR="00000000" w:rsidDel="00000000" w:rsidP="00000000" w:rsidRDefault="00000000" w:rsidRPr="00000000" w14:paraId="0000022C">
            <w:pPr>
              <w:rPr/>
            </w:pPr>
            <w:r>
              <w:rPr>
                <w:sz w:val="19"/>
                <w:szCs w:val="19"/>
                <w:rtl w:val="0"/>
              </w:rPr>
              <w:t xml:space="preserve">Remote MCP connector (reporting tools) + Browser Extension fallback for web UI usage</w:t>
            </w:r>
            <w:r>
              <w:rPr>
                <w:rtl w:val="0"/>
              </w:rPr>
            </w:r>
          </w:p>
        </w:tc>
        <w:tc>
          <w:tcPr>
            <w:tcMar>
              <w:top w:w="80.0" w:type="dxa"/>
              <w:left w:w="100.0" w:type="dxa"/>
              <w:bottom w:w="80.0" w:type="dxa"/>
              <w:right w:w="100.0" w:type="dxa"/>
            </w:tcMar>
          </w:tcPr>
          <w:p w:rsidR="00000000" w:rsidDel="00000000" w:rsidP="00000000" w:rsidRDefault="00000000" w:rsidRPr="00000000" w14:paraId="0000022D">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E">
            <w:pPr>
              <w:rPr/>
            </w:pPr>
            <w:r>
              <w:rPr>
                <w:sz w:val="19"/>
                <w:szCs w:val="19"/>
                <w:rtl w:val="0"/>
              </w:rPr>
              <w:t xml:space="preserve">Claude API (developer usage)</w:t>
            </w:r>
            <w:r>
              <w:rPr>
                <w:rtl w:val="0"/>
              </w:rPr>
            </w:r>
          </w:p>
        </w:tc>
        <w:tc>
          <w:tcPr>
            <w:tcMar>
              <w:top w:w="80.0" w:type="dxa"/>
              <w:left w:w="100.0" w:type="dxa"/>
              <w:bottom w:w="80.0" w:type="dxa"/>
              <w:right w:w="100.0" w:type="dxa"/>
            </w:tcMar>
          </w:tcPr>
          <w:p w:rsidR="00000000" w:rsidDel="00000000" w:rsidP="00000000" w:rsidRDefault="00000000" w:rsidRPr="00000000" w14:paraId="0000022F">
            <w:pPr>
              <w:rPr/>
            </w:pPr>
            <w:r>
              <w:rPr>
                <w:sz w:val="19"/>
                <w:szCs w:val="19"/>
                <w:rtl w:val="0"/>
              </w:rPr>
              <w:t xml:space="preserve">Infra SDK wrapping Messages API usage payload</w:t>
            </w:r>
            <w:r>
              <w:rPr>
                <w:rtl w:val="0"/>
              </w:rPr>
            </w:r>
          </w:p>
        </w:tc>
        <w:tc>
          <w:tcPr>
            <w:tcMar>
              <w:top w:w="80.0" w:type="dxa"/>
              <w:left w:w="100.0" w:type="dxa"/>
              <w:bottom w:w="80.0" w:type="dxa"/>
              <w:right w:w="100.0" w:type="dxa"/>
            </w:tcMar>
          </w:tcPr>
          <w:p w:rsidR="00000000" w:rsidDel="00000000" w:rsidP="00000000" w:rsidRDefault="00000000" w:rsidRPr="00000000" w14:paraId="00000230">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1">
            <w:pPr>
              <w:rPr/>
            </w:pPr>
            <w:r>
              <w:rPr>
                <w:sz w:val="19"/>
                <w:szCs w:val="19"/>
                <w:rtl w:val="0"/>
              </w:rPr>
              <w:t xml:space="preserve">ChatGPT (chatgpt.com / desktop)</w:t>
            </w:r>
            <w:r>
              <w:rPr>
                <w:rtl w:val="0"/>
              </w:rPr>
            </w:r>
          </w:p>
        </w:tc>
        <w:tc>
          <w:tcPr>
            <w:tcMar>
              <w:top w:w="80.0" w:type="dxa"/>
              <w:left w:w="100.0" w:type="dxa"/>
              <w:bottom w:w="80.0" w:type="dxa"/>
              <w:right w:w="100.0" w:type="dxa"/>
            </w:tcMar>
          </w:tcPr>
          <w:p w:rsidR="00000000" w:rsidDel="00000000" w:rsidP="00000000" w:rsidRDefault="00000000" w:rsidRPr="00000000" w14:paraId="00000232">
            <w:pPr>
              <w:rPr/>
            </w:pPr>
            <w:r>
              <w:rPr>
                <w:sz w:val="19"/>
                <w:szCs w:val="19"/>
                <w:rtl w:val="0"/>
              </w:rPr>
              <w:t xml:space="preserve">Browser Extension (no passive plugin surface available)</w:t>
            </w:r>
            <w:r>
              <w:rPr>
                <w:rtl w:val="0"/>
              </w:rPr>
            </w:r>
          </w:p>
        </w:tc>
        <w:tc>
          <w:tcPr>
            <w:tcMar>
              <w:top w:w="80.0" w:type="dxa"/>
              <w:left w:w="100.0" w:type="dxa"/>
              <w:bottom w:w="80.0" w:type="dxa"/>
              <w:right w:w="100.0" w:type="dxa"/>
            </w:tcMar>
          </w:tcPr>
          <w:p w:rsidR="00000000" w:rsidDel="00000000" w:rsidP="00000000" w:rsidRDefault="00000000" w:rsidRPr="00000000" w14:paraId="00000233">
            <w:pPr>
              <w:rPr/>
            </w:pPr>
            <w:r>
              <w:rPr>
                <w:sz w:val="19"/>
                <w:szCs w:val="19"/>
                <w:rtl w:val="0"/>
              </w:rPr>
              <w:t xml:space="preserve">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4">
            <w:pPr>
              <w:rPr/>
            </w:pPr>
            <w:r>
              <w:rPr>
                <w:sz w:val="19"/>
                <w:szCs w:val="19"/>
                <w:rtl w:val="0"/>
              </w:rPr>
              <w:t xml:space="preserve">OpenAI API (developer usage)</w:t>
            </w:r>
            <w:r>
              <w:rPr>
                <w:rtl w:val="0"/>
              </w:rPr>
            </w:r>
          </w:p>
        </w:tc>
        <w:tc>
          <w:tcPr>
            <w:tcMar>
              <w:top w:w="80.0" w:type="dxa"/>
              <w:left w:w="100.0" w:type="dxa"/>
              <w:bottom w:w="80.0" w:type="dxa"/>
              <w:right w:w="100.0" w:type="dxa"/>
            </w:tcMar>
          </w:tcPr>
          <w:p w:rsidR="00000000" w:rsidDel="00000000" w:rsidP="00000000" w:rsidRDefault="00000000" w:rsidRPr="00000000" w14:paraId="00000235">
            <w:pPr>
              <w:rPr/>
            </w:pPr>
            <w:r>
              <w:rPr>
                <w:sz w:val="19"/>
                <w:szCs w:val="19"/>
                <w:rtl w:val="0"/>
              </w:rPr>
              <w:t xml:space="preserve">Infra SDK wrapping API usage object</w:t>
            </w:r>
            <w:r>
              <w:rPr>
                <w:rtl w:val="0"/>
              </w:rPr>
            </w:r>
          </w:p>
        </w:tc>
        <w:tc>
          <w:tcPr>
            <w:tcMar>
              <w:top w:w="80.0" w:type="dxa"/>
              <w:left w:w="100.0" w:type="dxa"/>
              <w:bottom w:w="80.0" w:type="dxa"/>
              <w:right w:w="100.0" w:type="dxa"/>
            </w:tcMar>
          </w:tcPr>
          <w:p w:rsidR="00000000" w:rsidDel="00000000" w:rsidP="00000000" w:rsidRDefault="00000000" w:rsidRPr="00000000" w14:paraId="00000236">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7">
            <w:pPr>
              <w:rPr/>
            </w:pPr>
            <w:r>
              <w:rPr>
                <w:sz w:val="19"/>
                <w:szCs w:val="19"/>
                <w:rtl w:val="0"/>
              </w:rPr>
              <w:t xml:space="preserve">Gemini (consumer web/mobile app)</w:t>
            </w:r>
            <w:r>
              <w:rPr>
                <w:rtl w:val="0"/>
              </w:rPr>
            </w:r>
          </w:p>
        </w:tc>
        <w:tc>
          <w:tcPr>
            <w:tcMar>
              <w:top w:w="80.0" w:type="dxa"/>
              <w:left w:w="100.0" w:type="dxa"/>
              <w:bottom w:w="80.0" w:type="dxa"/>
              <w:right w:w="100.0" w:type="dxa"/>
            </w:tcMar>
          </w:tcPr>
          <w:p w:rsidR="00000000" w:rsidDel="00000000" w:rsidP="00000000" w:rsidRDefault="00000000" w:rsidRPr="00000000" w14:paraId="00000238">
            <w:pPr>
              <w:rPr/>
            </w:pPr>
            <w:r>
              <w:rPr>
                <w:sz w:val="19"/>
                <w:szCs w:val="19"/>
                <w:rtl w:val="0"/>
              </w:rPr>
              <w:t xml:space="preserve">Browser Extension (no third-party Gem/Connected-App surface)</w:t>
            </w:r>
            <w:r>
              <w:rPr>
                <w:rtl w:val="0"/>
              </w:rPr>
            </w:r>
          </w:p>
        </w:tc>
        <w:tc>
          <w:tcPr>
            <w:tcMar>
              <w:top w:w="80.0" w:type="dxa"/>
              <w:left w:w="100.0" w:type="dxa"/>
              <w:bottom w:w="80.0" w:type="dxa"/>
              <w:right w:w="100.0" w:type="dxa"/>
            </w:tcMar>
          </w:tcPr>
          <w:p w:rsidR="00000000" w:rsidDel="00000000" w:rsidP="00000000" w:rsidRDefault="00000000" w:rsidRPr="00000000" w14:paraId="00000239">
            <w:pPr>
              <w:rPr/>
            </w:pPr>
            <w:r>
              <w:rPr>
                <w:sz w:val="19"/>
                <w:szCs w:val="19"/>
                <w:rtl w:val="0"/>
              </w:rPr>
              <w:t xml:space="preserve">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A">
            <w:pPr>
              <w:rPr/>
            </w:pPr>
            <w:r>
              <w:rPr>
                <w:sz w:val="19"/>
                <w:szCs w:val="19"/>
                <w:rtl w:val="0"/>
              </w:rPr>
              <w:t xml:space="preserve">Gemini API / Vertex AI (developer usage)</w:t>
            </w:r>
            <w:r>
              <w:rPr>
                <w:rtl w:val="0"/>
              </w:rPr>
            </w:r>
          </w:p>
        </w:tc>
        <w:tc>
          <w:tcPr>
            <w:tcMar>
              <w:top w:w="80.0" w:type="dxa"/>
              <w:left w:w="100.0" w:type="dxa"/>
              <w:bottom w:w="80.0" w:type="dxa"/>
              <w:right w:w="100.0" w:type="dxa"/>
            </w:tcMar>
          </w:tcPr>
          <w:p w:rsidR="00000000" w:rsidDel="00000000" w:rsidP="00000000" w:rsidRDefault="00000000" w:rsidRPr="00000000" w14:paraId="0000023B">
            <w:pPr>
              <w:rPr/>
            </w:pPr>
            <w:r>
              <w:rPr>
                <w:sz w:val="19"/>
                <w:szCs w:val="19"/>
                <w:rtl w:val="0"/>
              </w:rPr>
              <w:t xml:space="preserve">Infra SDK reading usageMetadata</w:t>
            </w:r>
            <w:r>
              <w:rPr>
                <w:rtl w:val="0"/>
              </w:rPr>
            </w:r>
          </w:p>
        </w:tc>
        <w:tc>
          <w:tcPr>
            <w:tcMar>
              <w:top w:w="80.0" w:type="dxa"/>
              <w:left w:w="100.0" w:type="dxa"/>
              <w:bottom w:w="80.0" w:type="dxa"/>
              <w:right w:w="100.0" w:type="dxa"/>
            </w:tcMar>
          </w:tcPr>
          <w:p w:rsidR="00000000" w:rsidDel="00000000" w:rsidP="00000000" w:rsidRDefault="00000000" w:rsidRPr="00000000" w14:paraId="0000023C">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D">
            <w:pPr>
              <w:rPr/>
            </w:pPr>
            <w:r>
              <w:rPr>
                <w:sz w:val="19"/>
                <w:szCs w:val="19"/>
                <w:rtl w:val="0"/>
              </w:rPr>
              <w:t xml:space="preserve">Gemini CLI (developer tooling)</w:t>
            </w:r>
            <w:r>
              <w:rPr>
                <w:rtl w:val="0"/>
              </w:rPr>
            </w:r>
          </w:p>
        </w:tc>
        <w:tc>
          <w:tcPr>
            <w:tcMar>
              <w:top w:w="80.0" w:type="dxa"/>
              <w:left w:w="100.0" w:type="dxa"/>
              <w:bottom w:w="80.0" w:type="dxa"/>
              <w:right w:w="100.0" w:type="dxa"/>
            </w:tcMar>
          </w:tcPr>
          <w:p w:rsidR="00000000" w:rsidDel="00000000" w:rsidP="00000000" w:rsidRDefault="00000000" w:rsidRPr="00000000" w14:paraId="0000023E">
            <w:pPr>
              <w:rPr/>
            </w:pPr>
            <w:r>
              <w:rPr>
                <w:sz w:val="19"/>
                <w:szCs w:val="19"/>
                <w:rtl w:val="0"/>
              </w:rPr>
              <w:t xml:space="preserve">Native Gemini CLI Extension</w:t>
            </w:r>
            <w:r>
              <w:rPr>
                <w:rtl w:val="0"/>
              </w:rPr>
            </w:r>
          </w:p>
        </w:tc>
        <w:tc>
          <w:tcPr>
            <w:tcMar>
              <w:top w:w="80.0" w:type="dxa"/>
              <w:left w:w="100.0" w:type="dxa"/>
              <w:bottom w:w="80.0" w:type="dxa"/>
              <w:right w:w="100.0" w:type="dxa"/>
            </w:tcMar>
          </w:tcPr>
          <w:p w:rsidR="00000000" w:rsidDel="00000000" w:rsidP="00000000" w:rsidRDefault="00000000" w:rsidRPr="00000000" w14:paraId="0000023F">
            <w:pPr>
              <w:rPr/>
            </w:pPr>
            <w:r>
              <w:rPr>
                <w:sz w:val="19"/>
                <w:szCs w:val="19"/>
                <w:rtl w:val="0"/>
              </w:rPr>
              <w:t xml:space="preserve">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0">
            <w:pPr>
              <w:rPr/>
            </w:pPr>
            <w:r>
              <w:rPr>
                <w:sz w:val="19"/>
                <w:szCs w:val="19"/>
                <w:rtl w:val="0"/>
              </w:rPr>
              <w:t xml:space="preserve">Chrome / Edge</w:t>
            </w:r>
            <w:r>
              <w:rPr>
                <w:rtl w:val="0"/>
              </w:rPr>
            </w:r>
          </w:p>
        </w:tc>
        <w:tc>
          <w:tcPr>
            <w:tcMar>
              <w:top w:w="80.0" w:type="dxa"/>
              <w:left w:w="100.0" w:type="dxa"/>
              <w:bottom w:w="80.0" w:type="dxa"/>
              <w:right w:w="100.0" w:type="dxa"/>
            </w:tcMar>
          </w:tcPr>
          <w:p w:rsidR="00000000" w:rsidDel="00000000" w:rsidP="00000000" w:rsidRDefault="00000000" w:rsidRPr="00000000" w14:paraId="00000241">
            <w:pPr>
              <w:rPr/>
            </w:pPr>
            <w:r>
              <w:rPr>
                <w:sz w:val="19"/>
                <w:szCs w:val="19"/>
                <w:rtl w:val="0"/>
              </w:rPr>
              <w:t xml:space="preserve">Manifest V3 extension, shared build</w:t>
            </w:r>
            <w:r>
              <w:rPr>
                <w:rtl w:val="0"/>
              </w:rPr>
            </w:r>
          </w:p>
        </w:tc>
        <w:tc>
          <w:tcPr>
            <w:tcMar>
              <w:top w:w="80.0" w:type="dxa"/>
              <w:left w:w="100.0" w:type="dxa"/>
              <w:bottom w:w="80.0" w:type="dxa"/>
              <w:right w:w="100.0" w:type="dxa"/>
            </w:tcMar>
          </w:tcPr>
          <w:p w:rsidR="00000000" w:rsidDel="00000000" w:rsidP="00000000" w:rsidRDefault="00000000" w:rsidRPr="00000000" w14:paraId="00000242">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3">
            <w:pPr>
              <w:rPr/>
            </w:pPr>
            <w:r>
              <w:rPr>
                <w:sz w:val="19"/>
                <w:szCs w:val="19"/>
                <w:rtl w:val="0"/>
              </w:rPr>
              <w:t xml:space="preserve">Firefox</w:t>
            </w:r>
            <w:r>
              <w:rPr>
                <w:rtl w:val="0"/>
              </w:rPr>
            </w:r>
          </w:p>
        </w:tc>
        <w:tc>
          <w:tcPr>
            <w:tcMar>
              <w:top w:w="80.0" w:type="dxa"/>
              <w:left w:w="100.0" w:type="dxa"/>
              <w:bottom w:w="80.0" w:type="dxa"/>
              <w:right w:w="100.0" w:type="dxa"/>
            </w:tcMar>
          </w:tcPr>
          <w:p w:rsidR="00000000" w:rsidDel="00000000" w:rsidP="00000000" w:rsidRDefault="00000000" w:rsidRPr="00000000" w14:paraId="00000244">
            <w:pPr>
              <w:rPr/>
            </w:pPr>
            <w:r>
              <w:rPr>
                <w:sz w:val="19"/>
                <w:szCs w:val="19"/>
                <w:rtl w:val="0"/>
              </w:rPr>
              <w:t xml:space="preserve">Manifest V3 extension, separate background-script target</w:t>
            </w:r>
            <w:r>
              <w:rPr>
                <w:rtl w:val="0"/>
              </w:rPr>
            </w:r>
          </w:p>
        </w:tc>
        <w:tc>
          <w:tcPr>
            <w:tcMar>
              <w:top w:w="80.0" w:type="dxa"/>
              <w:left w:w="100.0" w:type="dxa"/>
              <w:bottom w:w="80.0" w:type="dxa"/>
              <w:right w:w="100.0" w:type="dxa"/>
            </w:tcMar>
          </w:tcPr>
          <w:p w:rsidR="00000000" w:rsidDel="00000000" w:rsidP="00000000" w:rsidRDefault="00000000" w:rsidRPr="00000000" w14:paraId="00000245">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6">
            <w:pPr>
              <w:rPr/>
            </w:pPr>
            <w:r>
              <w:rPr>
                <w:sz w:val="19"/>
                <w:szCs w:val="19"/>
                <w:rtl w:val="0"/>
              </w:rPr>
              <w:t xml:space="preserve">Safari (macOS / iOS)</w:t>
            </w:r>
            <w:r>
              <w:rPr>
                <w:rtl w:val="0"/>
              </w:rPr>
            </w:r>
          </w:p>
        </w:tc>
        <w:tc>
          <w:tcPr>
            <w:tcMar>
              <w:top w:w="80.0" w:type="dxa"/>
              <w:left w:w="100.0" w:type="dxa"/>
              <w:bottom w:w="80.0" w:type="dxa"/>
              <w:right w:w="100.0" w:type="dxa"/>
            </w:tcMar>
          </w:tcPr>
          <w:p w:rsidR="00000000" w:rsidDel="00000000" w:rsidP="00000000" w:rsidRDefault="00000000" w:rsidRPr="00000000" w14:paraId="00000247">
            <w:pPr>
              <w:rPr/>
            </w:pPr>
            <w:r>
              <w:rPr>
                <w:sz w:val="19"/>
                <w:szCs w:val="19"/>
                <w:rtl w:val="0"/>
              </w:rPr>
              <w:t xml:space="preserve">Safari Web Extension (converted, App Store distributed)</w:t>
            </w:r>
            <w:r>
              <w:rPr>
                <w:rtl w:val="0"/>
              </w:rPr>
            </w:r>
          </w:p>
        </w:tc>
        <w:tc>
          <w:tcPr>
            <w:tcMar>
              <w:top w:w="80.0" w:type="dxa"/>
              <w:left w:w="100.0" w:type="dxa"/>
              <w:bottom w:w="80.0" w:type="dxa"/>
              <w:right w:w="100.0" w:type="dxa"/>
            </w:tcMar>
          </w:tcPr>
          <w:p w:rsidR="00000000" w:rsidDel="00000000" w:rsidP="00000000" w:rsidRDefault="00000000" w:rsidRPr="00000000" w14:paraId="00000248">
            <w:pPr>
              <w:rPr/>
            </w:pPr>
            <w:r>
              <w:rPr>
                <w:sz w:val="19"/>
                <w:szCs w:val="19"/>
                <w:rtl w:val="0"/>
              </w:rPr>
              <w:t xml:space="preserve">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9">
            <w:pPr>
              <w:rPr/>
            </w:pPr>
            <w:r>
              <w:rPr>
                <w:sz w:val="19"/>
                <w:szCs w:val="19"/>
                <w:rtl w:val="0"/>
              </w:rPr>
              <w:t xml:space="preserve">Databases (managed)</w:t>
            </w:r>
            <w:r>
              <w:rPr>
                <w:rtl w:val="0"/>
              </w:rPr>
            </w:r>
          </w:p>
        </w:tc>
        <w:tc>
          <w:tcPr>
            <w:tcMar>
              <w:top w:w="80.0" w:type="dxa"/>
              <w:left w:w="100.0" w:type="dxa"/>
              <w:bottom w:w="80.0" w:type="dxa"/>
              <w:right w:w="100.0" w:type="dxa"/>
            </w:tcMar>
          </w:tcPr>
          <w:p w:rsidR="00000000" w:rsidDel="00000000" w:rsidP="00000000" w:rsidRDefault="00000000" w:rsidRPr="00000000" w14:paraId="0000024A">
            <w:pPr>
              <w:rPr/>
            </w:pPr>
            <w:r>
              <w:rPr>
                <w:sz w:val="19"/>
                <w:szCs w:val="19"/>
                <w:rtl w:val="0"/>
              </w:rPr>
              <w:t xml:space="preserve">Driver wrapper + provider billing API</w:t>
            </w:r>
            <w:r>
              <w:rPr>
                <w:rtl w:val="0"/>
              </w:rPr>
            </w:r>
          </w:p>
        </w:tc>
        <w:tc>
          <w:tcPr>
            <w:tcMar>
              <w:top w:w="80.0" w:type="dxa"/>
              <w:left w:w="100.0" w:type="dxa"/>
              <w:bottom w:w="80.0" w:type="dxa"/>
              <w:right w:w="100.0" w:type="dxa"/>
            </w:tcMar>
          </w:tcPr>
          <w:p w:rsidR="00000000" w:rsidDel="00000000" w:rsidP="00000000" w:rsidRDefault="00000000" w:rsidRPr="00000000" w14:paraId="0000024B">
            <w:pPr>
              <w:rPr/>
            </w:pPr>
            <w:r>
              <w:rPr>
                <w:sz w:val="19"/>
                <w:szCs w:val="19"/>
                <w:rtl w:val="0"/>
              </w:rPr>
              <w:t xml:space="preserve">Modeled, cost Measured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C">
            <w:pPr>
              <w:rPr/>
            </w:pPr>
            <w:r>
              <w:rPr>
                <w:sz w:val="19"/>
                <w:szCs w:val="19"/>
                <w:rtl w:val="0"/>
              </w:rPr>
              <w:t xml:space="preserve">Databases (self-hosted)</w:t>
            </w:r>
            <w:r>
              <w:rPr>
                <w:rtl w:val="0"/>
              </w:rPr>
            </w:r>
          </w:p>
        </w:tc>
        <w:tc>
          <w:tcPr>
            <w:tcMar>
              <w:top w:w="80.0" w:type="dxa"/>
              <w:left w:w="100.0" w:type="dxa"/>
              <w:bottom w:w="80.0" w:type="dxa"/>
              <w:right w:w="100.0" w:type="dxa"/>
            </w:tcMar>
          </w:tcPr>
          <w:p w:rsidR="00000000" w:rsidDel="00000000" w:rsidP="00000000" w:rsidRDefault="00000000" w:rsidRPr="00000000" w14:paraId="0000024D">
            <w:pPr>
              <w:rPr/>
            </w:pPr>
            <w:r>
              <w:rPr>
                <w:sz w:val="19"/>
                <w:szCs w:val="19"/>
                <w:rtl w:val="0"/>
              </w:rPr>
              <w:t xml:space="preserve">Driver wrapper only</w:t>
            </w:r>
            <w:r>
              <w:rPr>
                <w:rtl w:val="0"/>
              </w:rPr>
            </w:r>
          </w:p>
        </w:tc>
        <w:tc>
          <w:tcPr>
            <w:tcMar>
              <w:top w:w="80.0" w:type="dxa"/>
              <w:left w:w="100.0" w:type="dxa"/>
              <w:bottom w:w="80.0" w:type="dxa"/>
              <w:right w:w="100.0" w:type="dxa"/>
            </w:tcMar>
          </w:tcPr>
          <w:p w:rsidR="00000000" w:rsidDel="00000000" w:rsidP="00000000" w:rsidRDefault="00000000" w:rsidRPr="00000000" w14:paraId="0000024E">
            <w:pPr>
              <w:rPr/>
            </w:pPr>
            <w:r>
              <w:rPr>
                <w:sz w:val="19"/>
                <w:szCs w:val="19"/>
                <w:rtl w:val="0"/>
              </w:rPr>
              <w:t xml:space="preserve">Modeled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F">
            <w:pPr>
              <w:rPr/>
            </w:pPr>
            <w:r>
              <w:rPr>
                <w:sz w:val="19"/>
                <w:szCs w:val="19"/>
                <w:rtl w:val="0"/>
              </w:rPr>
              <w:t xml:space="preserve">AWS</w:t>
            </w:r>
            <w:r>
              <w:rPr>
                <w:rtl w:val="0"/>
              </w:rPr>
            </w:r>
          </w:p>
        </w:tc>
        <w:tc>
          <w:tcPr>
            <w:tcMar>
              <w:top w:w="80.0" w:type="dxa"/>
              <w:left w:w="100.0" w:type="dxa"/>
              <w:bottom w:w="80.0" w:type="dxa"/>
              <w:right w:w="100.0" w:type="dxa"/>
            </w:tcMar>
          </w:tcPr>
          <w:p w:rsidR="00000000" w:rsidDel="00000000" w:rsidP="00000000" w:rsidRDefault="00000000" w:rsidRPr="00000000" w14:paraId="00000250">
            <w:pPr>
              <w:rPr/>
            </w:pPr>
            <w:r>
              <w:rPr>
                <w:sz w:val="19"/>
                <w:szCs w:val="19"/>
                <w:rtl w:val="0"/>
              </w:rPr>
              <w:t xml:space="preserve">Cost Explorer API + AWS Sustainability service / Carbon Emissions Data Export</w:t>
            </w:r>
            <w:r>
              <w:rPr>
                <w:rtl w:val="0"/>
              </w:rPr>
            </w:r>
          </w:p>
        </w:tc>
        <w:tc>
          <w:tcPr>
            <w:tcMar>
              <w:top w:w="80.0" w:type="dxa"/>
              <w:left w:w="100.0" w:type="dxa"/>
              <w:bottom w:w="80.0" w:type="dxa"/>
              <w:right w:w="100.0" w:type="dxa"/>
            </w:tcMar>
          </w:tcPr>
          <w:p w:rsidR="00000000" w:rsidDel="00000000" w:rsidP="00000000" w:rsidRDefault="00000000" w:rsidRPr="00000000" w14:paraId="00000251">
            <w:pPr>
              <w:rPr/>
            </w:pPr>
            <w:r>
              <w:rPr>
                <w:sz w:val="19"/>
                <w:szCs w:val="19"/>
                <w:rtl w:val="0"/>
              </w:rPr>
              <w:t xml:space="preserve">Cost Measured, carbon Measured (monthly)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52">
            <w:pPr>
              <w:rPr/>
            </w:pPr>
            <w:r>
              <w:rPr>
                <w:sz w:val="19"/>
                <w:szCs w:val="19"/>
                <w:rtl w:val="0"/>
              </w:rPr>
              <w:t xml:space="preserve">Azure</w:t>
            </w:r>
            <w:r>
              <w:rPr>
                <w:rtl w:val="0"/>
              </w:rPr>
            </w:r>
          </w:p>
        </w:tc>
        <w:tc>
          <w:tcPr>
            <w:tcMar>
              <w:top w:w="80.0" w:type="dxa"/>
              <w:left w:w="100.0" w:type="dxa"/>
              <w:bottom w:w="80.0" w:type="dxa"/>
              <w:right w:w="100.0" w:type="dxa"/>
            </w:tcMar>
          </w:tcPr>
          <w:p w:rsidR="00000000" w:rsidDel="00000000" w:rsidP="00000000" w:rsidRDefault="00000000" w:rsidRPr="00000000" w14:paraId="00000253">
            <w:pPr>
              <w:rPr/>
            </w:pPr>
            <w:r>
              <w:rPr>
                <w:sz w:val="19"/>
                <w:szCs w:val="19"/>
                <w:rtl w:val="0"/>
              </w:rPr>
              <w:t xml:space="preserve">Cost Management API + Emissions Impact Dashboard</w:t>
            </w:r>
            <w:r>
              <w:rPr>
                <w:rtl w:val="0"/>
              </w:rPr>
            </w:r>
          </w:p>
        </w:tc>
        <w:tc>
          <w:tcPr>
            <w:tcMar>
              <w:top w:w="80.0" w:type="dxa"/>
              <w:left w:w="100.0" w:type="dxa"/>
              <w:bottom w:w="80.0" w:type="dxa"/>
              <w:right w:w="100.0" w:type="dxa"/>
            </w:tcMar>
          </w:tcPr>
          <w:p w:rsidR="00000000" w:rsidDel="00000000" w:rsidP="00000000" w:rsidRDefault="00000000" w:rsidRPr="00000000" w14:paraId="00000254">
            <w:pPr>
              <w:rPr/>
            </w:pPr>
            <w:r>
              <w:rPr>
                <w:sz w:val="19"/>
                <w:szCs w:val="19"/>
                <w:rtl w:val="0"/>
              </w:rPr>
              <w:t xml:space="preserve">Cost Measured, carbon Measured (monthly)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55">
            <w:pPr>
              <w:rPr/>
            </w:pPr>
            <w:r>
              <w:rPr>
                <w:sz w:val="19"/>
                <w:szCs w:val="19"/>
                <w:rtl w:val="0"/>
              </w:rPr>
              <w:t xml:space="preserve">Google Cloud</w:t>
            </w:r>
            <w:r>
              <w:rPr>
                <w:rtl w:val="0"/>
              </w:rPr>
            </w:r>
          </w:p>
        </w:tc>
        <w:tc>
          <w:tcPr>
            <w:tcMar>
              <w:top w:w="80.0" w:type="dxa"/>
              <w:left w:w="100.0" w:type="dxa"/>
              <w:bottom w:w="80.0" w:type="dxa"/>
              <w:right w:w="100.0" w:type="dxa"/>
            </w:tcMar>
          </w:tcPr>
          <w:p w:rsidR="00000000" w:rsidDel="00000000" w:rsidP="00000000" w:rsidRDefault="00000000" w:rsidRPr="00000000" w14:paraId="00000256">
            <w:pPr>
              <w:rPr/>
            </w:pPr>
            <w:r>
              <w:rPr>
                <w:sz w:val="19"/>
                <w:szCs w:val="19"/>
                <w:rtl w:val="0"/>
              </w:rPr>
              <w:t xml:space="preserve">Cloud Billing API + Carbon Footprint export (BigQuery)</w:t>
            </w:r>
            <w:r>
              <w:rPr>
                <w:rtl w:val="0"/>
              </w:rPr>
            </w:r>
          </w:p>
        </w:tc>
        <w:tc>
          <w:tcPr>
            <w:tcMar>
              <w:top w:w="80.0" w:type="dxa"/>
              <w:left w:w="100.0" w:type="dxa"/>
              <w:bottom w:w="80.0" w:type="dxa"/>
              <w:right w:w="100.0" w:type="dxa"/>
            </w:tcMar>
          </w:tcPr>
          <w:p w:rsidR="00000000" w:rsidDel="00000000" w:rsidP="00000000" w:rsidRDefault="00000000" w:rsidRPr="00000000" w14:paraId="00000257">
            <w:pPr>
              <w:rPr/>
            </w:pPr>
            <w:r>
              <w:rPr>
                <w:sz w:val="19"/>
                <w:szCs w:val="19"/>
                <w:rtl w:val="0"/>
              </w:rPr>
              <w:t xml:space="preserve">Cost Measured, carbon Measured (monthly)</w:t>
            </w:r>
            <w:r>
              <w:rPr>
                <w:rtl w:val="0"/>
              </w:rPr>
            </w:r>
          </w:p>
        </w:tc>
      </w:tr>
    </w:tbl>
    <w:p w:rsidR="00000000" w:rsidDel="00000000" w:rsidP="00000000" w:rsidRDefault="00000000" w:rsidRPr="00000000" w14:paraId="00000258">
      <w:pPr>
        <w:spacing w:after="140" w:lineRule="auto"/>
        <w:rPr/>
      </w:pPr>
      <w:r>
        <w:rPr>
          <w:rtl w:val="0"/>
        </w:rPr>
      </w:r>
    </w:p>
    <w:p w:rsidR="00000000" w:rsidDel="00000000" w:rsidP="00000000" w:rsidRDefault="00000000" w:rsidRPr="00000000" w14:paraId="00000259">
      <w:pPr>
        <w:pStyle w:val="Heading2"/>
        <w:spacing w:after="120" w:before="280" w:lineRule="auto"/>
        <w:rPr/>
      </w:pPr>
      <w:r>
        <w:rPr>
          <w:b w:val="1"/>
          <w:bCs w:val="1"/>
          <w:color w:val="1e7a4c"/>
          <w:sz w:val="24"/>
          <w:szCs w:val="24"/>
          <w:rtl w:val="0"/>
        </w:rPr>
        <w:t xml:space="preserve">12.2 Claude (Anthropic)</w:t>
      </w:r>
      <w:r>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474707922"/>
          <w:tag w:val="goog_rdk_14"/>
        </w:sdtPr>
        <w:sdtContent>
          <w:r>
            <w:rPr>
              <w:rFonts w:ascii="Cardo" w:cs="Cardo" w:eastAsia="Cardo" w:hAnsi="Cardo"/>
              <w:b w:val="0"/>
              <w:bCs w:val="0"/>
              <w:i w:val="0"/>
              <w:iCs w:val="0"/>
              <w:smallCaps w:val="0"/>
              <w:strike w:val="0"/>
              <w:color w:val="000000"/>
              <w:sz w:val="21"/>
              <w:szCs w:val="21"/>
              <w:u w:val="none"/>
              <w:shd w:fill="auto" w:val="clear"/>
              <w:vertAlign w:val="baseline"/>
              <w:rtl w:val="0"/>
            </w:rPr>
            <w:t xml:space="preserve">Primary path: a Stardust-hosted Remote MCP server exposing read-only reporting tools (e.g., a usage-summary tool), added by the user via Settings → Connectors on claude.ai or Claude Desktop, or provisioned org-wide by IT admins through enterprise-managed auth. Requires a paid Claude plan, consistent with Anthropic's current connector plan requirements.</w:t>
          </w:r>
        </w:sdtContent>
      </w:sdt>
      <w:r>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MCP connectors are invoked as tools rather than passively observing every conversation turn, they are not a live per-message metering feed. The direct, Measured-tier source for Claude usage is the Claude API's per-response usage payload (input/output token counts), captured at the Infra Agent/SDK layer for anyone calling Claude via API key — this is the accurate path for developer/programmatic usage.</w:t>
      </w:r>
      <w:r>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claude.ai's own web/desktop chat UI (non-API usage), no first-party feed currently exposes per-turn token counts to a third party; Stardust falls back to the Browser Extension layer reading Claude's own rendered usage indicators where visible, tagged Estimated unless a richer signal becomes available.</w:t>
      </w:r>
      <w:r>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connector configured once for claude.ai automatically extends to Claude Desktop, Claude Code, and Cowork, so a single Stardust connector setup covers all four surfaces.</w:t>
      </w:r>
      <w:r>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Design constraint: the Subscriber reporting MCP server (§23.3) keeps a narrow, read-only tool surface to match least-privilege OAuth expectations and to pass Anthropic’s connector-directory review if submitted for public listing. Write tools exist only on the separate operator server (§23.5), which is never submitted for directory listing.</w:t>
      </w:r>
      <w:r>
        <w:rPr>
          <w:rtl w:val="0"/>
        </w:rPr>
      </w:r>
    </w:p>
    <w:p w:rsidR="00000000" w:rsidDel="00000000" w:rsidP="00000000" w:rsidRDefault="00000000" w:rsidRPr="00000000" w14:paraId="0000025F">
      <w:pPr>
        <w:pStyle w:val="Heading2"/>
        <w:spacing w:after="120" w:before="280" w:lineRule="auto"/>
        <w:rPr/>
      </w:pPr>
      <w:r>
        <w:rPr>
          <w:b w:val="1"/>
          <w:bCs w:val="1"/>
          <w:color w:val="1e7a4c"/>
          <w:sz w:val="24"/>
          <w:szCs w:val="24"/>
          <w:rtl w:val="0"/>
        </w:rPr>
        <w:t xml:space="preserve">12.3 ChatGPT (OpenAI)</w:t>
      </w:r>
      <w:r>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OpenAI's original ChatGPT plugin model was deprecated; the current Custom GPT "Actions" mechanism is invocation-based — a GPT calls out to an external API only when the user's prompt triggers it — not a passive usage-metering hook, so it cannot serve as Stardust's primary capture path.</w:t>
      </w:r>
      <w:r>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chatgpt.com web/desktop usage: Browser Extension layer only. Content script reads OpenAI's own rendered usage/model indicators where exposed; where none are exposed, falls back to Estimated-tier token approximation from message length.</w:t>
      </w:r>
      <w:r>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API-key usage: Infra Agent/SDK wrapping the OpenAI API client, reading the usage object (prompt/completion/total tokens) returned with each response — Measured-tier data, same pattern as the Claude API path.</w:t>
      </w:r>
      <w:r>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Optional secondary integration: a “Stardust Usage Report” Custom GPT Action lets a user pull their own Stardust dashboard into a ChatGPT conversation on request. This is a way to surface Stardust's data inside ChatGPT, not a metering source, and should not be confused with §12.1's capture paths.</w:t>
      </w:r>
      <w:r>
        <w:rPr>
          <w:rtl w:val="0"/>
        </w:rPr>
      </w:r>
    </w:p>
    <w:p w:rsidR="00000000" w:rsidDel="00000000" w:rsidP="00000000" w:rsidRDefault="00000000" w:rsidRPr="00000000" w14:paraId="00000264">
      <w:pPr>
        <w:pStyle w:val="Heading2"/>
        <w:spacing w:after="120" w:before="280" w:lineRule="auto"/>
        <w:rPr/>
      </w:pPr>
      <w:r>
        <w:rPr>
          <w:b w:val="1"/>
          <w:bCs w:val="1"/>
          <w:color w:val="1e7a4c"/>
          <w:sz w:val="24"/>
          <w:szCs w:val="24"/>
          <w:rtl w:val="0"/>
        </w:rPr>
        <w:t xml:space="preserve">12.4 Gemini (Google)</w:t>
      </w:r>
      <w:r>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Gemini's consumer-facing Gems and Connected Apps model does not currently support arbitrary third-party API connections — Google curates and controls the available extensions (Workspace, YouTube, Maps, WhatsApp, and a growing but Google-vetted list). This forecloses a native chat-plugin integration for the consumer web/mobile app at launch.</w:t>
      </w:r>
      <w:r>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the consumer Gemini app: Browser Extension layer, same DOM-observation fallback pattern as ChatGPT, Estimated-tier by default.</w:t>
      </w:r>
      <w:r>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Primary path for developer/API usage: the Gemini API and Vertex AI both return a usageMetadata object (prompt/candidate/total token counts) with each response — captured at the Infra Agent/SDK layer as Measured-tier data.</w:t>
      </w:r>
      <w:r>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Secondary, higher-value path for developer tooling: Gemini CLI Extensions, an open publishing model launched in 2026 with no Google review gate. A native Stardust Gemini CLI Extension can surface usage/cost/impact inline in the terminal for developers running Gemini CLI — a materially better integration than anything available for the consumer chat app today, and worth prioritizing in Phase 2.</w:t>
      </w:r>
      <w:r>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Revisit the consumer-app native-integration question periodically — Google's extension model has been expanding through 2026 and a third-party API surface may open.</w:t>
      </w:r>
      <w:r>
        <w:rPr>
          <w:rtl w:val="0"/>
        </w:rPr>
      </w:r>
    </w:p>
    <w:p w:rsidR="00000000" w:rsidDel="00000000" w:rsidP="00000000" w:rsidRDefault="00000000" w:rsidRPr="00000000" w14:paraId="0000026A">
      <w:pPr>
        <w:pStyle w:val="Heading2"/>
        <w:spacing w:after="120" w:before="280" w:lineRule="auto"/>
        <w:rPr/>
      </w:pPr>
      <w:r>
        <w:rPr>
          <w:b w:val="1"/>
          <w:bCs w:val="1"/>
          <w:color w:val="1e7a4c"/>
          <w:sz w:val="24"/>
          <w:szCs w:val="24"/>
          <w:rtl w:val="0"/>
        </w:rPr>
        <w:t xml:space="preserve">12.5 Chrome and Edge</w:t>
      </w:r>
      <w:r>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Built once against Manifest V3; Chrome and Edge share the Chromium extension runtime, so a single codebase covers both. Edge requires a separate listing in Microsoft's Partner Center in addition to the Chrome Web Store submission.</w:t>
      </w:r>
      <w:r>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Background aggregation runs in an MV3 service worker (event-driven, non-persistent — wakes on relevant events rather than running continuously), with content scripts injected only on the domain allow-list from §14.</w:t>
      </w:r>
      <w:r>
        <w:rPr>
          <w:rtl w:val="0"/>
        </w:rPr>
      </w:r>
    </w:p>
    <w:p w:rsidR="00000000" w:rsidDel="00000000" w:rsidP="00000000" w:rsidRDefault="00000000" w:rsidRPr="00000000" w14:paraId="0000026D">
      <w:pPr>
        <w:pStyle w:val="Heading2"/>
        <w:spacing w:after="120" w:before="280" w:lineRule="auto"/>
        <w:rPr/>
      </w:pPr>
      <w:r>
        <w:rPr>
          <w:b w:val="1"/>
          <w:bCs w:val="1"/>
          <w:color w:val="1e7a4c"/>
          <w:sz w:val="24"/>
          <w:szCs w:val="24"/>
          <w:rtl w:val="0"/>
        </w:rPr>
        <w:t xml:space="preserve">12.6 Firefox</w:t>
      </w:r>
      <w:r>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Firefox supports Manifest V3 but diverges from Chromium in background-script lifecycle handling; Stardust needs its own Firefox-targeted background-script build rather than a straight reuse of the Chrome/Edge bundle.</w:t>
      </w:r>
      <w:r>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Distributed and reviewed separately via addons.mozilla.org (AMO), with its own review timeline distinct from the Chrome Web Store / Partner Center.</w:t>
      </w:r>
      <w:r>
        <w:rPr>
          <w:rtl w:val="0"/>
        </w:rPr>
      </w:r>
    </w:p>
    <w:p w:rsidR="00000000" w:rsidDel="00000000" w:rsidP="00000000" w:rsidRDefault="00000000" w:rsidRPr="00000000" w14:paraId="00000270">
      <w:pPr>
        <w:pStyle w:val="Heading2"/>
        <w:spacing w:after="120" w:before="280" w:lineRule="auto"/>
        <w:rPr/>
      </w:pPr>
      <w:r>
        <w:rPr>
          <w:b w:val="1"/>
          <w:bCs w:val="1"/>
          <w:color w:val="1e7a4c"/>
          <w:sz w:val="24"/>
          <w:szCs w:val="24"/>
          <w:rtl w:val="0"/>
        </w:rPr>
        <w:t xml:space="preserve">12.7 Safari</w:t>
      </w:r>
      <w:r>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Built by converting the Chrome/Firefox extension with Apple's safari-web-extension-converter (Xcode command-line tool) into a native macOS/iOS app wrapper.</w:t>
      </w:r>
      <w:r>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Distribution requires an Apple Developer account and either App Store review or notarized direct distribution on macOS.</w:t>
      </w:r>
      <w:r>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Safari's stricter background-execution model (no persistent always-on background worker) means the inline badge (§6.1) cannot refresh continuously the way it can in Chrome/Edge/Firefox; mitigate by syncing on tab focus and visibility-change events rather than continuous polling, and set expectations that Safari badge latency will be a beat behind the other browsers.</w:t>
      </w:r>
      <w:r>
        <w:rPr>
          <w:rtl w:val="0"/>
        </w:rPr>
      </w:r>
    </w:p>
    <w:p w:rsidR="00000000" w:rsidDel="00000000" w:rsidP="00000000" w:rsidRDefault="00000000" w:rsidRPr="00000000" w14:paraId="00000274">
      <w:pPr>
        <w:pStyle w:val="Heading2"/>
        <w:spacing w:after="120" w:before="280" w:lineRule="auto"/>
        <w:rPr/>
      </w:pPr>
      <w:r>
        <w:rPr>
          <w:b w:val="1"/>
          <w:bCs w:val="1"/>
          <w:color w:val="1e7a4c"/>
          <w:sz w:val="24"/>
          <w:szCs w:val="24"/>
          <w:rtl w:val="0"/>
        </w:rPr>
        <w:t xml:space="preserve">12.8 Databases</w:t>
      </w:r>
      <w:r>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Managed services (RDS, Cloud SQL, Atlas, DynamoDB, Cosmos DB, Snowflake): a thin driver-wrapper layer around the common client libraries (e.g., node-postgres, mysql2, the MongoDB driver, the DynamoDB SDK client) captures query count, duration, and rows scanned without altering query behavior; this is supplemented with the provider's own billing/metering API for instance-level cost and compute, since driver-level timing alone can't see the underlying instance's power draw.</w:t>
      </w:r>
      <w:r>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 databases: the driver-wrapper data is the only source, so the environmental estimate falls back to Modeled tier using generic per-query compute-time-to-energy factors rather than instance-class-specific ones.</w:t>
      </w:r>
      <w:r>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Deployment for either case follows §9.1's Infra Agent/SDK layer — a library import for teams that can touch application code, or the reverse-proxy/sidecar option for teams that can't.</w:t>
      </w:r>
      <w:r>
        <w:rPr>
          <w:rtl w:val="0"/>
        </w:rPr>
      </w:r>
    </w:p>
    <w:p w:rsidR="00000000" w:rsidDel="00000000" w:rsidP="00000000" w:rsidRDefault="00000000" w:rsidRPr="00000000" w14:paraId="00000278">
      <w:pPr>
        <w:pStyle w:val="Heading2"/>
        <w:spacing w:after="120" w:before="280" w:lineRule="auto"/>
        <w:rPr/>
      </w:pPr>
      <w:r>
        <w:rPr>
          <w:b w:val="1"/>
          <w:bCs w:val="1"/>
          <w:color w:val="1e7a4c"/>
          <w:sz w:val="24"/>
          <w:szCs w:val="24"/>
          <w:rtl w:val="0"/>
        </w:rPr>
        <w:t xml:space="preserve">12.9 Cloud and AI Infrastructure (AWS, Azure, GCP)</w:t>
      </w:r>
      <w:r>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AWS: cost via Cost Explorer / Cost and Usage Reports; carbon via the AWS Sustainability service (successor to the Customer Carbon Footprint Tool, which is being retired), accessed either through its programmatic API for account/region-level emissions totals or through the recurring Carbon Emissions Data Export to S3 for finer-grained reporting-table access. Both give Measured-tier figures, but at monthly, not per-request, granularity.</w:t>
      </w:r>
      <w:r>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Azure: cost via the Cost Management API; carbon via the Emissions Impact Dashboard, which is the only one of the three hyperscalers to expose both market-based and location-based Scope 2 figures — the more directly useful pairing for CSRD-style dual-methodology reporting requirements.</w:t>
      </w:r>
      <w:r>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Google Cloud: cost via the Cloud Billing API; carbon via the Carbon Footprint export to BigQuery, giving per-project emissions data.</w:t>
      </w:r>
      <w:r>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all three hyperscalers report at account/region/project granularity on a delayed (typically monthly) cadence, none can supply a true real-time per-request environmental figure. The infra-layer badge therefore shows a Modeled-tier real-time estimate, later reconciled against the provider's Measured-tier monthly export, with material variance surfaced in the dashboard rather than silently overwritten.</w:t>
      </w:r>
      <w:r>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workloads outside the three hyperscalers (self-hosted GPU clusters, colocation), no billing-integrated carbon source exists; the open-source Cloud Carbon Footprint project's energy-per-instance-type estimation approach (deriving energy from CPU utilization) is a reasonable Modeled-tier pattern to adapt rather than build from first principles.</w:t>
      </w:r>
      <w:r>
        <w:rPr>
          <w:rtl w:val="0"/>
        </w:rPr>
      </w:r>
    </w:p>
    <w:p w:rsidR="00000000" w:rsidDel="00000000" w:rsidP="00000000" w:rsidRDefault="00000000" w:rsidRPr="00000000" w14:paraId="0000027E">
      <w:pPr>
        <w:pStyle w:val="Heading1"/>
        <w:spacing w:after="160" w:before="360" w:lineRule="auto"/>
        <w:rPr/>
      </w:pPr>
      <w:r>
        <w:rPr>
          <w:b w:val="1"/>
          <w:bCs w:val="1"/>
          <w:color w:val="0f4a2e"/>
          <w:sz w:val="30"/>
          <w:szCs w:val="30"/>
          <w:rtl w:val="0"/>
        </w:rPr>
        <w:t xml:space="preserve">13. Data Sources and Third-Party Dependencies</w:t>
      </w:r>
      <w:r>
        <w:rPr>
          <w:rtl w:val="0"/>
        </w:rPr>
      </w:r>
    </w:p>
    <w:tbl>
      <w:tblPr>
        <w:tblStyle w:val="Table1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600"/>
        <w:gridCol w:w="2800"/>
        <w:tblGridChange w:id="0">
          <w:tblGrid>
            <w:gridCol w:w="2600"/>
            <w:gridCol w:w="4600"/>
            <w:gridCol w:w="2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27F">
            <w:pPr>
              <w:rPr/>
            </w:pPr>
            <w:r>
              <w:rPr>
                <w:b w:val="1"/>
                <w:bCs w:val="1"/>
                <w:color w:val="ffffff"/>
                <w:sz w:val="19"/>
                <w:szCs w:val="19"/>
                <w:rtl w:val="0"/>
              </w:rPr>
              <w:t xml:space="preserve">Source 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80">
            <w:pPr>
              <w:rPr/>
            </w:pPr>
            <w:r>
              <w:rPr>
                <w:b w:val="1"/>
                <w:bCs w:val="1"/>
                <w:color w:val="ffffff"/>
                <w:sz w:val="19"/>
                <w:szCs w:val="19"/>
                <w:rtl w:val="0"/>
              </w:rPr>
              <w:t xml:space="preserve">Examples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81">
            <w:pPr>
              <w:rPr/>
            </w:pPr>
            <w:r>
              <w:rPr>
                <w:b w:val="1"/>
                <w:bCs w:val="1"/>
                <w:color w:val="ffffff"/>
                <w:sz w:val="19"/>
                <w:szCs w:val="19"/>
                <w:rtl w:val="0"/>
              </w:rPr>
              <w:t xml:space="preserve">Used for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2">
            <w:pPr>
              <w:rPr/>
            </w:pPr>
            <w:r>
              <w:rPr>
                <w:sz w:val="19"/>
                <w:szCs w:val="19"/>
                <w:rtl w:val="0"/>
              </w:rPr>
              <w:t xml:space="preserve">AI provider usage/billing APIs</w:t>
            </w:r>
            <w:r>
              <w:rPr>
                <w:rtl w:val="0"/>
              </w:rPr>
            </w:r>
          </w:p>
        </w:tc>
        <w:tc>
          <w:tcPr>
            <w:tcMar>
              <w:top w:w="80.0" w:type="dxa"/>
              <w:left w:w="100.0" w:type="dxa"/>
              <w:bottom w:w="80.0" w:type="dxa"/>
              <w:right w:w="100.0" w:type="dxa"/>
            </w:tcMar>
          </w:tcPr>
          <w:p w:rsidR="00000000" w:rsidDel="00000000" w:rsidP="00000000" w:rsidRDefault="00000000" w:rsidRPr="00000000" w14:paraId="00000283">
            <w:pPr>
              <w:rPr/>
            </w:pPr>
            <w:r>
              <w:rPr>
                <w:sz w:val="19"/>
                <w:szCs w:val="19"/>
                <w:rtl w:val="0"/>
              </w:rPr>
              <w:t xml:space="preserve">Anthropic, OpenAI, Google usage &amp; billing endpoints</w:t>
            </w:r>
            <w:r>
              <w:rPr>
                <w:rtl w:val="0"/>
              </w:rPr>
            </w:r>
          </w:p>
        </w:tc>
        <w:tc>
          <w:tcPr>
            <w:tcMar>
              <w:top w:w="80.0" w:type="dxa"/>
              <w:left w:w="100.0" w:type="dxa"/>
              <w:bottom w:w="80.0" w:type="dxa"/>
              <w:right w:w="100.0" w:type="dxa"/>
            </w:tcMar>
          </w:tcPr>
          <w:p w:rsidR="00000000" w:rsidDel="00000000" w:rsidP="00000000" w:rsidRDefault="00000000" w:rsidRPr="00000000" w14:paraId="00000284">
            <w:pPr>
              <w:rPr/>
            </w:pPr>
            <w:r>
              <w:rPr>
                <w:sz w:val="19"/>
                <w:szCs w:val="19"/>
                <w:rtl w:val="0"/>
              </w:rPr>
              <w:t xml:space="preserve">Token counts, direct cost where exposed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5">
            <w:pPr>
              <w:rPr/>
            </w:pPr>
            <w:r>
              <w:rPr>
                <w:sz w:val="19"/>
                <w:szCs w:val="19"/>
                <w:rtl w:val="0"/>
              </w:rPr>
              <w:t xml:space="preserve">Cloud billing APIs</w:t>
            </w:r>
            <w:r>
              <w:rPr>
                <w:rtl w:val="0"/>
              </w:rPr>
            </w:r>
          </w:p>
        </w:tc>
        <w:tc>
          <w:tcPr>
            <w:tcMar>
              <w:top w:w="80.0" w:type="dxa"/>
              <w:left w:w="100.0" w:type="dxa"/>
              <w:bottom w:w="80.0" w:type="dxa"/>
              <w:right w:w="100.0" w:type="dxa"/>
            </w:tcMar>
          </w:tcPr>
          <w:p w:rsidR="00000000" w:rsidDel="00000000" w:rsidP="00000000" w:rsidRDefault="00000000" w:rsidRPr="00000000" w14:paraId="00000286">
            <w:pPr>
              <w:rPr/>
            </w:pPr>
            <w:r>
              <w:rPr>
                <w:sz w:val="19"/>
                <w:szCs w:val="19"/>
                <w:rtl w:val="0"/>
              </w:rPr>
              <w:t xml:space="preserve">AWS Cost Explorer, Azure Cost Management, GCP Billing</w:t>
            </w:r>
            <w:r>
              <w:rPr>
                <w:rtl w:val="0"/>
              </w:rPr>
            </w:r>
          </w:p>
        </w:tc>
        <w:tc>
          <w:tcPr>
            <w:tcMar>
              <w:top w:w="80.0" w:type="dxa"/>
              <w:left w:w="100.0" w:type="dxa"/>
              <w:bottom w:w="80.0" w:type="dxa"/>
              <w:right w:w="100.0" w:type="dxa"/>
            </w:tcMar>
          </w:tcPr>
          <w:p w:rsidR="00000000" w:rsidDel="00000000" w:rsidP="00000000" w:rsidRDefault="00000000" w:rsidRPr="00000000" w14:paraId="00000287">
            <w:pPr>
              <w:rPr/>
            </w:pPr>
            <w:r>
              <w:rPr>
                <w:sz w:val="19"/>
                <w:szCs w:val="19"/>
                <w:rtl w:val="0"/>
              </w:rPr>
              <w:t xml:space="preserve">Infra-layer cost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8">
            <w:pPr>
              <w:rPr/>
            </w:pPr>
            <w:r>
              <w:rPr>
                <w:sz w:val="19"/>
                <w:szCs w:val="19"/>
                <w:rtl w:val="0"/>
              </w:rPr>
              <w:t xml:space="preserve">Cloud sustainability APIs</w:t>
            </w:r>
            <w:r>
              <w:rPr>
                <w:rtl w:val="0"/>
              </w:rPr>
            </w:r>
          </w:p>
        </w:tc>
        <w:tc>
          <w:tcPr>
            <w:tcMar>
              <w:top w:w="80.0" w:type="dxa"/>
              <w:left w:w="100.0" w:type="dxa"/>
              <w:bottom w:w="80.0" w:type="dxa"/>
              <w:right w:w="100.0" w:type="dxa"/>
            </w:tcMar>
          </w:tcPr>
          <w:p w:rsidR="00000000" w:rsidDel="00000000" w:rsidP="00000000" w:rsidRDefault="00000000" w:rsidRPr="00000000" w14:paraId="00000289">
            <w:pPr>
              <w:rPr/>
            </w:pPr>
            <w:r>
              <w:rPr>
                <w:sz w:val="19"/>
                <w:szCs w:val="19"/>
                <w:rtl w:val="0"/>
              </w:rPr>
              <w:t xml:space="preserve">Provider-published carbon/energy footprint tools (where available)</w:t>
            </w:r>
            <w:r>
              <w:rPr>
                <w:rtl w:val="0"/>
              </w:rPr>
            </w:r>
          </w:p>
        </w:tc>
        <w:tc>
          <w:tcPr>
            <w:tcMar>
              <w:top w:w="80.0" w:type="dxa"/>
              <w:left w:w="100.0" w:type="dxa"/>
              <w:bottom w:w="80.0" w:type="dxa"/>
              <w:right w:w="100.0" w:type="dxa"/>
            </w:tcMar>
          </w:tcPr>
          <w:p w:rsidR="00000000" w:rsidDel="00000000" w:rsidP="00000000" w:rsidRDefault="00000000" w:rsidRPr="00000000" w14:paraId="0000028A">
            <w:pPr>
              <w:rPr/>
            </w:pPr>
            <w:r>
              <w:rPr>
                <w:sz w:val="19"/>
                <w:szCs w:val="19"/>
                <w:rtl w:val="0"/>
              </w:rPr>
              <w:t xml:space="preserve">Measured-tier environmental data</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B">
            <w:pPr>
              <w:rPr/>
            </w:pPr>
            <w:r>
              <w:rPr>
                <w:sz w:val="19"/>
                <w:szCs w:val="19"/>
                <w:rtl w:val="0"/>
              </w:rPr>
              <w:t xml:space="preserve">Grid carbon-intensity data</w:t>
            </w:r>
            <w:r>
              <w:rPr>
                <w:rtl w:val="0"/>
              </w:rPr>
            </w:r>
          </w:p>
        </w:tc>
        <w:tc>
          <w:tcPr>
            <w:tcMar>
              <w:top w:w="80.0" w:type="dxa"/>
              <w:left w:w="100.0" w:type="dxa"/>
              <w:bottom w:w="80.0" w:type="dxa"/>
              <w:right w:w="100.0" w:type="dxa"/>
            </w:tcMar>
          </w:tcPr>
          <w:p w:rsidR="00000000" w:rsidDel="00000000" w:rsidP="00000000" w:rsidRDefault="00000000" w:rsidRPr="00000000" w14:paraId="0000028C">
            <w:pPr>
              <w:rPr/>
            </w:pPr>
            <w:r>
              <w:rPr>
                <w:sz w:val="19"/>
                <w:szCs w:val="19"/>
                <w:rtl w:val="0"/>
              </w:rPr>
              <w:t xml:space="preserve">Public regional grid-intensity datasets/APIs</w:t>
            </w:r>
            <w:r>
              <w:rPr>
                <w:rtl w:val="0"/>
              </w:rPr>
            </w:r>
          </w:p>
        </w:tc>
        <w:tc>
          <w:tcPr>
            <w:tcMar>
              <w:top w:w="80.0" w:type="dxa"/>
              <w:left w:w="100.0" w:type="dxa"/>
              <w:bottom w:w="80.0" w:type="dxa"/>
              <w:right w:w="100.0" w:type="dxa"/>
            </w:tcMar>
          </w:tcPr>
          <w:p w:rsidR="00000000" w:rsidDel="00000000" w:rsidP="00000000" w:rsidRDefault="00000000" w:rsidRPr="00000000" w14:paraId="0000028D">
            <w:pPr>
              <w:rPr/>
            </w:pPr>
            <w:r>
              <w:rPr>
                <w:sz w:val="19"/>
                <w:szCs w:val="19"/>
                <w:rtl w:val="0"/>
              </w:rPr>
              <w:t xml:space="preserve">Modeled-tier CO₂e conversion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E">
            <w:pPr>
              <w:rPr/>
            </w:pPr>
            <w:r>
              <w:rPr>
                <w:sz w:val="19"/>
                <w:szCs w:val="19"/>
                <w:rtl w:val="0"/>
              </w:rPr>
              <w:t xml:space="preserve">Published research</w:t>
            </w:r>
            <w:r>
              <w:rPr>
                <w:rtl w:val="0"/>
              </w:rPr>
            </w:r>
          </w:p>
        </w:tc>
        <w:tc>
          <w:tcPr>
            <w:tcMar>
              <w:top w:w="80.0" w:type="dxa"/>
              <w:left w:w="100.0" w:type="dxa"/>
              <w:bottom w:w="80.0" w:type="dxa"/>
              <w:right w:w="100.0" w:type="dxa"/>
            </w:tcMar>
          </w:tcPr>
          <w:p w:rsidR="00000000" w:rsidDel="00000000" w:rsidP="00000000" w:rsidRDefault="00000000" w:rsidRPr="00000000" w14:paraId="0000028F">
            <w:pPr>
              <w:rPr/>
            </w:pPr>
            <w:r>
              <w:rPr>
                <w:sz w:val="19"/>
                <w:szCs w:val="19"/>
                <w:rtl w:val="0"/>
              </w:rPr>
              <w:t xml:space="preserve">Peer-reviewed energy-per-token and data-center WUE/PUE studies</w:t>
            </w:r>
            <w:r>
              <w:rPr>
                <w:rtl w:val="0"/>
              </w:rPr>
            </w:r>
          </w:p>
        </w:tc>
        <w:tc>
          <w:tcPr>
            <w:tcMar>
              <w:top w:w="80.0" w:type="dxa"/>
              <w:left w:w="100.0" w:type="dxa"/>
              <w:bottom w:w="80.0" w:type="dxa"/>
              <w:right w:w="100.0" w:type="dxa"/>
            </w:tcMar>
          </w:tcPr>
          <w:p w:rsidR="00000000" w:rsidDel="00000000" w:rsidP="00000000" w:rsidRDefault="00000000" w:rsidRPr="00000000" w14:paraId="00000290">
            <w:pPr>
              <w:rPr/>
            </w:pPr>
            <w:r>
              <w:rPr>
                <w:sz w:val="19"/>
                <w:szCs w:val="19"/>
                <w:rtl w:val="0"/>
              </w:rPr>
              <w:t xml:space="preserve">Modeled/Estimated-tier factors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91">
            <w:pPr>
              <w:rPr/>
            </w:pPr>
            <w:r>
              <w:rPr>
                <w:sz w:val="19"/>
                <w:szCs w:val="19"/>
                <w:rtl w:val="0"/>
              </w:rPr>
              <w:t xml:space="preserve">Optional remediation partner</w:t>
            </w:r>
            <w:r>
              <w:rPr>
                <w:rtl w:val="0"/>
              </w:rPr>
            </w:r>
          </w:p>
        </w:tc>
        <w:tc>
          <w:tcPr>
            <w:tcMar>
              <w:top w:w="80.0" w:type="dxa"/>
              <w:left w:w="100.0" w:type="dxa"/>
              <w:bottom w:w="80.0" w:type="dxa"/>
              <w:right w:w="100.0" w:type="dxa"/>
            </w:tcMar>
          </w:tcPr>
          <w:p w:rsidR="00000000" w:rsidDel="00000000" w:rsidP="00000000" w:rsidRDefault="00000000" w:rsidRPr="00000000" w14:paraId="00000292">
            <w:pPr>
              <w:rPr/>
            </w:pPr>
            <w:r>
              <w:rPr>
                <w:sz w:val="19"/>
                <w:szCs w:val="19"/>
                <w:rtl w:val="0"/>
              </w:rPr>
              <w:t xml:space="preserve">Third-party remediation partner</w:t>
            </w:r>
            <w:r>
              <w:rPr>
                <w:rtl w:val="0"/>
              </w:rPr>
            </w:r>
          </w:p>
        </w:tc>
        <w:tc>
          <w:tcPr>
            <w:tcMar>
              <w:top w:w="80.0" w:type="dxa"/>
              <w:left w:w="100.0" w:type="dxa"/>
              <w:bottom w:w="80.0" w:type="dxa"/>
              <w:right w:w="100.0" w:type="dxa"/>
            </w:tcMar>
          </w:tcPr>
          <w:p w:rsidR="00000000" w:rsidDel="00000000" w:rsidP="00000000" w:rsidRDefault="00000000" w:rsidRPr="00000000" w14:paraId="00000293">
            <w:pPr>
              <w:rPr/>
            </w:pPr>
            <w:r>
              <w:rPr>
                <w:sz w:val="19"/>
                <w:szCs w:val="19"/>
                <w:rtl w:val="0"/>
              </w:rPr>
              <w:t xml:space="preserve">Downstream offset/restoration action, not a dependency of core metering</w:t>
            </w:r>
            <w:r>
              <w:rPr>
                <w:rtl w:val="0"/>
              </w:rPr>
            </w:r>
          </w:p>
        </w:tc>
      </w:tr>
    </w:tbl>
    <w:p w:rsidR="00000000" w:rsidDel="00000000" w:rsidP="00000000" w:rsidRDefault="00000000" w:rsidRPr="00000000" w14:paraId="00000294">
      <w:pPr>
        <w:spacing w:after="140" w:lineRule="auto"/>
        <w:rPr/>
      </w:pPr>
      <w:r>
        <w:rPr>
          <w:rtl w:val="0"/>
        </w:rPr>
      </w:r>
    </w:p>
    <w:p w:rsidR="00000000" w:rsidDel="00000000" w:rsidP="00000000" w:rsidRDefault="00000000" w:rsidRPr="00000000" w14:paraId="00000295">
      <w:pPr>
        <w:pStyle w:val="Heading1"/>
        <w:spacing w:after="160" w:before="360" w:lineRule="auto"/>
        <w:rPr/>
      </w:pPr>
      <w:r>
        <w:rPr>
          <w:b w:val="1"/>
          <w:bCs w:val="1"/>
          <w:color w:val="0f4a2e"/>
          <w:sz w:val="30"/>
          <w:szCs w:val="30"/>
          <w:rtl w:val="0"/>
        </w:rPr>
        <w:t xml:space="preserve">14. Privacy, Security, and Compliance</w:t>
      </w:r>
      <w:r>
        <w:rPr>
          <w:rtl w:val="0"/>
        </w:rPr>
      </w:r>
    </w:p>
    <w:p w:rsidR="00000000" w:rsidDel="00000000" w:rsidP="00000000" w:rsidRDefault="00000000" w:rsidRPr="00000000" w14:paraId="00000296">
      <w:pPr>
        <w:pStyle w:val="Heading2"/>
        <w:spacing w:after="120" w:before="280" w:lineRule="auto"/>
        <w:rPr/>
      </w:pPr>
      <w:r>
        <w:rPr>
          <w:b w:val="1"/>
          <w:bCs w:val="1"/>
          <w:color w:val="1e7a4c"/>
          <w:sz w:val="24"/>
          <w:szCs w:val="24"/>
          <w:rtl w:val="0"/>
        </w:rPr>
        <w:t xml:space="preserve">14.1 Data Privacy</w:t>
      </w:r>
      <w:r>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Content minimization: Stardust captures usage metadata (token counts, model IDs, timestamps, costs) by design, not prompt/response content; any content-adjacent signal needed for estimation (e.g., message length) is processed locally in the client where possible and not retained centrally.</w:t>
      </w:r>
      <w:r>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Pseudonymous identifiers by default for the consumer layer; enterprise/infra layer supports org-scoped identity without linking to individual end-user content.</w:t>
      </w:r>
      <w:r>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Self-hosted/VPC deployment option for the infra layer so regulated organizations can keep raw telemetry in their own environment.</w:t>
      </w:r>
      <w:r>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Domain allow-list and explicit user opt-in for which sites/apps the browser extension actively measures, given the extension's broad content-script reach.</w:t>
      </w:r>
      <w:r>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 retention limits, export, and deletion controls consistent with standard SaaS privacy practice and applicable regional requirements (e.g., GDPR-aligned controls given AIforE's stated European market scope).</w:t>
      </w:r>
      <w:r>
        <w:rPr>
          <w:rtl w:val="0"/>
        </w:rPr>
      </w:r>
    </w:p>
    <w:p w:rsidR="00000000" w:rsidDel="00000000" w:rsidP="00000000" w:rsidRDefault="00000000" w:rsidRPr="00000000" w14:paraId="0000029C">
      <w:pPr>
        <w:pStyle w:val="Heading2"/>
        <w:spacing w:after="120" w:before="280" w:lineRule="auto"/>
        <w:rPr/>
      </w:pPr>
      <w:r>
        <w:rPr>
          <w:b w:val="1"/>
          <w:bCs w:val="1"/>
          <w:color w:val="1e7a4c"/>
          <w:sz w:val="24"/>
          <w:szCs w:val="24"/>
          <w:rtl w:val="0"/>
        </w:rPr>
        <w:t xml:space="preserve">14.2 Open Source Supply-Chain Security</w:t>
      </w:r>
      <w:r>
        <w:rPr>
          <w:rtl w:val="0"/>
        </w:rPr>
      </w:r>
    </w:p>
    <w:p w:rsidR="00000000" w:rsidDel="00000000" w:rsidP="00000000" w:rsidRDefault="00000000" w:rsidRPr="00000000" w14:paraId="0000029D">
      <w:pPr>
        <w:spacing w:after="140" w:lineRule="auto"/>
        <w:rPr/>
      </w:pPr>
      <w:r>
        <w:rPr>
          <w:sz w:val="21"/>
          <w:szCs w:val="21"/>
          <w:rtl w:val="0"/>
        </w:rPr>
        <w:t xml:space="preserve">Stardust both consumes third-party open source components (§9.4) and is itself intended to be forked and self-hosted by others (§17), so its build and release pipeline carries an explicit posture for supply-chain risk, not just data privacy.</w:t>
      </w:r>
      <w:r>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SBOM generation: every Stardust release (client and Core) generates a signed Software Bill of Materials in CycloneDX or SPDX format — using an open source generator such as Syft — attached directly to the release artifact rather than left as a loose file on a release page, so a fork or self-hoster (§9.3) can verify exactly what they're running.</w:t>
      </w:r>
      <w:r>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Dependency vulnerability scanning (SCA): every dependency, including the vendored LiteLLM pricing data and tokencost fork (§9.4), is continuously cross-referenced against known-vulnerability databases (the NVD, Google's OSV.dev) using an open source scanner such as OSV-Scanner as the baseline layer, with reachability-aware triage — prioritizing CVEs in code paths Stardust actually executes — to avoid alert fatigue from vulnerabilities in transitive dependencies that are never invoked.</w:t>
      </w:r>
      <w:r>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Malicious-package detection: dependency updates are also screened for malicious packages (typosquatting, compromised maintainer accounts), not just known CVEs — an increasingly urgent threat class, given 2025 alone saw over 1,700 malicious packages tied to a single campaign spanning npm, PyPI, Go, and Rust; directly relevant to Stardust since its own client stack spans JS/TS (browser extension, §9.1) and Python (Infra SDK, §9.1), both named targets of that campaign.</w:t>
      </w:r>
      <w:r>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 provenance and artifact signing: Stardust's CI/CD pipeline targets SLSA provenance, starting at Level 1 (automated, verifiable provenance) and increasing as the self-hosted/enterprise deployment model (§9.3) justifies the added rigor, with release artifacts signed via Sigstore/Cosign so a self-hosting organization can verify the binary it runs matches the trusted build rather than a tampered fork.</w:t>
      </w:r>
      <w:r>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CI/CD hardening: GitHub Actions (or equivalent) pinned to commit SHAs rather than mutable tags, and secrets scoped to the minimum job that needs them, to reduce the blast radius of a compromised CI dependency — the SolarWinds-class attack pattern this specifically guards against isn't caught by dependency scanning alone.</w:t>
      </w:r>
      <w:r>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Pre-commit and pre-merge scanning: secrets scanning and static analysis run before code merges, not only at release time.</w:t>
      </w:r>
      <w:r>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Vendored data integrity: because the reused LiteLLM pricing JSON (§9.4) is data, not code, it is schema-validated on ingest before being merged into Stardust's own versioned factor configuration (§8.4), so a malformed or tampered upstream file can't silently corrupt a cost or environmental calculation.</w:t>
      </w:r>
      <w:r>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Regulatory alignment: SBOM generation in particular is increasingly a legal requirement, not just a best practice, for software distributed into the EU (Cyber Resilience Act) and U.S. federal-adjacent contexts (Executive Order 14028) — relevant given Stardust's open source distribution model (§17) and AIforE's European market interest already noted in §14.1.</w:t>
      </w:r>
      <w:r>
        <w:rPr>
          <w:rtl w:val="0"/>
        </w:rPr>
      </w:r>
    </w:p>
    <w:p w:rsidR="00000000" w:rsidDel="00000000" w:rsidP="00000000" w:rsidRDefault="00000000" w:rsidRPr="00000000" w14:paraId="000002A6">
      <w:pPr>
        <w:pStyle w:val="Heading1"/>
        <w:spacing w:after="160" w:before="360" w:lineRule="auto"/>
        <w:rPr/>
      </w:pPr>
      <w:r>
        <w:rPr>
          <w:b w:val="1"/>
          <w:bCs w:val="1"/>
          <w:color w:val="0f4a2e"/>
          <w:sz w:val="30"/>
          <w:szCs w:val="30"/>
          <w:rtl w:val="0"/>
        </w:rPr>
        <w:t xml:space="preserve">15. Non-Functional Requirements</w:t>
      </w:r>
      <w:r>
        <w:rPr>
          <w:rtl w:val="0"/>
        </w:rPr>
      </w:r>
    </w:p>
    <w:tbl>
      <w:tblPr>
        <w:tblStyle w:val="Table1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00"/>
        <w:tblGridChange w:id="0">
          <w:tblGrid>
            <w:gridCol w:w="3200"/>
            <w:gridCol w:w="68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2A7">
            <w:pPr>
              <w:rPr/>
            </w:pPr>
            <w:r>
              <w:rPr>
                <w:b w:val="1"/>
                <w:bCs w:val="1"/>
                <w:color w:val="ffffff"/>
                <w:sz w:val="19"/>
                <w:szCs w:val="19"/>
                <w:rtl w:val="0"/>
              </w:rPr>
              <w:t xml:space="preserve">Requirement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2A8">
            <w:pPr>
              <w:rPr/>
            </w:pPr>
            <w:r>
              <w:rPr>
                <w:b w:val="1"/>
                <w:bCs w:val="1"/>
                <w:color w:val="ffffff"/>
                <w:sz w:val="19"/>
                <w:szCs w:val="19"/>
                <w:rtl w:val="0"/>
              </w:rPr>
              <w:t xml:space="preserve">Target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9">
            <w:pPr>
              <w:rPr/>
            </w:pPr>
            <w:r>
              <w:rPr>
                <w:sz w:val="19"/>
                <w:szCs w:val="19"/>
                <w:rtl w:val="0"/>
              </w:rPr>
              <w:t xml:space="preserve">Performance overhead</w:t>
            </w:r>
            <w:r>
              <w:rPr>
                <w:rtl w:val="0"/>
              </w:rPr>
            </w:r>
          </w:p>
        </w:tc>
        <w:tc>
          <w:tcPr>
            <w:tcMar>
              <w:top w:w="80.0" w:type="dxa"/>
              <w:left w:w="100.0" w:type="dxa"/>
              <w:bottom w:w="80.0" w:type="dxa"/>
              <w:right w:w="100.0" w:type="dxa"/>
            </w:tcMar>
          </w:tcPr>
          <w:p w:rsidR="00000000" w:rsidDel="00000000" w:rsidP="00000000" w:rsidRDefault="00000000" w:rsidRPr="00000000" w14:paraId="000002AA">
            <w:pPr>
              <w:rPr/>
            </w:pPr>
            <w:r>
              <w:rPr>
                <w:sz w:val="19"/>
                <w:szCs w:val="19"/>
                <w:rtl w:val="0"/>
              </w:rPr>
              <w:t xml:space="preserve">Client-side measurement adds no perceptible latency to the underlying chat/query interaction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B">
            <w:pPr>
              <w:rPr/>
            </w:pPr>
            <w:r>
              <w:rPr>
                <w:sz w:val="19"/>
                <w:szCs w:val="19"/>
                <w:rtl w:val="0"/>
              </w:rPr>
              <w:t xml:space="preserve">Extensibility</w:t>
            </w:r>
            <w:r>
              <w:rPr>
                <w:rtl w:val="0"/>
              </w:rPr>
            </w:r>
          </w:p>
        </w:tc>
        <w:tc>
          <w:tcPr>
            <w:tcMar>
              <w:top w:w="80.0" w:type="dxa"/>
              <w:left w:w="100.0" w:type="dxa"/>
              <w:bottom w:w="80.0" w:type="dxa"/>
              <w:right w:w="100.0" w:type="dxa"/>
            </w:tcMar>
          </w:tcPr>
          <w:p w:rsidR="00000000" w:rsidDel="00000000" w:rsidP="00000000" w:rsidRDefault="00000000" w:rsidRPr="00000000" w14:paraId="000002AC">
            <w:pPr>
              <w:rPr/>
            </w:pPr>
            <w:r>
              <w:rPr>
                <w:sz w:val="19"/>
                <w:szCs w:val="19"/>
                <w:rtl w:val="0"/>
              </w:rPr>
              <w:t xml:space="preserve">New providers/models/impact categories addable via configuration, not a client release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D">
            <w:pPr>
              <w:rPr/>
            </w:pPr>
            <w:r>
              <w:rPr>
                <w:sz w:val="19"/>
                <w:szCs w:val="19"/>
                <w:rtl w:val="0"/>
              </w:rPr>
              <w:t xml:space="preserve">Portability</w:t>
            </w:r>
            <w:r>
              <w:rPr>
                <w:rtl w:val="0"/>
              </w:rPr>
            </w:r>
          </w:p>
        </w:tc>
        <w:tc>
          <w:tcPr>
            <w:tcMar>
              <w:top w:w="80.0" w:type="dxa"/>
              <w:left w:w="100.0" w:type="dxa"/>
              <w:bottom w:w="80.0" w:type="dxa"/>
              <w:right w:w="100.0" w:type="dxa"/>
            </w:tcMar>
          </w:tcPr>
          <w:p w:rsidR="00000000" w:rsidDel="00000000" w:rsidP="00000000" w:rsidRDefault="00000000" w:rsidRPr="00000000" w14:paraId="000002AE">
            <w:pPr>
              <w:rPr/>
            </w:pPr>
            <w:r>
              <w:rPr>
                <w:sz w:val="19"/>
                <w:szCs w:val="19"/>
                <w:rtl w:val="0"/>
              </w:rPr>
              <w:t xml:space="preserve">Single core codebase per client layer; browser layer built once against MV3 with per-browser adaptation shims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F">
            <w:pPr>
              <w:rPr/>
            </w:pPr>
            <w:r>
              <w:rPr>
                <w:sz w:val="19"/>
                <w:szCs w:val="19"/>
                <w:rtl w:val="0"/>
              </w:rPr>
              <w:t xml:space="preserve">Reliability</w:t>
            </w:r>
            <w:r>
              <w:rPr>
                <w:rtl w:val="0"/>
              </w:rPr>
            </w:r>
          </w:p>
        </w:tc>
        <w:tc>
          <w:tcPr>
            <w:tcMar>
              <w:top w:w="80.0" w:type="dxa"/>
              <w:left w:w="100.0" w:type="dxa"/>
              <w:bottom w:w="80.0" w:type="dxa"/>
              <w:right w:w="100.0" w:type="dxa"/>
            </w:tcMar>
          </w:tcPr>
          <w:p w:rsidR="00000000" w:rsidDel="00000000" w:rsidP="00000000" w:rsidRDefault="00000000" w:rsidRPr="00000000" w14:paraId="000002B0">
            <w:pPr>
              <w:rPr/>
            </w:pPr>
            <w:r>
              <w:rPr>
                <w:sz w:val="19"/>
                <w:szCs w:val="19"/>
                <w:rtl w:val="0"/>
              </w:rPr>
              <w:t xml:space="preserve">Graceful degradation to Estimated-tier data when richer sources are unavailable, never a blocked user action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1">
            <w:pPr>
              <w:rPr/>
            </w:pPr>
            <w:r>
              <w:rPr>
                <w:sz w:val="19"/>
                <w:szCs w:val="19"/>
                <w:rtl w:val="0"/>
              </w:rPr>
              <w:t xml:space="preserve">Auditability</w:t>
            </w:r>
            <w:r>
              <w:rPr>
                <w:rtl w:val="0"/>
              </w:rPr>
            </w:r>
          </w:p>
        </w:tc>
        <w:tc>
          <w:tcPr>
            <w:tcMar>
              <w:top w:w="80.0" w:type="dxa"/>
              <w:left w:w="100.0" w:type="dxa"/>
              <w:bottom w:w="80.0" w:type="dxa"/>
              <w:right w:w="100.0" w:type="dxa"/>
            </w:tcMar>
          </w:tcPr>
          <w:p w:rsidR="00000000" w:rsidDel="00000000" w:rsidP="00000000" w:rsidRDefault="00000000" w:rsidRPr="00000000" w14:paraId="000002B2">
            <w:pPr>
              <w:rPr/>
            </w:pPr>
            <w:r>
              <w:rPr>
                <w:sz w:val="19"/>
                <w:szCs w:val="19"/>
                <w:rtl w:val="0"/>
              </w:rPr>
              <w:t xml:space="preserve">Every displayed figure traceable to its source event, methodology version, and confidence tier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3">
            <w:pPr>
              <w:rPr/>
            </w:pPr>
            <w:r>
              <w:rPr>
                <w:sz w:val="19"/>
                <w:szCs w:val="19"/>
                <w:rtl w:val="0"/>
              </w:rPr>
              <w:t xml:space="preserve">Offline resilience</w:t>
            </w:r>
            <w:r>
              <w:rPr>
                <w:rtl w:val="0"/>
              </w:rPr>
            </w:r>
          </w:p>
        </w:tc>
        <w:tc>
          <w:tcPr>
            <w:tcMar>
              <w:top w:w="80.0" w:type="dxa"/>
              <w:left w:w="100.0" w:type="dxa"/>
              <w:bottom w:w="80.0" w:type="dxa"/>
              <w:right w:w="100.0" w:type="dxa"/>
            </w:tcMar>
          </w:tcPr>
          <w:p w:rsidR="00000000" w:rsidDel="00000000" w:rsidP="00000000" w:rsidRDefault="00000000" w:rsidRPr="00000000" w14:paraId="000002B4">
            <w:pPr>
              <w:rPr/>
            </w:pPr>
            <w:r>
              <w:rPr>
                <w:sz w:val="19"/>
                <w:szCs w:val="19"/>
                <w:rtl w:val="0"/>
              </w:rPr>
              <w:t xml:space="preserve">Local buffering of events with sync-on-reconnect for the infra agent</w:t>
            </w:r>
            <w:r>
              <w:rPr>
                <w:rtl w:val="0"/>
              </w:rPr>
            </w:r>
          </w:p>
        </w:tc>
      </w:tr>
    </w:tbl>
    <w:p w:rsidR="00000000" w:rsidDel="00000000" w:rsidP="00000000" w:rsidRDefault="00000000" w:rsidRPr="00000000" w14:paraId="000002B5">
      <w:pPr>
        <w:spacing w:after="140" w:lineRule="auto"/>
        <w:rPr/>
      </w:pPr>
      <w:r>
        <w:rPr>
          <w:rtl w:val="0"/>
        </w:rPr>
      </w:r>
    </w:p>
    <w:p w:rsidR="00000000" w:rsidDel="00000000" w:rsidP="00000000" w:rsidRDefault="00000000" w:rsidRPr="00000000" w14:paraId="000002B6">
      <w:pPr>
        <w:pStyle w:val="Heading1"/>
        <w:spacing w:after="160" w:before="360" w:lineRule="auto"/>
        <w:rPr/>
      </w:pPr>
      <w:r>
        <w:rPr>
          <w:b w:val="1"/>
          <w:bCs w:val="1"/>
          <w:color w:val="0f4a2e"/>
          <w:sz w:val="30"/>
          <w:szCs w:val="30"/>
          <w:rtl w:val="0"/>
        </w:rPr>
        <w:t xml:space="preserve">16. Phased Roadmap</w:t>
      </w:r>
      <w:r>
        <w:rPr>
          <w:rtl w:val="0"/>
        </w:rPr>
      </w:r>
    </w:p>
    <w:p w:rsidR="00000000" w:rsidDel="00000000" w:rsidP="00000000" w:rsidRDefault="00000000" w:rsidRPr="00000000" w14:paraId="000002B7">
      <w:pPr>
        <w:pStyle w:val="Heading2"/>
        <w:spacing w:after="120" w:before="280" w:lineRule="auto"/>
        <w:rPr/>
      </w:pPr>
      <w:r>
        <w:rPr>
          <w:b w:val="1"/>
          <w:bCs w:val="1"/>
          <w:color w:val="1e7a4c"/>
          <w:sz w:val="24"/>
          <w:szCs w:val="24"/>
          <w:rtl w:val="0"/>
        </w:rPr>
        <w:t xml:space="preserve">Phase 1 — Foundation</w:t>
      </w:r>
      <w:r>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Finalize indicator-code thresholds and environmental methodology v0.1 with published sourcing.</w:t>
      </w:r>
      <w:r>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Ship browser extension (Chrome/Edge first) as the universal fallback layer, building on the existing AIforE token-cost calculator prototype.</w:t>
      </w:r>
      <w:r>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Ship Stardust Core v0.1: ingestion, normalization, methodology engine, basic dashboard.</w:t>
      </w:r>
      <w:r>
        <w:rPr>
          <w:rtl w:val="0"/>
        </w:rPr>
      </w:r>
    </w:p>
    <w:p w:rsidR="00000000" w:rsidDel="00000000" w:rsidP="00000000" w:rsidRDefault="00000000" w:rsidRPr="00000000" w14:paraId="000002BB">
      <w:pPr>
        <w:pStyle w:val="Heading2"/>
        <w:spacing w:after="120" w:before="280" w:lineRule="auto"/>
        <w:rPr/>
      </w:pPr>
      <w:r>
        <w:rPr>
          <w:b w:val="1"/>
          <w:bCs w:val="1"/>
          <w:color w:val="1e7a4c"/>
          <w:sz w:val="24"/>
          <w:szCs w:val="24"/>
          <w:rtl w:val="0"/>
        </w:rPr>
        <w:t xml:space="preserve">Phase 2 — Native Chat Integrations</w:t>
      </w:r>
      <w:r>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Native plugin/connector integrations for Claude, ChatGPT, and Gemini where platform APIs allow.</w:t>
      </w:r>
      <w:r>
        <w:rPr>
          <w:rtl w:val="0"/>
        </w:rPr>
      </w:r>
    </w:p>
    <w:p w:rsidR="00000000" w:rsidRDefault="00000000" w14:paraId="6B000019">
      <w:pPr>
        <w:numPr>
          <w:ilvl w:val="0"/>
          <w:numId w:val="1"/>
        </w:numPr>
        <w:spacing w:after="60" w:before="0" w:line="240" w:lineRule="auto"/>
        <w:ind w:left="720" w:right="0" w:hanging="360"/>
        <w:rPr/>
      </w:pPr>
      <w:r>
        <w:rPr>
          <w:sz w:val="21"/>
          <w:szCs w:val="21"/>
        </w:rPr>
        <w:t xml:space="preserve">Ship the Subscriber reporting MCP server (§23.3) as the chat-app plugin surface, submitted to connector directories where eligible.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Firefox and Safari extension parity.</w:t>
      </w:r>
      <w:r>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Individual-user dashboard with trend views and model/provider comparisons.</w:t>
      </w:r>
      <w:r>
        <w:rPr>
          <w:rtl w:val="0"/>
        </w:rPr>
      </w:r>
    </w:p>
    <w:p w:rsidR="00000000" w:rsidDel="00000000" w:rsidP="00000000" w:rsidRDefault="00000000" w:rsidRPr="00000000" w14:paraId="000002BF">
      <w:pPr>
        <w:pStyle w:val="Heading2"/>
        <w:spacing w:after="120" w:before="280" w:lineRule="auto"/>
        <w:rPr/>
      </w:pPr>
      <w:r>
        <w:rPr>
          <w:b w:val="1"/>
          <w:bCs w:val="1"/>
          <w:color w:val="1e7a4c"/>
          <w:sz w:val="24"/>
          <w:szCs w:val="24"/>
          <w:rtl w:val="0"/>
        </w:rPr>
        <w:t xml:space="preserve">Phase 3 — Infrastructure Layer</w:t>
      </w:r>
      <w:r>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JS/TS and Python SDKs for database and AI-infrastructure instrumentation.</w:t>
      </w:r>
      <w:r>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Reverse-proxy/sidecar option for no-code-change deployment.</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Self-hosted/VPC Stardust Core for enterprise and regulated customers.</w:t>
      </w:r>
      <w:r>
        <w:rPr>
          <w:rtl w:val="0"/>
        </w:rPr>
      </w:r>
    </w:p>
    <w:p w:rsidR="00000000" w:rsidDel="00000000" w:rsidP="00000000" w:rsidRDefault="00000000" w:rsidRPr="00000000" w14:paraId="000002C3">
      <w:pPr>
        <w:pStyle w:val="Heading2"/>
        <w:spacing w:after="120" w:before="280" w:lineRule="auto"/>
        <w:rPr/>
      </w:pPr>
      <w:r>
        <w:rPr>
          <w:b w:val="1"/>
          <w:bCs w:val="1"/>
          <w:color w:val="1e7a4c"/>
          <w:sz w:val="24"/>
          <w:szCs w:val="24"/>
          <w:rtl w:val="0"/>
        </w:rPr>
        <w:t xml:space="preserve">Phase 4 — Ecosystem</w:t>
      </w:r>
      <w:r>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 source the Stardust Core measurement engine, schema, and reference clients under the licensing model in §17, so third parties can self-host, fork, and build on it directly.</w:t>
      </w:r>
      <w:r>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Ship the Remediation Provider SDK and Subscriber API (§10) as part of the open core, so remediation providers and subscriber applications can be onboarded the same way — by implementing a documented interface, not a bespoke integration.</w:t>
      </w:r>
      <w:r>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Optional remediation pass-through integration (e.g., a third-party remediation partner), now buildable by that partner or any other company directly against the open core as a subscriber (§10.3) rather than only through an AIforE-run integration.</w:t>
      </w:r>
      <w:r>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Publish methodology as an open AIforE benchmark; pursue additional provider/cloud sustainability-API partnerships to move more metrics from Modeled/Estimated to Measured.</w:t>
      </w:r>
      <w:r>
        <w:rPr>
          <w:rtl w:val="0"/>
        </w:rPr>
      </w:r>
    </w:p>
    <w:p w:rsidR="00000000" w:rsidRDefault="00000000" w14:paraId="7D000006">
      <w:pPr>
        <w:pStyle w:val="Heading2"/>
        <w:spacing w:after="120" w:before="280" w:lineRule="auto"/>
        <w:rPr/>
      </w:pPr>
      <w:r>
        <w:rPr>
          <w:b w:val="1"/>
          <w:bCs w:val="1"/>
          <w:color w:val="1e7a4c"/>
          <w:sz w:val="24"/>
          <w:szCs w:val="24"/>
        </w:rPr>
        <w:t xml:space="preserve">Phase 5 — Multi-Attribute Credits and Open Measurement Standard</w:t>
      </w:r>
    </w:p>
    <w:p w:rsidR="00000000" w:rsidRDefault="00000000" w14:paraId="7D000007">
      <w:pPr>
        <w:numPr>
          <w:ilvl w:val="0"/>
          <w:numId w:val="1"/>
        </w:numPr>
        <w:spacing w:after="60" w:before="0" w:line="240" w:lineRule="auto"/>
        <w:ind w:left="720" w:right="0" w:hanging="360"/>
        <w:rPr/>
      </w:pPr>
      <w:r>
        <w:rPr>
          <w:sz w:val="21"/>
          <w:szCs w:val="21"/>
        </w:rPr>
        <w:t xml:space="preserve">Extend the Provider SDK to renewable energy, water, heat recovery and recycling categories, with the telemetry fields in §22.4.</w:t>
      </w:r>
    </w:p>
    <w:p w:rsidR="00000000" w:rsidRDefault="00000000" w14:paraId="7D000008">
      <w:pPr>
        <w:numPr>
          <w:ilvl w:val="0"/>
          <w:numId w:val="1"/>
        </w:numPr>
        <w:spacing w:after="60" w:before="0" w:line="240" w:lineRule="auto"/>
        <w:ind w:left="720" w:right="0" w:hanging="360"/>
        <w:rPr/>
      </w:pPr>
      <w:r>
        <w:rPr>
          <w:sz w:val="21"/>
          <w:szCs w:val="21"/>
        </w:rPr>
        <w:t xml:space="preserve">Ship the Net Impact Ledger and the first Registry and Market Connectors (§22.5), starting with account-holder-mediated retirement and moving to API automation where registries allow it.</w:t>
      </w:r>
    </w:p>
    <w:p w:rsidR="00000000" w:rsidRDefault="00000000" w14:paraId="7D000009">
      <w:pPr>
        <w:numPr>
          <w:ilvl w:val="0"/>
          <w:numId w:val="1"/>
        </w:numPr>
        <w:spacing w:after="60" w:before="0" w:line="240" w:lineRule="auto"/>
        <w:ind w:left="720" w:right="0" w:hanging="360"/>
        <w:rPr/>
      </w:pPr>
      <w:r>
        <w:rPr>
          <w:sz w:val="21"/>
          <w:szCs w:val="21"/>
        </w:rPr>
        <w:t xml:space="preserve">Support hourly matching of electricity use against granular certificates where registries issue them.</w:t>
      </w:r>
    </w:p>
    <w:p w:rsidR="00000000" w:rsidRDefault="00000000" w14:paraId="7D00000A">
      <w:pPr>
        <w:numPr>
          <w:ilvl w:val="0"/>
          <w:numId w:val="1"/>
        </w:numPr>
        <w:spacing w:after="60" w:before="0" w:line="240" w:lineRule="auto"/>
        <w:ind w:left="720" w:right="0" w:hanging="360"/>
        <w:rPr/>
      </w:pPr>
      <w:r>
        <w:rPr>
          <w:sz w:val="21"/>
          <w:szCs w:val="21"/>
        </w:rPr>
        <w:t xml:space="preserve">Publish the Stardust impact measurement framework (§22.7) for public comment and pursue adoption through standards bodies and OpenTelemetry semantic conventions (§11).</w:t>
      </w:r>
    </w:p>
    <w:p w:rsidR="00000000" w:rsidRDefault="00000000" w14:paraId="6B00001A">
      <w:pPr>
        <w:numPr>
          <w:ilvl w:val="0"/>
          <w:numId w:val="1"/>
        </w:numPr>
        <w:spacing w:after="60" w:before="0" w:line="240" w:lineRule="auto"/>
        <w:ind w:left="720" w:right="0" w:hanging="360"/>
        <w:rPr/>
      </w:pPr>
      <w:r>
        <w:rPr>
          <w:sz w:val="21"/>
          <w:szCs w:val="21"/>
        </w:rPr>
        <w:t xml:space="preserve">Ship the Provider insights and operator lifecycle MCP servers (§23.4–§23.5).</w:t>
      </w:r>
    </w:p>
    <w:p w:rsidR="00000000" w:rsidDel="00000000" w:rsidP="00000000" w:rsidRDefault="00000000" w:rsidRPr="00000000" w14:paraId="000002C8">
      <w:pPr>
        <w:pStyle w:val="Heading1"/>
        <w:spacing w:after="160" w:before="360" w:lineRule="auto"/>
        <w:rPr/>
      </w:pPr>
      <w:r>
        <w:rPr>
          <w:b w:val="1"/>
          <w:bCs w:val="1"/>
          <w:color w:val="0f4a2e"/>
          <w:sz w:val="30"/>
          <w:szCs w:val="30"/>
          <w:rtl w:val="0"/>
        </w:rPr>
        <w:t xml:space="preserve">17. Open Source and Ecosystem Strategy</w:t>
      </w:r>
      <w:r>
        <w:rPr>
          <w:rtl w:val="0"/>
        </w:rPr>
      </w:r>
    </w:p>
    <w:p w:rsidR="00000000" w:rsidDel="00000000" w:rsidP="00000000" w:rsidRDefault="00000000" w:rsidRPr="00000000" w14:paraId="000002C9">
      <w:pPr>
        <w:spacing w:after="140" w:lineRule="auto"/>
        <w:rPr/>
      </w:pPr>
      <w:r>
        <w:rPr>
          <w:sz w:val="21"/>
          <w:szCs w:val="21"/>
          <w:rtl w:val="0"/>
        </w:rPr>
        <w:t xml:space="preserve">Stardust's core — the measurement schema (§7), the environmental methodology engine (§8), the indicator-code standard (§5), and the reference clients for each surface in §12 — is intended to be published as open source. The goal is for Stardust to function as shared, neutral measurement infrastructure that AIforE stewards, rather than a closed product AIforE has to build every downstream use case for itself. Companies that sit downstream of usage metering as a remediation and offset marketplace are the model case: they should be able to build directly on Stardust's output and run their own business on it.</w:t>
      </w:r>
      <w:r>
        <w:rPr>
          <w:rtl w:val="0"/>
        </w:rPr>
      </w:r>
    </w:p>
    <w:p w:rsidR="00000000" w:rsidDel="00000000" w:rsidP="00000000" w:rsidRDefault="00000000" w:rsidRPr="00000000" w14:paraId="000002CA">
      <w:pPr>
        <w:pStyle w:val="Heading2"/>
        <w:spacing w:after="120" w:before="280" w:lineRule="auto"/>
        <w:rPr/>
      </w:pPr>
      <w:r>
        <w:rPr>
          <w:b w:val="1"/>
          <w:bCs w:val="1"/>
          <w:color w:val="1e7a4c"/>
          <w:sz w:val="24"/>
          <w:szCs w:val="24"/>
          <w:rtl w:val="0"/>
        </w:rPr>
        <w:t xml:space="preserve">17.1 What Is Open Source</w:t>
      </w:r>
      <w:r>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Core's measurement, normalization, and methodology-engine code, including the versioned environmental-conversion-factor configuration described in §8.4.</w:t>
      </w:r>
      <w:r>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event data schema (§7) and the indicator-code specification (§5), published as an open standard so any third party can emit or consume Stardust-compatible data without reverse-engineering the format.</w:t>
      </w:r>
      <w:r>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reference clients: the browser extension, the chat-app connectors/plugins, and the infra SDKs described in §12, so any company can self-host or fork the metering layer rather than depending on an AIforE-run service.</w:t>
      </w:r>
      <w:r>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Documentation of the environmental methodology's sourcing and assumptions, consistent with the transparency goal already stated in §8.4.</w:t>
      </w:r>
      <w:r>
        <w:rPr>
          <w:rtl w:val="0"/>
        </w:rPr>
      </w:r>
    </w:p>
    <w:p w:rsidR="00000000" w:rsidDel="00000000" w:rsidP="00000000" w:rsidRDefault="00000000" w:rsidRPr="00000000" w14:paraId="000002CF">
      <w:pPr>
        <w:pStyle w:val="Heading2"/>
        <w:spacing w:after="120" w:before="280" w:lineRule="auto"/>
        <w:rPr/>
      </w:pPr>
      <w:r>
        <w:rPr>
          <w:b w:val="1"/>
          <w:bCs w:val="1"/>
          <w:color w:val="1e7a4c"/>
          <w:sz w:val="24"/>
          <w:szCs w:val="24"/>
          <w:rtl w:val="0"/>
        </w:rPr>
        <w:t xml:space="preserve">17.2 What Sits On Top (Not Part of the Open Core)</w:t>
      </w:r>
      <w:r>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Remediation and offset marketplaces — e.g., tree-planting, water-remediation, and carbon-offset partner networks — which consume Stardust's metered-impact output but are separately owned businesses with their own revenue engines.</w:t>
      </w:r>
      <w:r>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Hosted/managed Stardust Core offerings, premium dashboards, enterprise support, or industry-specific integrations that a third party chooses to build and charge for.</w:t>
      </w:r>
      <w:r>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AIforE's own optional hosted service (for individuals/teams who don't want to self-host) can coexist with third-party hosted or forked alternatives — the open license is what makes that coexistence possible rather than exclusive.</w:t>
      </w:r>
      <w:r>
        <w:rPr>
          <w:rtl w:val="0"/>
        </w:rPr>
      </w:r>
    </w:p>
    <w:p w:rsidR="00000000" w:rsidDel="00000000" w:rsidP="00000000" w:rsidRDefault="00000000" w:rsidRPr="00000000" w14:paraId="000002D3">
      <w:pPr>
        <w:pStyle w:val="Heading2"/>
        <w:spacing w:after="120" w:before="280" w:lineRule="auto"/>
        <w:rPr/>
      </w:pPr>
      <w:r>
        <w:rPr>
          <w:b w:val="1"/>
          <w:bCs w:val="1"/>
          <w:color w:val="1e7a4c"/>
          <w:sz w:val="24"/>
          <w:szCs w:val="24"/>
          <w:rtl w:val="0"/>
        </w:rPr>
        <w:t xml:space="preserve">17.3 Licensing Direction</w:t>
      </w:r>
      <w:r>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permissive open source license (e.g., Apache 2.0 or MIT) is the working assumption for the core measurement code and the data/indicator standard, since the goal is maximum third-party adoption and rebuilding, not restricting downstream commercial use.</w:t>
      </w:r>
      <w:r>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Final license selection, and whether any component (for example, a hosted multi-tenant Stardust Core service) is held back as source-available rather than fully open, is an open question for legal/board review — see §19.</w:t>
      </w:r>
      <w:r>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Trademark and brand use (the Stardust name, the AIforE Subscriber Plugin name, and the indicator-code visual language) are treated separately from the code license, so the standard can be forked freely while AIforE retains the ability to certify what counts as a compliant, branded implementation.</w:t>
      </w:r>
      <w:r>
        <w:rPr>
          <w:rtl w:val="0"/>
        </w:rPr>
      </w:r>
    </w:p>
    <w:p w:rsidR="00000000" w:rsidDel="00000000" w:rsidP="00000000" w:rsidRDefault="00000000" w:rsidRPr="00000000" w14:paraId="000002D7">
      <w:pPr>
        <w:pStyle w:val="Heading2"/>
        <w:spacing w:after="120" w:before="280" w:lineRule="auto"/>
        <w:rPr/>
      </w:pPr>
      <w:r>
        <w:rPr>
          <w:b w:val="1"/>
          <w:bCs w:val="1"/>
          <w:color w:val="1e7a4c"/>
          <w:sz w:val="24"/>
          <w:szCs w:val="24"/>
          <w:rtl w:val="0"/>
        </w:rPr>
        <w:t xml:space="preserve">17.4 Why This Serves AIforE's Mission</w:t>
      </w:r>
      <w:r>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single company cannot build native integrations for every AI platform, browser, database, and cloud service listed in §12 alone; an open core lets the ecosystem carry that integration surface forward faster than AIforE could alone.</w:t>
      </w:r>
      <w:r>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Third-party revenue built on top of Stardust is evidence the standard is being adopted — the more third-party companies build value on the metering layer, the more the underlying AIforE sustainability benchmark (§1.2) becomes the de facto reference point.</w:t>
      </w:r>
      <w:r>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Keeping the methodology and schema open, rather than proprietary, is consistent with AIforE's nonprofit mission and its goal of an open, citable industry benchmark rather than a walled garden.</w:t>
      </w:r>
      <w:r>
        <w:rPr>
          <w:rtl w:val="0"/>
        </w:rPr>
      </w:r>
    </w:p>
    <w:p w:rsidR="00000000" w:rsidDel="00000000" w:rsidP="00000000" w:rsidRDefault="00000000" w:rsidRPr="00000000" w14:paraId="000002DB">
      <w:pPr>
        <w:pStyle w:val="Heading1"/>
        <w:spacing w:after="160" w:before="360" w:lineRule="auto"/>
        <w:rPr/>
      </w:pPr>
      <w:r>
        <w:rPr>
          <w:b w:val="1"/>
          <w:bCs w:val="1"/>
          <w:color w:val="0f4a2e"/>
          <w:sz w:val="30"/>
          <w:szCs w:val="30"/>
          <w:rtl w:val="0"/>
        </w:rPr>
        <w:t xml:space="preserve">18. Donations to AI for Ecology</w:t>
      </w:r>
      <w:r>
        <w:rPr>
          <w:rtl w:val="0"/>
        </w:rPr>
      </w:r>
    </w:p>
    <w:p w:rsidR="00000000" w:rsidDel="00000000" w:rsidP="00000000" w:rsidRDefault="00000000" w:rsidRPr="00000000" w14:paraId="000002DC">
      <w:pPr>
        <w:spacing w:after="140" w:lineRule="auto"/>
        <w:rPr/>
      </w:pPr>
      <w:r>
        <w:rPr>
          <w:sz w:val="21"/>
          <w:szCs w:val="21"/>
          <w:rtl w:val="0"/>
        </w:rPr>
        <w:t xml:space="preserve">Separate from any downstream remediation-partner transaction (§6.2, §17.2) and separate from any commercial hosted/paid tier a third party builds on the open core (§17), Stardust surfaces are designed to allow users to donate directly to AI for Ecology (AIforE.org) itself, the Washington State 501(c)(3) nonprofit that stewards the project.</w:t>
      </w:r>
      <w:r>
        <w:rPr>
          <w:rtl w:val="0"/>
        </w:rPr>
      </w:r>
    </w:p>
    <w:p w:rsidR="00000000" w:rsidDel="00000000" w:rsidP="00000000" w:rsidRDefault="00000000" w:rsidRPr="00000000" w14:paraId="000002DD">
      <w:pPr>
        <w:pStyle w:val="Heading2"/>
        <w:spacing w:after="120" w:before="280" w:lineRule="auto"/>
        <w:rPr/>
      </w:pPr>
      <w:r>
        <w:rPr>
          <w:b w:val="1"/>
          <w:bCs w:val="1"/>
          <w:color w:val="1e7a4c"/>
          <w:sz w:val="24"/>
          <w:szCs w:val="24"/>
          <w:rtl w:val="0"/>
        </w:rPr>
        <w:t xml:space="preserve">18.1 Where Donation Is Offered</w:t>
      </w:r>
      <w:r>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“Support AIforE” call-to-action alongside the remediation CTA in the expanded breakdown panel (§6.2), so a user reviewing their own impact can choose to give directly to the nonprofit maintaining the standard, not only to a remediation partner.</w:t>
      </w:r>
      <w:r>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persistent, low-emphasis donation link in the dashboard views (§6.3), consistent with the donation option already live on AIforE.org.</w:t>
      </w:r>
      <w:r>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donation option surfaced in the browser-extension popup and, where the platform allows it, the chat-plugin panel, so the option travels with every client surface rather than living only on the website.</w:t>
      </w:r>
      <w:r>
        <w:rPr>
          <w:rtl w:val="0"/>
        </w:rPr>
      </w:r>
    </w:p>
    <w:p w:rsidR="00000000" w:rsidDel="00000000" w:rsidP="00000000" w:rsidRDefault="00000000" w:rsidRPr="00000000" w14:paraId="000002E1">
      <w:pPr>
        <w:pStyle w:val="Heading2"/>
        <w:spacing w:after="120" w:before="280" w:lineRule="auto"/>
        <w:rPr/>
      </w:pPr>
      <w:r>
        <w:rPr>
          <w:b w:val="1"/>
          <w:bCs w:val="1"/>
          <w:color w:val="1e7a4c"/>
          <w:sz w:val="24"/>
          <w:szCs w:val="24"/>
          <w:rtl w:val="0"/>
        </w:rPr>
        <w:t xml:space="preserve">18.2 Mechanism</w:t>
      </w:r>
      <w:r>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Donations are processed through AIforE's existing donation channel (PayPal, live on AIforE.org) rather than a new payment system built specifically for Stardust, so there is one giving mechanism for AIforE to maintain and reconcile.</w:t>
      </w:r>
      <w:r>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itself does not hold, process, or take a fee from donation funds; it only links out to AIforE's donation flow. This keeps the open source core (§17) free of payment-processing code and licensing complexity.</w:t>
      </w:r>
      <w:r>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Donation prompts are optional and dismissible, consistent with §6's general principle that Stardust surfaces inform rather than interrupt.</w:t>
      </w:r>
      <w:r>
        <w:rPr>
          <w:rtl w:val="0"/>
        </w:rPr>
      </w:r>
    </w:p>
    <w:p w:rsidR="00000000" w:rsidDel="00000000" w:rsidP="00000000" w:rsidRDefault="00000000" w:rsidRPr="00000000" w14:paraId="000002E5">
      <w:pPr>
        <w:pStyle w:val="Heading2"/>
        <w:spacing w:after="120" w:before="280" w:lineRule="auto"/>
        <w:rPr/>
      </w:pPr>
      <w:r>
        <w:rPr>
          <w:b w:val="1"/>
          <w:bCs w:val="1"/>
          <w:color w:val="1e7a4c"/>
          <w:sz w:val="24"/>
          <w:szCs w:val="24"/>
          <w:rtl w:val="0"/>
        </w:rPr>
        <w:t xml:space="preserve">18.3 Distinction From Remediation and Commercial Add-Ons</w:t>
      </w:r>
      <w:r>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donation to AIforE supports the nonprofit's mission and its stewardship of the open standard (§17.4) — it is not a purchase of offset credits and is distinct from a remediation transaction with a downstream remediation partner (§6.2, §17.2).</w:t>
      </w:r>
      <w:r>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donation is also distinct from any paid tier a third party (including AIforE's own optional hosted service, §17.2) might charge for hosting, support, or premium features built on the open core.</w:t>
      </w:r>
      <w:r>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UI copy accompanying the donation CTA should make this distinction clear to the user, so donating to AIforE is never presented as equivalent to, or a substitute for, remediating the specific impact just measured.</w:t>
      </w:r>
      <w:r>
        <w:rPr>
          <w:rtl w:val="0"/>
        </w:rPr>
      </w:r>
    </w:p>
    <w:p w:rsidR="00000000" w:rsidDel="00000000" w:rsidP="00000000" w:rsidRDefault="00000000" w:rsidRPr="00000000" w14:paraId="000002E9">
      <w:pPr>
        <w:pStyle w:val="Heading1"/>
        <w:spacing w:after="160" w:before="360" w:lineRule="auto"/>
        <w:rPr/>
      </w:pPr>
      <w:r>
        <w:rPr>
          <w:b w:val="1"/>
          <w:bCs w:val="1"/>
          <w:color w:val="0f4a2e"/>
          <w:sz w:val="30"/>
          <w:szCs w:val="30"/>
          <w:rtl w:val="0"/>
        </w:rPr>
        <w:t xml:space="preserve">19. Open Questions and Assumptions</w:t>
      </w:r>
      <w:r>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covers the per-platform integration paths known today; revisit Gemini and ChatGPT periodically, since both ecosystems have been actively expanding their extension/connector models through 2026 and a native (non-browser-extension) path may open.</w:t>
      </w:r>
      <w:r>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Final weighting formula for the Impact Grade (A–F) across the environmental categories in §4.3 — proposed as a follow-on working session once directionally-representative usage data exists.</w:t>
      </w:r>
      <w:r>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Whether Stardust Core is a new build or extends the existing token-cost-calculator Squarespace-embed codebase already built for AIforE.org.</w:t>
      </w:r>
      <w:r>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Relationship and data boundary with third-party remediation partners: this spec treats such partners as optional downstream remediation partners Stardust can call, not a dependency — confirm that division of responsibility.</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Monetization/subscription model for the “Subscriber” framing (free consumer tier vs. paid enterprise infra tier) is out of scope for this document, and needs to be reconciled with the open-core strategy in §17 — i.e., what AIforE's own paid tier (if any) is once the core is open source and third parties can self-host for free.</w:t>
      </w:r>
      <w:r>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Legal/licensing review needed before using any third-party grid-intensity, WUE/PUE, or energy-per-token datasets in the methodology engine, and before finalizing the open source license selection in §17.3.</w:t>
      </w:r>
      <w:r>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Governance model for accepting third-party contributions to the open Stardust Core (e.g., a foundation-style governance body vs. AIforE-maintained with external PRs) is undecided.</w:t>
      </w:r>
      <w:r>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Timeline and resourcing for engaging the SCI-for-OpenTelemetry Assembly (§11.2) is undecided — whether AIforE participates directly, contributes via a written proposal, or waits for the conventions to stabilize before aligning stardust.* attribute names to them.</w:t>
      </w:r>
      <w:r>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Provider vetting depth (§10.6) is not yet specified — what legal entity verification, ongoing performance monitoring, and de-listing criteria apply before and after a provider's catalog goes live to subscribers.</w:t>
      </w:r>
      <w:r>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Whether AIforE's broker takes a fee on remediation orders it routes (§10.4), and if so at what rate and disclosed how, is undecided — relevant both to AIforE's own funding model and to how subscribers price remediation actions to their own users.</w:t>
      </w:r>
      <w:r>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Liability allocation between AIforE (as broker), the provider, and the subscriber when a remediation order is not fulfilled as represented — particularly for Tier 2 (emerging/methodology-immature) providers (§10.2.1) — needs legal review before the Provider SDK ships.</w:t>
      </w:r>
      <w:r>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Whether to adopt GHG Protocol Scope 2-style dual reporting (location-based grid mix vs. market-based/PPA-attributed source) for the Energy Source Code (§5.3) when a provider has a dedicated power-purchase agreement (e.g., a nuclear or SMR PPA) that differs from its physical grid mix — relevant given 2026's wave of AI-data-center nuclear/SMR PPAs.</w:t>
      </w:r>
      <w:r>
        <w:rPr>
          <w:rtl w:val="0"/>
        </w:rPr>
      </w:r>
    </w:p>
    <w:p w:rsidR="00000000" w:rsidDel="00000000" w:rsidP="00000000" w:rsidRDefault="00000000" w:rsidRPr="00000000" w14:paraId="000002F6">
      <w:pPr>
        <w:rPr/>
      </w:pPr>
      <w:r>
        <w:br w:type="page"/>
      </w:r>
      <w:r>
        <w:rPr>
          <w:rtl w:val="0"/>
        </w:rPr>
      </w:r>
    </w:p>
    <w:p w:rsidR="00000000" w:rsidDel="00000000" w:rsidP="00000000" w:rsidRDefault="00000000" w:rsidRPr="00000000" w14:paraId="00001001">
      <w:pPr>
        <w:rPr/>
      </w:pPr>
      <w:r>
        <w:br w:type="page"/>
      </w:r>
      <w:r>
        <w:rPr>
          <w:rtl w:val="0"/>
        </w:rPr>
      </w:r>
    </w:p>
    <w:p w:rsidR="00000000" w:rsidRDefault="00000000" w14:paraId="7D00000B">
      <w:pPr>
        <w:numPr>
          <w:ilvl w:val="0"/>
          <w:numId w:val="1"/>
        </w:numPr>
        <w:spacing w:after="60" w:before="0" w:line="240" w:lineRule="auto"/>
        <w:ind w:left="720" w:right="0" w:hanging="360"/>
        <w:rPr/>
      </w:pPr>
      <w:r>
        <w:rPr>
          <w:sz w:val="21"/>
          <w:szCs w:val="21"/>
        </w:rPr>
        <w:t xml:space="preserve">Which registries grant programmatic access for transfer and retirement, and whether AIforE or a licensed partner acts as the account holder for Subscriber retirements (§22.5).</w:t>
      </w:r>
    </w:p>
    <w:p w:rsidR="00000000" w:rsidRDefault="00000000" w14:paraId="7D00000C">
      <w:pPr>
        <w:numPr>
          <w:ilvl w:val="0"/>
          <w:numId w:val="1"/>
        </w:numPr>
        <w:spacing w:after="60" w:before="0" w:line="240" w:lineRule="auto"/>
        <w:ind w:left="720" w:right="0" w:hanging="360"/>
        <w:rPr/>
      </w:pPr>
      <w:r>
        <w:rPr>
          <w:sz w:val="21"/>
          <w:szCs w:val="21"/>
        </w:rPr>
        <w:t xml:space="preserve">Legal and regulatory review of AIforE brokering environmental commodities across multiple markets, including nonprofit and jurisdictional constraints.</w:t>
      </w:r>
    </w:p>
    <w:p w:rsidR="00000000" w:rsidRDefault="00000000" w14:paraId="7D00000D">
      <w:pPr>
        <w:numPr>
          <w:ilvl w:val="0"/>
          <w:numId w:val="1"/>
        </w:numPr>
        <w:spacing w:after="60" w:before="0" w:line="240" w:lineRule="auto"/>
        <w:ind w:left="720" w:right="0" w:hanging="360"/>
        <w:rPr/>
      </w:pPr>
      <w:r>
        <w:rPr>
          <w:sz w:val="21"/>
          <w:szCs w:val="21"/>
        </w:rPr>
        <w:t xml:space="preserve">Which water-benefit and heat-reuse crediting programs to accept initially, given that both markets are less mature than carbon and energy (§22.2).</w:t>
      </w:r>
    </w:p>
    <w:p w:rsidR="00000000" w:rsidDel="00000000" w:rsidP="00000000" w:rsidRDefault="00000000" w:rsidRPr="00000000" w14:paraId="00001002">
      <w:pPr>
        <w:pStyle w:val="Heading1"/>
        <w:spacing w:after="160" w:before="360" w:lineRule="auto"/>
        <w:rPr/>
      </w:pPr>
      <w:r>
        <w:rPr>
          <w:b w:val="1"/>
          <w:bCs w:val="1"/>
          <w:color w:val="0f4a2e"/>
          <w:sz w:val="30"/>
          <w:szCs w:val="30"/>
          <w:rtl w:val="0"/>
        </w:rPr>
        <w:t xml:space="preserve">20. Carbon Capture Provider Telemetry Specification</w:t>
      </w:r>
      <w:r>
        <w:rPr>
          <w:rtl w:val="0"/>
        </w:rPr>
      </w:r>
    </w:p>
    <w:p w:rsidR="00000000" w:rsidDel="00000000" w:rsidP="00000000" w:rsidRDefault="00000000" w:rsidRPr="00000000" w14:paraId="00001003">
      <w:pPr>
        <w:spacing w:after="140" w:lineRule="auto"/>
        <w:rPr/>
      </w:pPr>
      <w:r>
        <w:rPr>
          <w:sz w:val="21"/>
          <w:szCs w:val="21"/>
          <w:rtl w:val="0"/>
        </w:rPr>
        <w:t xml:space="preserve">This section defines the telemetry and derived-data fields captured from carbon capture Provider systems (§10.2) feeding into Stardust's carbon marketplace and Return-on-Impact accounting. Each field carries a 3-letter code for use in raw data stream schemas, database columns, and downstream ML job outputs. Codes are prefixed by tier: no prefix denotes raw acquired telemetry, and a “D-” prefix denotes a derived or ML-generated dataset field, so a raw and derived version of a concept share a root (e.g., CEP raw vs. D-CEP model-estimated).</w:t>
      </w:r>
      <w:r>
        <w:rPr>
          <w:rtl w:val="0"/>
        </w:rPr>
      </w:r>
    </w:p>
    <w:p w:rsidR="00000000" w:rsidDel="00000000" w:rsidP="00000000" w:rsidRDefault="00000000" w:rsidRPr="00000000" w14:paraId="00001004">
      <w:pPr>
        <w:spacing w:after="140" w:lineRule="auto"/>
        <w:rPr/>
      </w:pPr>
      <w:r>
        <w:rPr>
          <w:rtl w:val="0"/>
        </w:rPr>
      </w:r>
    </w:p>
    <w:p w:rsidR="00000000" w:rsidDel="00000000" w:rsidP="00000000" w:rsidRDefault="00000000" w:rsidRPr="00000000" w14:paraId="00001005">
      <w:pPr>
        <w:pStyle w:val="Heading2"/>
        <w:spacing w:after="120" w:before="280" w:lineRule="auto"/>
        <w:rPr/>
      </w:pPr>
      <w:r>
        <w:rPr>
          <w:b w:val="1"/>
          <w:bCs w:val="1"/>
          <w:color w:val="1e7a4c"/>
          <w:sz w:val="24"/>
          <w:szCs w:val="24"/>
          <w:rtl w:val="0"/>
        </w:rPr>
        <w:t xml:space="preserve">20.1 Technology Type Codes</w:t>
      </w:r>
      <w:r>
        <w:rPr>
          <w:rtl w:val="0"/>
        </w:rPr>
      </w:r>
    </w:p>
    <w:p w:rsidR="00000000" w:rsidDel="00000000" w:rsidP="00000000" w:rsidRDefault="00000000" w:rsidRPr="00000000" w14:paraId="00001006">
      <w:pPr>
        <w:spacing w:after="140" w:lineRule="auto"/>
        <w:rPr/>
      </w:pPr>
      <w:r>
        <w:rPr>
          <w:sz w:val="21"/>
          <w:szCs w:val="21"/>
          <w:rtl w:val="0"/>
        </w:rPr>
        <w:t xml:space="preserve">Every telemetry record is tagged with which capture method produced it, since applicable fields differ by technology type.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840"/>
        <w:gridCol w:w="4320"/>
        <w:tblGridChange w:id="0">
          <w:tblGrid>
            <w:gridCol w:w="1440"/>
            <w:gridCol w:w="3840"/>
            <w:gridCol w:w="43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07">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8">
            <w:pPr>
              <w:rPr/>
            </w:pPr>
            <w:r>
              <w:rPr>
                <w:b w:val="1"/>
                <w:bCs w:val="1"/>
                <w:color w:val="ffffff"/>
                <w:sz w:val="19"/>
                <w:szCs w:val="19"/>
                <w:rtl w:val="0"/>
              </w:rPr>
              <w:t xml:space="preserve">Technology 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9">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A">
            <w:pPr>
              <w:rPr/>
            </w:pPr>
            <w:r>
              <w:rPr>
                <w:sz w:val="19"/>
                <w:szCs w:val="19"/>
                <w:rtl w:val="0"/>
              </w:rPr>
              <w:t xml:space="preserve">DAC</w:t>
            </w:r>
            <w:r>
              <w:rPr>
                <w:rtl w:val="0"/>
              </w:rPr>
            </w:r>
          </w:p>
        </w:tc>
        <w:tc>
          <w:tcPr>
            <w:tcMar>
              <w:top w:w="80.0" w:type="dxa"/>
              <w:left w:w="100.0" w:type="dxa"/>
              <w:bottom w:w="80.0" w:type="dxa"/>
              <w:right w:w="100.0" w:type="dxa"/>
            </w:tcMar>
          </w:tcPr>
          <w:p w:rsidR="00000000" w:rsidDel="00000000" w:rsidP="00000000" w:rsidRDefault="00000000" w:rsidRPr="00000000" w14:paraId="0000100B">
            <w:pPr>
              <w:rPr/>
            </w:pPr>
            <w:r>
              <w:rPr>
                <w:sz w:val="19"/>
                <w:szCs w:val="19"/>
                <w:rtl w:val="0"/>
              </w:rPr>
              <w:t xml:space="preserve">Direct Air Capture</w:t>
            </w:r>
            <w:r>
              <w:rPr>
                <w:rtl w:val="0"/>
              </w:rPr>
            </w:r>
          </w:p>
        </w:tc>
        <w:tc>
          <w:tcPr>
            <w:tcMar>
              <w:top w:w="80.0" w:type="dxa"/>
              <w:left w:w="100.0" w:type="dxa"/>
              <w:bottom w:w="80.0" w:type="dxa"/>
              <w:right w:w="100.0" w:type="dxa"/>
            </w:tcMar>
          </w:tcPr>
          <w:p w:rsidR="00000000" w:rsidDel="00000000" w:rsidP="00000000" w:rsidRDefault="00000000" w:rsidRPr="00000000" w14:paraId="0000100C">
            <w:pPr>
              <w:rPr/>
            </w:pPr>
            <w:r>
              <w:rPr>
                <w:sz w:val="19"/>
                <w:szCs w:val="19"/>
                <w:rtl w:val="0"/>
              </w:rPr>
              <w:t xml:space="preserve">Ambient air, chemical/physical sorbents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D">
            <w:pPr>
              <w:rPr/>
            </w:pPr>
            <w:r>
              <w:rPr>
                <w:sz w:val="19"/>
                <w:szCs w:val="19"/>
                <w:rtl w:val="0"/>
              </w:rPr>
              <w:t xml:space="preserve">PSC</w:t>
            </w:r>
            <w:r>
              <w:rPr>
                <w:rtl w:val="0"/>
              </w:rPr>
            </w:r>
          </w:p>
        </w:tc>
        <w:tc>
          <w:tcPr>
            <w:tcMar>
              <w:top w:w="80.0" w:type="dxa"/>
              <w:left w:w="100.0" w:type="dxa"/>
              <w:bottom w:w="80.0" w:type="dxa"/>
              <w:right w:w="100.0" w:type="dxa"/>
            </w:tcMar>
          </w:tcPr>
          <w:p w:rsidR="00000000" w:rsidDel="00000000" w:rsidP="00000000" w:rsidRDefault="00000000" w:rsidRPr="00000000" w14:paraId="0000100E">
            <w:pPr>
              <w:rPr/>
            </w:pPr>
            <w:r>
              <w:rPr>
                <w:sz w:val="19"/>
                <w:szCs w:val="19"/>
                <w:rtl w:val="0"/>
              </w:rPr>
              <w:t xml:space="preserve">Point-Source Capture</w:t>
            </w:r>
            <w:r>
              <w:rPr>
                <w:rtl w:val="0"/>
              </w:rPr>
            </w:r>
          </w:p>
        </w:tc>
        <w:tc>
          <w:tcPr>
            <w:tcMar>
              <w:top w:w="80.0" w:type="dxa"/>
              <w:left w:w="100.0" w:type="dxa"/>
              <w:bottom w:w="80.0" w:type="dxa"/>
              <w:right w:w="100.0" w:type="dxa"/>
            </w:tcMar>
          </w:tcPr>
          <w:p w:rsidR="00000000" w:rsidDel="00000000" w:rsidP="00000000" w:rsidRDefault="00000000" w:rsidRPr="00000000" w14:paraId="0000100F">
            <w:pPr>
              <w:rPr/>
            </w:pPr>
            <w:r>
              <w:rPr>
                <w:sz w:val="19"/>
                <w:szCs w:val="19"/>
                <w:rtl w:val="0"/>
              </w:rPr>
              <w:t xml:space="preserve">Industrial flue gas (cement, steel, power)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0">
            <w:pPr>
              <w:rPr/>
            </w:pPr>
            <w:r>
              <w:rPr>
                <w:sz w:val="19"/>
                <w:szCs w:val="19"/>
                <w:rtl w:val="0"/>
              </w:rPr>
              <w:t xml:space="preserve">NBC</w:t>
            </w:r>
            <w:r>
              <w:rPr>
                <w:rtl w:val="0"/>
              </w:rPr>
            </w:r>
          </w:p>
        </w:tc>
        <w:tc>
          <w:tcPr>
            <w:tcMar>
              <w:top w:w="80.0" w:type="dxa"/>
              <w:left w:w="100.0" w:type="dxa"/>
              <w:bottom w:w="80.0" w:type="dxa"/>
              <w:right w:w="100.0" w:type="dxa"/>
            </w:tcMar>
          </w:tcPr>
          <w:p w:rsidR="00000000" w:rsidDel="00000000" w:rsidP="00000000" w:rsidRDefault="00000000" w:rsidRPr="00000000" w14:paraId="00001011">
            <w:pPr>
              <w:rPr/>
            </w:pPr>
            <w:r>
              <w:rPr>
                <w:sz w:val="19"/>
                <w:szCs w:val="19"/>
                <w:rtl w:val="0"/>
              </w:rPr>
              <w:t xml:space="preserve">Nature-Based Capture</w:t>
            </w:r>
            <w:r>
              <w:rPr>
                <w:rtl w:val="0"/>
              </w:rPr>
            </w:r>
          </w:p>
        </w:tc>
        <w:tc>
          <w:tcPr>
            <w:tcMar>
              <w:top w:w="80.0" w:type="dxa"/>
              <w:left w:w="100.0" w:type="dxa"/>
              <w:bottom w:w="80.0" w:type="dxa"/>
              <w:right w:w="100.0" w:type="dxa"/>
            </w:tcMar>
          </w:tcPr>
          <w:p w:rsidR="00000000" w:rsidDel="00000000" w:rsidP="00000000" w:rsidRDefault="00000000" w:rsidRPr="00000000" w14:paraId="00001012">
            <w:pPr>
              <w:rPr/>
            </w:pPr>
            <w:r>
              <w:rPr>
                <w:sz w:val="19"/>
                <w:szCs w:val="19"/>
                <w:rtl w:val="0"/>
              </w:rPr>
              <w:t xml:space="preserve">Biomass, soil, afforestation — estimate-heavy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3">
            <w:pPr>
              <w:rPr/>
            </w:pPr>
            <w:r>
              <w:rPr>
                <w:sz w:val="19"/>
                <w:szCs w:val="19"/>
                <w:rtl w:val="0"/>
              </w:rPr>
              <w:t xml:space="preserve">OBC</w:t>
            </w:r>
            <w:r>
              <w:rPr>
                <w:rtl w:val="0"/>
              </w:rPr>
            </w:r>
          </w:p>
        </w:tc>
        <w:tc>
          <w:tcPr>
            <w:tcMar>
              <w:top w:w="80.0" w:type="dxa"/>
              <w:left w:w="100.0" w:type="dxa"/>
              <w:bottom w:w="80.0" w:type="dxa"/>
              <w:right w:w="100.0" w:type="dxa"/>
            </w:tcMar>
          </w:tcPr>
          <w:p w:rsidR="00000000" w:rsidDel="00000000" w:rsidP="00000000" w:rsidRDefault="00000000" w:rsidRPr="00000000" w14:paraId="00001014">
            <w:pPr>
              <w:rPr/>
            </w:pPr>
            <w:r>
              <w:rPr>
                <w:sz w:val="19"/>
                <w:szCs w:val="19"/>
                <w:rtl w:val="0"/>
              </w:rPr>
              <w:t xml:space="preserve">Ocean-Based Capture</w:t>
            </w:r>
            <w:r>
              <w:rPr>
                <w:rtl w:val="0"/>
              </w:rPr>
            </w:r>
          </w:p>
        </w:tc>
        <w:tc>
          <w:tcPr>
            <w:tcMar>
              <w:top w:w="80.0" w:type="dxa"/>
              <w:left w:w="100.0" w:type="dxa"/>
              <w:bottom w:w="80.0" w:type="dxa"/>
              <w:right w:w="100.0" w:type="dxa"/>
            </w:tcMar>
          </w:tcPr>
          <w:p w:rsidR="00000000" w:rsidDel="00000000" w:rsidP="00000000" w:rsidRDefault="00000000" w:rsidRPr="00000000" w14:paraId="00001015">
            <w:pPr>
              <w:rPr/>
            </w:pPr>
            <w:r>
              <w:rPr>
                <w:sz w:val="19"/>
                <w:szCs w:val="19"/>
                <w:rtl w:val="0"/>
              </w:rPr>
              <w:t xml:space="preserve">Emerging; alkalinity enhancement, electrochemical</w:t>
            </w:r>
            <w:r>
              <w:rPr>
                <w:rtl w:val="0"/>
              </w:rPr>
            </w:r>
          </w:p>
        </w:tc>
      </w:tr>
    </w:tbl>
    <w:p w:rsidR="00000000" w:rsidDel="00000000" w:rsidP="00000000" w:rsidRDefault="00000000" w:rsidRPr="00000000" w14:paraId="00001016">
      <w:pPr>
        <w:spacing w:after="140" w:lineRule="auto"/>
        <w:rPr/>
      </w:pPr>
      <w:r>
        <w:rPr>
          <w:rtl w:val="0"/>
        </w:rPr>
      </w:r>
    </w:p>
    <w:p w:rsidR="00000000" w:rsidDel="00000000" w:rsidP="00000000" w:rsidRDefault="00000000" w:rsidRPr="00000000" w14:paraId="00001017">
      <w:pPr>
        <w:pStyle w:val="Heading2"/>
        <w:spacing w:after="120" w:before="280" w:lineRule="auto"/>
        <w:rPr/>
      </w:pPr>
      <w:r>
        <w:rPr>
          <w:b w:val="1"/>
          <w:bCs w:val="1"/>
          <w:color w:val="1e7a4c"/>
          <w:sz w:val="24"/>
          <w:szCs w:val="24"/>
          <w:rtl w:val="0"/>
        </w:rPr>
        <w:t xml:space="preserve">20.2 Capture Performance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1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E">
            <w:pPr>
              <w:rPr/>
            </w:pPr>
            <w:r>
              <w:rPr>
                <w:sz w:val="19"/>
                <w:szCs w:val="19"/>
                <w:rtl w:val="0"/>
              </w:rPr>
              <w:t xml:space="preserve">CRI</w:t>
            </w:r>
            <w:r>
              <w:rPr>
                <w:rtl w:val="0"/>
              </w:rPr>
            </w:r>
          </w:p>
        </w:tc>
        <w:tc>
          <w:tcPr>
            <w:tcMar>
              <w:top w:w="80.0" w:type="dxa"/>
              <w:left w:w="100.0" w:type="dxa"/>
              <w:bottom w:w="80.0" w:type="dxa"/>
              <w:right w:w="100.0" w:type="dxa"/>
            </w:tcMar>
          </w:tcPr>
          <w:p w:rsidR="00000000" w:rsidDel="00000000" w:rsidP="00000000" w:rsidRDefault="00000000" w:rsidRPr="00000000" w14:paraId="0000101F">
            <w:pPr>
              <w:rPr/>
            </w:pPr>
            <w:r>
              <w:rPr>
                <w:sz w:val="19"/>
                <w:szCs w:val="19"/>
                <w:rtl w:val="0"/>
              </w:rPr>
              <w:t xml:space="preserve">Capture Rate Interval</w:t>
            </w:r>
            <w:r>
              <w:rPr>
                <w:rtl w:val="0"/>
              </w:rPr>
            </w:r>
          </w:p>
        </w:tc>
        <w:tc>
          <w:tcPr>
            <w:tcMar>
              <w:top w:w="80.0" w:type="dxa"/>
              <w:left w:w="100.0" w:type="dxa"/>
              <w:bottom w:w="80.0" w:type="dxa"/>
              <w:right w:w="100.0" w:type="dxa"/>
            </w:tcMar>
          </w:tcPr>
          <w:p w:rsidR="00000000" w:rsidDel="00000000" w:rsidP="00000000" w:rsidRDefault="00000000" w:rsidRPr="00000000" w14:paraId="00001020">
            <w:pPr>
              <w:rPr/>
            </w:pPr>
            <w:r>
              <w:rPr>
                <w:sz w:val="19"/>
                <w:szCs w:val="19"/>
                <w:rtl w:val="0"/>
              </w:rPr>
              <w:t xml:space="preserve">Mass captured per reporting interval</w:t>
            </w:r>
            <w:r>
              <w:rPr>
                <w:rtl w:val="0"/>
              </w:rPr>
            </w:r>
          </w:p>
        </w:tc>
        <w:tc>
          <w:tcPr>
            <w:tcMar>
              <w:top w:w="80.0" w:type="dxa"/>
              <w:left w:w="100.0" w:type="dxa"/>
              <w:bottom w:w="80.0" w:type="dxa"/>
              <w:right w:w="100.0" w:type="dxa"/>
            </w:tcMar>
          </w:tcPr>
          <w:p w:rsidR="00000000" w:rsidDel="00000000" w:rsidP="00000000" w:rsidRDefault="00000000" w:rsidRPr="00000000" w14:paraId="00001021">
            <w:pPr>
              <w:rPr/>
            </w:pPr>
            <w:r>
              <w:rPr>
                <w:sz w:val="19"/>
                <w:szCs w:val="19"/>
                <w:rtl w:val="0"/>
              </w:rPr>
              <w:t xml:space="preserve">kg/hr or t/day</w:t>
            </w:r>
            <w:r>
              <w:rPr>
                <w:rtl w:val="0"/>
              </w:rPr>
            </w:r>
          </w:p>
        </w:tc>
        <w:tc>
          <w:tcPr>
            <w:tcMar>
              <w:top w:w="80.0" w:type="dxa"/>
              <w:left w:w="100.0" w:type="dxa"/>
              <w:bottom w:w="80.0" w:type="dxa"/>
              <w:right w:w="100.0" w:type="dxa"/>
            </w:tcMar>
          </w:tcPr>
          <w:p w:rsidR="00000000" w:rsidDel="00000000" w:rsidP="00000000" w:rsidRDefault="00000000" w:rsidRPr="00000000" w14:paraId="00001022">
            <w:pPr>
              <w:rPr/>
            </w:pPr>
            <w:r>
              <w:rPr>
                <w:sz w:val="19"/>
                <w:szCs w:val="19"/>
                <w:rtl w:val="0"/>
              </w:rPr>
              <w:t xml:space="preserve">Real-time–hourly</w:t>
            </w:r>
            <w:r>
              <w:rPr>
                <w:rtl w:val="0"/>
              </w:rPr>
            </w:r>
          </w:p>
        </w:tc>
        <w:tc>
          <w:tcPr>
            <w:tcMar>
              <w:top w:w="80.0" w:type="dxa"/>
              <w:left w:w="100.0" w:type="dxa"/>
              <w:bottom w:w="80.0" w:type="dxa"/>
              <w:right w:w="100.0" w:type="dxa"/>
            </w:tcMar>
          </w:tcPr>
          <w:p w:rsidR="00000000" w:rsidDel="00000000" w:rsidP="00000000" w:rsidRDefault="00000000" w:rsidRPr="00000000" w14:paraId="0000102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4">
            <w:pPr>
              <w:rPr/>
            </w:pPr>
            <w:r>
              <w:rPr>
                <w:sz w:val="19"/>
                <w:szCs w:val="19"/>
                <w:rtl w:val="0"/>
              </w:rPr>
              <w:t xml:space="preserve">CEP</w:t>
            </w:r>
            <w:r>
              <w:rPr>
                <w:rtl w:val="0"/>
              </w:rPr>
            </w:r>
          </w:p>
        </w:tc>
        <w:tc>
          <w:tcPr>
            <w:tcMar>
              <w:top w:w="80.0" w:type="dxa"/>
              <w:left w:w="100.0" w:type="dxa"/>
              <w:bottom w:w="80.0" w:type="dxa"/>
              <w:right w:w="100.0" w:type="dxa"/>
            </w:tcMar>
          </w:tcPr>
          <w:p w:rsidR="00000000" w:rsidDel="00000000" w:rsidP="00000000" w:rsidRDefault="00000000" w:rsidRPr="00000000" w14:paraId="00001025">
            <w:pPr>
              <w:rPr/>
            </w:pPr>
            <w:r>
              <w:rPr>
                <w:sz w:val="19"/>
                <w:szCs w:val="19"/>
                <w:rtl w:val="0"/>
              </w:rPr>
              <w:t xml:space="preserve">Capture Efficiency Percentage</w:t>
            </w:r>
            <w:r>
              <w:rPr>
                <w:rtl w:val="0"/>
              </w:rPr>
            </w:r>
          </w:p>
        </w:tc>
        <w:tc>
          <w:tcPr>
            <w:tcMar>
              <w:top w:w="80.0" w:type="dxa"/>
              <w:left w:w="100.0" w:type="dxa"/>
              <w:bottom w:w="80.0" w:type="dxa"/>
              <w:right w:w="100.0" w:type="dxa"/>
            </w:tcMar>
          </w:tcPr>
          <w:p w:rsidR="00000000" w:rsidDel="00000000" w:rsidP="00000000" w:rsidRDefault="00000000" w:rsidRPr="00000000" w14:paraId="00001026">
            <w:pPr>
              <w:rPr/>
            </w:pPr>
            <w:r>
              <w:rPr>
                <w:sz w:val="19"/>
                <w:szCs w:val="19"/>
                <w:rtl w:val="0"/>
              </w:rPr>
              <w:t xml:space="preserve">% of CO2 in input stream actually captured</w:t>
            </w:r>
            <w:r>
              <w:rPr>
                <w:rtl w:val="0"/>
              </w:rPr>
            </w:r>
          </w:p>
        </w:tc>
        <w:tc>
          <w:tcPr>
            <w:tcMar>
              <w:top w:w="80.0" w:type="dxa"/>
              <w:left w:w="100.0" w:type="dxa"/>
              <w:bottom w:w="80.0" w:type="dxa"/>
              <w:right w:w="100.0" w:type="dxa"/>
            </w:tcMar>
          </w:tcPr>
          <w:p w:rsidR="00000000" w:rsidDel="00000000" w:rsidP="00000000" w:rsidRDefault="00000000" w:rsidRPr="00000000" w14:paraId="00001027">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8">
            <w:pPr>
              <w:rPr/>
            </w:pPr>
            <w:r>
              <w:rPr>
                <w:sz w:val="19"/>
                <w:szCs w:val="19"/>
                <w:rtl w:val="0"/>
              </w:rPr>
              <w:t xml:space="preserve">Hourly/daily</w:t>
            </w:r>
            <w:r>
              <w:rPr>
                <w:rtl w:val="0"/>
              </w:rPr>
            </w:r>
          </w:p>
        </w:tc>
        <w:tc>
          <w:tcPr>
            <w:tcMar>
              <w:top w:w="80.0" w:type="dxa"/>
              <w:left w:w="100.0" w:type="dxa"/>
              <w:bottom w:w="80.0" w:type="dxa"/>
              <w:right w:w="100.0" w:type="dxa"/>
            </w:tcMar>
          </w:tcPr>
          <w:p w:rsidR="00000000" w:rsidDel="00000000" w:rsidP="00000000" w:rsidRDefault="00000000" w:rsidRPr="00000000" w14:paraId="00001029">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A">
            <w:pPr>
              <w:rPr/>
            </w:pPr>
            <w:r>
              <w:rPr>
                <w:sz w:val="19"/>
                <w:szCs w:val="19"/>
                <w:rtl w:val="0"/>
              </w:rPr>
              <w:t xml:space="preserve">CUR</w:t>
            </w:r>
            <w:r>
              <w:rPr>
                <w:rtl w:val="0"/>
              </w:rPr>
            </w:r>
          </w:p>
        </w:tc>
        <w:tc>
          <w:tcPr>
            <w:tcMar>
              <w:top w:w="80.0" w:type="dxa"/>
              <w:left w:w="100.0" w:type="dxa"/>
              <w:bottom w:w="80.0" w:type="dxa"/>
              <w:right w:w="100.0" w:type="dxa"/>
            </w:tcMar>
          </w:tcPr>
          <w:p w:rsidR="00000000" w:rsidDel="00000000" w:rsidP="00000000" w:rsidRDefault="00000000" w:rsidRPr="00000000" w14:paraId="0000102B">
            <w:pPr>
              <w:rPr/>
            </w:pPr>
            <w:r>
              <w:rPr>
                <w:sz w:val="19"/>
                <w:szCs w:val="19"/>
                <w:rtl w:val="0"/>
              </w:rPr>
              <w:t xml:space="preserve">Capacity Utilization Rate</w:t>
            </w:r>
            <w:r>
              <w:rPr>
                <w:rtl w:val="0"/>
              </w:rPr>
            </w:r>
          </w:p>
        </w:tc>
        <w:tc>
          <w:tcPr>
            <w:tcMar>
              <w:top w:w="80.0" w:type="dxa"/>
              <w:left w:w="100.0" w:type="dxa"/>
              <w:bottom w:w="80.0" w:type="dxa"/>
              <w:right w:w="100.0" w:type="dxa"/>
            </w:tcMar>
          </w:tcPr>
          <w:p w:rsidR="00000000" w:rsidDel="00000000" w:rsidP="00000000" w:rsidRDefault="00000000" w:rsidRPr="00000000" w14:paraId="0000102C">
            <w:pPr>
              <w:rPr/>
            </w:pPr>
            <w:r>
              <w:rPr>
                <w:sz w:val="19"/>
                <w:szCs w:val="19"/>
                <w:rtl w:val="0"/>
              </w:rPr>
              <w:t xml:space="preserve">Actual throughput vs. rated nameplate capacity</w:t>
            </w:r>
            <w:r>
              <w:rPr>
                <w:rtl w:val="0"/>
              </w:rPr>
            </w:r>
          </w:p>
        </w:tc>
        <w:tc>
          <w:tcPr>
            <w:tcMar>
              <w:top w:w="80.0" w:type="dxa"/>
              <w:left w:w="100.0" w:type="dxa"/>
              <w:bottom w:w="80.0" w:type="dxa"/>
              <w:right w:w="100.0" w:type="dxa"/>
            </w:tcMar>
          </w:tcPr>
          <w:p w:rsidR="00000000" w:rsidDel="00000000" w:rsidP="00000000" w:rsidRDefault="00000000" w:rsidRPr="00000000" w14:paraId="0000102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2F">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0">
            <w:pPr>
              <w:rPr/>
            </w:pPr>
            <w:r>
              <w:rPr>
                <w:sz w:val="19"/>
                <w:szCs w:val="19"/>
                <w:rtl w:val="0"/>
              </w:rPr>
              <w:t xml:space="preserve">UDL</w:t>
            </w:r>
            <w:r>
              <w:rPr>
                <w:rtl w:val="0"/>
              </w:rPr>
            </w:r>
          </w:p>
        </w:tc>
        <w:tc>
          <w:tcPr>
            <w:tcMar>
              <w:top w:w="80.0" w:type="dxa"/>
              <w:left w:w="100.0" w:type="dxa"/>
              <w:bottom w:w="80.0" w:type="dxa"/>
              <w:right w:w="100.0" w:type="dxa"/>
            </w:tcMar>
          </w:tcPr>
          <w:p w:rsidR="00000000" w:rsidDel="00000000" w:rsidP="00000000" w:rsidRDefault="00000000" w:rsidRPr="00000000" w14:paraId="00001031">
            <w:pPr>
              <w:rPr/>
            </w:pPr>
            <w:r>
              <w:rPr>
                <w:sz w:val="19"/>
                <w:szCs w:val="19"/>
                <w:rtl w:val="0"/>
              </w:rPr>
              <w:t xml:space="preserve">Uptime/Downtime Log</w:t>
            </w:r>
            <w:r>
              <w:rPr>
                <w:rtl w:val="0"/>
              </w:rPr>
            </w:r>
          </w:p>
        </w:tc>
        <w:tc>
          <w:tcPr>
            <w:tcMar>
              <w:top w:w="80.0" w:type="dxa"/>
              <w:left w:w="100.0" w:type="dxa"/>
              <w:bottom w:w="80.0" w:type="dxa"/>
              <w:right w:w="100.0" w:type="dxa"/>
            </w:tcMar>
          </w:tcPr>
          <w:p w:rsidR="00000000" w:rsidDel="00000000" w:rsidP="00000000" w:rsidRDefault="00000000" w:rsidRPr="00000000" w14:paraId="00001032">
            <w:pPr>
              <w:rPr/>
            </w:pPr>
            <w:r>
              <w:rPr>
                <w:sz w:val="19"/>
                <w:szCs w:val="19"/>
                <w:rtl w:val="0"/>
              </w:rPr>
              <w:t xml:space="preserve">Operational hours vs. downtime, with reason code</w:t>
            </w:r>
            <w:r>
              <w:rPr>
                <w:rtl w:val="0"/>
              </w:rPr>
            </w:r>
          </w:p>
        </w:tc>
        <w:tc>
          <w:tcPr>
            <w:tcMar>
              <w:top w:w="80.0" w:type="dxa"/>
              <w:left w:w="100.0" w:type="dxa"/>
              <w:bottom w:w="80.0" w:type="dxa"/>
              <w:right w:w="100.0" w:type="dxa"/>
            </w:tcMar>
          </w:tcPr>
          <w:p w:rsidR="00000000" w:rsidDel="00000000" w:rsidP="00000000" w:rsidRDefault="00000000" w:rsidRPr="00000000" w14:paraId="00001033">
            <w:pPr>
              <w:rPr/>
            </w:pPr>
            <w:r>
              <w:rPr>
                <w:sz w:val="19"/>
                <w:szCs w:val="19"/>
                <w:rtl w:val="0"/>
              </w:rPr>
              <w:t xml:space="preserve">hrs + code</w:t>
            </w:r>
            <w:r>
              <w:rPr>
                <w:rtl w:val="0"/>
              </w:rPr>
            </w:r>
          </w:p>
        </w:tc>
        <w:tc>
          <w:tcPr>
            <w:tcMar>
              <w:top w:w="80.0" w:type="dxa"/>
              <w:left w:w="100.0" w:type="dxa"/>
              <w:bottom w:w="80.0" w:type="dxa"/>
              <w:right w:w="100.0" w:type="dxa"/>
            </w:tcMar>
          </w:tcPr>
          <w:p w:rsidR="00000000" w:rsidDel="00000000" w:rsidP="00000000" w:rsidRDefault="00000000" w:rsidRPr="00000000" w14:paraId="00001034">
            <w:pPr>
              <w:rPr/>
            </w:pPr>
            <w:r>
              <w:rPr>
                <w:sz w:val="19"/>
                <w:szCs w:val="19"/>
                <w:rtl w:val="0"/>
              </w:rPr>
              <w:t xml:space="preserve">Continuous</w:t>
            </w:r>
            <w:r>
              <w:rPr>
                <w:rtl w:val="0"/>
              </w:rPr>
            </w:r>
          </w:p>
        </w:tc>
        <w:tc>
          <w:tcPr>
            <w:tcMar>
              <w:top w:w="80.0" w:type="dxa"/>
              <w:left w:w="100.0" w:type="dxa"/>
              <w:bottom w:w="80.0" w:type="dxa"/>
              <w:right w:w="100.0" w:type="dxa"/>
            </w:tcMar>
          </w:tcPr>
          <w:p w:rsidR="00000000" w:rsidDel="00000000" w:rsidP="00000000" w:rsidRDefault="00000000" w:rsidRPr="00000000" w14:paraId="00001035">
            <w:pPr>
              <w:rPr/>
            </w:pPr>
            <w:r>
              <w:rPr>
                <w:sz w:val="19"/>
                <w:szCs w:val="19"/>
                <w:rtl w:val="0"/>
              </w:rPr>
              <w:t xml:space="preserve">DAC, PSC, OBC</w:t>
            </w:r>
            <w:r>
              <w:rPr>
                <w:rtl w:val="0"/>
              </w:rPr>
            </w:r>
          </w:p>
        </w:tc>
      </w:tr>
    </w:tbl>
    <w:p w:rsidR="00000000" w:rsidDel="00000000" w:rsidP="00000000" w:rsidRDefault="00000000" w:rsidRPr="00000000" w14:paraId="00001036">
      <w:pPr>
        <w:spacing w:after="140" w:lineRule="auto"/>
        <w:rPr/>
      </w:pPr>
      <w:r>
        <w:rPr>
          <w:rtl w:val="0"/>
        </w:rPr>
      </w:r>
    </w:p>
    <w:p w:rsidR="00000000" w:rsidDel="00000000" w:rsidP="00000000" w:rsidRDefault="00000000" w:rsidRPr="00000000" w14:paraId="00001037">
      <w:pPr>
        <w:pStyle w:val="Heading2"/>
        <w:spacing w:after="120" w:before="280" w:lineRule="auto"/>
        <w:rPr/>
      </w:pPr>
      <w:r>
        <w:rPr>
          <w:b w:val="1"/>
          <w:bCs w:val="1"/>
          <w:color w:val="1e7a4c"/>
          <w:sz w:val="24"/>
          <w:szCs w:val="24"/>
          <w:rtl w:val="0"/>
        </w:rPr>
        <w:t xml:space="preserve">20.3 Material Accounting</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3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E">
            <w:pPr>
              <w:rPr/>
            </w:pPr>
            <w:r>
              <w:rPr>
                <w:sz w:val="19"/>
                <w:szCs w:val="19"/>
                <w:rtl w:val="0"/>
              </w:rPr>
              <w:t xml:space="preserve">CCM</w:t>
            </w:r>
            <w:r>
              <w:rPr>
                <w:rtl w:val="0"/>
              </w:rPr>
            </w:r>
          </w:p>
        </w:tc>
        <w:tc>
          <w:tcPr>
            <w:tcMar>
              <w:top w:w="80.0" w:type="dxa"/>
              <w:left w:w="100.0" w:type="dxa"/>
              <w:bottom w:w="80.0" w:type="dxa"/>
              <w:right w:w="100.0" w:type="dxa"/>
            </w:tcMar>
          </w:tcPr>
          <w:p w:rsidR="00000000" w:rsidDel="00000000" w:rsidP="00000000" w:rsidRDefault="00000000" w:rsidRPr="00000000" w14:paraId="0000103F">
            <w:pPr>
              <w:rPr/>
            </w:pPr>
            <w:r>
              <w:rPr>
                <w:sz w:val="19"/>
                <w:szCs w:val="19"/>
                <w:rtl w:val="0"/>
              </w:rPr>
              <w:t xml:space="preserve">Cumulative Captured Mass</w:t>
            </w:r>
            <w:r>
              <w:rPr>
                <w:rtl w:val="0"/>
              </w:rPr>
            </w:r>
          </w:p>
        </w:tc>
        <w:tc>
          <w:tcPr>
            <w:tcMar>
              <w:top w:w="80.0" w:type="dxa"/>
              <w:left w:w="100.0" w:type="dxa"/>
              <w:bottom w:w="80.0" w:type="dxa"/>
              <w:right w:w="100.0" w:type="dxa"/>
            </w:tcMar>
          </w:tcPr>
          <w:p w:rsidR="00000000" w:rsidDel="00000000" w:rsidP="00000000" w:rsidRDefault="00000000" w:rsidRPr="00000000" w14:paraId="00001040">
            <w:pPr>
              <w:rPr/>
            </w:pPr>
            <w:r>
              <w:rPr>
                <w:sz w:val="19"/>
                <w:szCs w:val="19"/>
                <w:rtl w:val="0"/>
              </w:rPr>
              <w:t xml:space="preserve">Running total mass captured, resets per crediting period</w:t>
            </w:r>
            <w:r>
              <w:rPr>
                <w:rtl w:val="0"/>
              </w:rPr>
            </w:r>
          </w:p>
        </w:tc>
        <w:tc>
          <w:tcPr>
            <w:tcMar>
              <w:top w:w="80.0" w:type="dxa"/>
              <w:left w:w="100.0" w:type="dxa"/>
              <w:bottom w:w="80.0" w:type="dxa"/>
              <w:right w:w="100.0" w:type="dxa"/>
            </w:tcMar>
          </w:tcPr>
          <w:p w:rsidR="00000000" w:rsidDel="00000000" w:rsidP="00000000" w:rsidRDefault="00000000" w:rsidRPr="00000000" w14:paraId="00001041">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42">
            <w:pPr>
              <w:rPr/>
            </w:pPr>
            <w:r>
              <w:rPr>
                <w:sz w:val="19"/>
                <w:szCs w:val="19"/>
                <w:rtl w:val="0"/>
              </w:rPr>
              <w:t xml:space="preserve">Daily/cumulative</w:t>
            </w:r>
            <w:r>
              <w:rPr>
                <w:rtl w:val="0"/>
              </w:rPr>
            </w:r>
          </w:p>
        </w:tc>
        <w:tc>
          <w:tcPr>
            <w:tcMar>
              <w:top w:w="80.0" w:type="dxa"/>
              <w:left w:w="100.0" w:type="dxa"/>
              <w:bottom w:w="80.0" w:type="dxa"/>
              <w:right w:w="100.0" w:type="dxa"/>
            </w:tcMar>
          </w:tcPr>
          <w:p w:rsidR="00000000" w:rsidDel="00000000" w:rsidP="00000000" w:rsidRDefault="00000000" w:rsidRPr="00000000" w14:paraId="00001043">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4">
            <w:pPr>
              <w:rPr/>
            </w:pPr>
            <w:r>
              <w:rPr>
                <w:sz w:val="19"/>
                <w:szCs w:val="19"/>
                <w:rtl w:val="0"/>
              </w:rPr>
              <w:t xml:space="preserve">SUP</w:t>
            </w:r>
            <w:r>
              <w:rPr>
                <w:rtl w:val="0"/>
              </w:rPr>
            </w:r>
          </w:p>
        </w:tc>
        <w:tc>
          <w:tcPr>
            <w:tcMar>
              <w:top w:w="80.0" w:type="dxa"/>
              <w:left w:w="100.0" w:type="dxa"/>
              <w:bottom w:w="80.0" w:type="dxa"/>
              <w:right w:w="100.0" w:type="dxa"/>
            </w:tcMar>
          </w:tcPr>
          <w:p w:rsidR="00000000" w:rsidDel="00000000" w:rsidP="00000000" w:rsidRDefault="00000000" w:rsidRPr="00000000" w14:paraId="00001045">
            <w:pPr>
              <w:rPr/>
            </w:pPr>
            <w:r>
              <w:rPr>
                <w:sz w:val="19"/>
                <w:szCs w:val="19"/>
                <w:rtl w:val="0"/>
              </w:rPr>
              <w:t xml:space="preserve">Storage/Utilization Pathway</w:t>
            </w:r>
            <w:r>
              <w:rPr>
                <w:rtl w:val="0"/>
              </w:rPr>
            </w:r>
          </w:p>
        </w:tc>
        <w:tc>
          <w:tcPr>
            <w:tcMar>
              <w:top w:w="80.0" w:type="dxa"/>
              <w:left w:w="100.0" w:type="dxa"/>
              <w:bottom w:w="80.0" w:type="dxa"/>
              <w:right w:w="100.0" w:type="dxa"/>
            </w:tcMar>
          </w:tcPr>
          <w:p w:rsidR="00000000" w:rsidDel="00000000" w:rsidP="00000000" w:rsidRDefault="00000000" w:rsidRPr="00000000" w14:paraId="00001046">
            <w:pPr>
              <w:rPr/>
            </w:pPr>
            <w:r>
              <w:rPr>
                <w:sz w:val="19"/>
                <w:szCs w:val="19"/>
                <w:rtl w:val="0"/>
              </w:rPr>
              <w:t xml:space="preserve">Destination: geologic, mineralization, utilization, transport</w:t>
            </w:r>
            <w:r>
              <w:rPr>
                <w:rtl w:val="0"/>
              </w:rPr>
            </w:r>
          </w:p>
        </w:tc>
        <w:tc>
          <w:tcPr>
            <w:tcMar>
              <w:top w:w="80.0" w:type="dxa"/>
              <w:left w:w="100.0" w:type="dxa"/>
              <w:bottom w:w="80.0" w:type="dxa"/>
              <w:right w:w="100.0" w:type="dxa"/>
            </w:tcMar>
          </w:tcPr>
          <w:p w:rsidR="00000000" w:rsidDel="00000000" w:rsidP="00000000" w:rsidRDefault="00000000" w:rsidRPr="00000000" w14:paraId="00001047">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48">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A">
            <w:pPr>
              <w:rPr/>
            </w:pPr>
            <w:r>
              <w:rPr>
                <w:sz w:val="19"/>
                <w:szCs w:val="19"/>
                <w:rtl w:val="0"/>
              </w:rPr>
              <w:t xml:space="preserve">CSP</w:t>
            </w:r>
            <w:r>
              <w:rPr>
                <w:rtl w:val="0"/>
              </w:rPr>
            </w:r>
          </w:p>
        </w:tc>
        <w:tc>
          <w:tcPr>
            <w:tcMar>
              <w:top w:w="80.0" w:type="dxa"/>
              <w:left w:w="100.0" w:type="dxa"/>
              <w:bottom w:w="80.0" w:type="dxa"/>
              <w:right w:w="100.0" w:type="dxa"/>
            </w:tcMar>
          </w:tcPr>
          <w:p w:rsidR="00000000" w:rsidDel="00000000" w:rsidP="00000000" w:rsidRDefault="00000000" w:rsidRPr="00000000" w14:paraId="0000104B">
            <w:pPr>
              <w:rPr/>
            </w:pPr>
            <w:r>
              <w:rPr>
                <w:sz w:val="19"/>
                <w:szCs w:val="19"/>
                <w:rtl w:val="0"/>
              </w:rPr>
              <w:t xml:space="preserve">CO2 Stream Purity</w:t>
            </w:r>
            <w:r>
              <w:rPr>
                <w:rtl w:val="0"/>
              </w:rPr>
            </w:r>
          </w:p>
        </w:tc>
        <w:tc>
          <w:tcPr>
            <w:tcMar>
              <w:top w:w="80.0" w:type="dxa"/>
              <w:left w:w="100.0" w:type="dxa"/>
              <w:bottom w:w="80.0" w:type="dxa"/>
              <w:right w:w="100.0" w:type="dxa"/>
            </w:tcMar>
          </w:tcPr>
          <w:p w:rsidR="00000000" w:rsidDel="00000000" w:rsidP="00000000" w:rsidRDefault="00000000" w:rsidRPr="00000000" w14:paraId="0000104C">
            <w:pPr>
              <w:rPr/>
            </w:pPr>
            <w:r>
              <w:rPr>
                <w:sz w:val="19"/>
                <w:szCs w:val="19"/>
                <w:rtl w:val="0"/>
              </w:rPr>
              <w:t xml:space="preserve">Purity of captured CO2 output stream</w:t>
            </w:r>
            <w:r>
              <w:rPr>
                <w:rtl w:val="0"/>
              </w:rPr>
            </w:r>
          </w:p>
        </w:tc>
        <w:tc>
          <w:tcPr>
            <w:tcMar>
              <w:top w:w="80.0" w:type="dxa"/>
              <w:left w:w="100.0" w:type="dxa"/>
              <w:bottom w:w="80.0" w:type="dxa"/>
              <w:right w:w="100.0" w:type="dxa"/>
            </w:tcMar>
          </w:tcPr>
          <w:p w:rsidR="00000000" w:rsidDel="00000000" w:rsidP="00000000" w:rsidRDefault="00000000" w:rsidRPr="00000000" w14:paraId="0000104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4E">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0">
            <w:pPr>
              <w:rPr/>
            </w:pPr>
            <w:r>
              <w:rPr>
                <w:sz w:val="19"/>
                <w:szCs w:val="19"/>
                <w:rtl w:val="0"/>
              </w:rPr>
              <w:t xml:space="preserve">PLR</w:t>
            </w:r>
            <w:r>
              <w:rPr>
                <w:rtl w:val="0"/>
              </w:rPr>
            </w:r>
          </w:p>
        </w:tc>
        <w:tc>
          <w:tcPr>
            <w:tcMar>
              <w:top w:w="80.0" w:type="dxa"/>
              <w:left w:w="100.0" w:type="dxa"/>
              <w:bottom w:w="80.0" w:type="dxa"/>
              <w:right w:w="100.0" w:type="dxa"/>
            </w:tcMar>
          </w:tcPr>
          <w:p w:rsidR="00000000" w:rsidDel="00000000" w:rsidP="00000000" w:rsidRDefault="00000000" w:rsidRPr="00000000" w14:paraId="00001051">
            <w:pPr>
              <w:rPr/>
            </w:pPr>
            <w:r>
              <w:rPr>
                <w:sz w:val="19"/>
                <w:szCs w:val="19"/>
                <w:rtl w:val="0"/>
              </w:rPr>
              <w:t xml:space="preserve">Post-Capture Leakage Rate</w:t>
            </w:r>
            <w:r>
              <w:rPr>
                <w:rtl w:val="0"/>
              </w:rPr>
            </w:r>
          </w:p>
        </w:tc>
        <w:tc>
          <w:tcPr>
            <w:tcMar>
              <w:top w:w="80.0" w:type="dxa"/>
              <w:left w:w="100.0" w:type="dxa"/>
              <w:bottom w:w="80.0" w:type="dxa"/>
              <w:right w:w="100.0" w:type="dxa"/>
            </w:tcMar>
          </w:tcPr>
          <w:p w:rsidR="00000000" w:rsidDel="00000000" w:rsidP="00000000" w:rsidRDefault="00000000" w:rsidRPr="00000000" w14:paraId="00001052">
            <w:pPr>
              <w:rPr/>
            </w:pPr>
            <w:r>
              <w:rPr>
                <w:sz w:val="19"/>
                <w:szCs w:val="19"/>
                <w:rtl w:val="0"/>
              </w:rPr>
              <w:t xml:space="preserve">Loss during compression, transport, or injection</w:t>
            </w:r>
            <w:r>
              <w:rPr>
                <w:rtl w:val="0"/>
              </w:rPr>
            </w:r>
          </w:p>
        </w:tc>
        <w:tc>
          <w:tcPr>
            <w:tcMar>
              <w:top w:w="80.0" w:type="dxa"/>
              <w:left w:w="100.0" w:type="dxa"/>
              <w:bottom w:w="80.0" w:type="dxa"/>
              <w:right w:w="100.0" w:type="dxa"/>
            </w:tcMar>
          </w:tcPr>
          <w:p w:rsidR="00000000" w:rsidDel="00000000" w:rsidP="00000000" w:rsidRDefault="00000000" w:rsidRPr="00000000" w14:paraId="00001053">
            <w:pPr>
              <w:rPr/>
            </w:pPr>
            <w:r>
              <w:rPr>
                <w:sz w:val="19"/>
                <w:szCs w:val="19"/>
                <w:rtl w:val="0"/>
              </w:rPr>
              <w:t xml:space="preserve">% or kg</w:t>
            </w:r>
            <w:r>
              <w:rPr>
                <w:rtl w:val="0"/>
              </w:rPr>
            </w:r>
          </w:p>
        </w:tc>
        <w:tc>
          <w:tcPr>
            <w:tcMar>
              <w:top w:w="80.0" w:type="dxa"/>
              <w:left w:w="100.0" w:type="dxa"/>
              <w:bottom w:w="80.0" w:type="dxa"/>
              <w:right w:w="100.0" w:type="dxa"/>
            </w:tcMar>
          </w:tcPr>
          <w:p w:rsidR="00000000" w:rsidDel="00000000" w:rsidP="00000000" w:rsidRDefault="00000000" w:rsidRPr="00000000" w14:paraId="0000105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55">
            <w:pPr>
              <w:rPr/>
            </w:pPr>
            <w:r>
              <w:rPr>
                <w:sz w:val="19"/>
                <w:szCs w:val="19"/>
                <w:rtl w:val="0"/>
              </w:rPr>
              <w:t xml:space="preserve">DAC, PSC, OBC</w:t>
            </w:r>
            <w:r>
              <w:rPr>
                <w:rtl w:val="0"/>
              </w:rPr>
            </w:r>
          </w:p>
        </w:tc>
      </w:tr>
    </w:tbl>
    <w:p w:rsidR="00000000" w:rsidDel="00000000" w:rsidP="00000000" w:rsidRDefault="00000000" w:rsidRPr="00000000" w14:paraId="00001056">
      <w:pPr>
        <w:spacing w:after="140" w:lineRule="auto"/>
        <w:rPr/>
      </w:pPr>
      <w:r>
        <w:rPr>
          <w:rtl w:val="0"/>
        </w:rPr>
      </w:r>
    </w:p>
    <w:p w:rsidR="00000000" w:rsidDel="00000000" w:rsidP="00000000" w:rsidRDefault="00000000" w:rsidRPr="00000000" w14:paraId="00001057">
      <w:pPr>
        <w:pStyle w:val="Heading2"/>
        <w:spacing w:after="120" w:before="280" w:lineRule="auto"/>
        <w:rPr/>
      </w:pPr>
      <w:r>
        <w:rPr>
          <w:b w:val="1"/>
          <w:bCs w:val="1"/>
          <w:color w:val="1e7a4c"/>
          <w:sz w:val="24"/>
          <w:szCs w:val="24"/>
          <w:rtl w:val="0"/>
        </w:rPr>
        <w:t xml:space="preserve">20.4 Energy &amp; Resource Inputs</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400"/>
        <w:gridCol w:w="2560"/>
        <w:gridCol w:w="1280"/>
        <w:gridCol w:w="1280"/>
        <w:gridCol w:w="1120"/>
        <w:tblGridChange w:id="0">
          <w:tblGrid>
            <w:gridCol w:w="960"/>
            <w:gridCol w:w="2400"/>
            <w:gridCol w:w="256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5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E">
            <w:pPr>
              <w:rPr/>
            </w:pPr>
            <w:r>
              <w:rPr>
                <w:sz w:val="19"/>
                <w:szCs w:val="19"/>
                <w:rtl w:val="0"/>
              </w:rPr>
              <w:t xml:space="preserve">ECT</w:t>
            </w:r>
            <w:r>
              <w:rPr>
                <w:rtl w:val="0"/>
              </w:rPr>
            </w:r>
          </w:p>
        </w:tc>
        <w:tc>
          <w:tcPr>
            <w:tcMar>
              <w:top w:w="80.0" w:type="dxa"/>
              <w:left w:w="100.0" w:type="dxa"/>
              <w:bottom w:w="80.0" w:type="dxa"/>
              <w:right w:w="100.0" w:type="dxa"/>
            </w:tcMar>
          </w:tcPr>
          <w:p w:rsidR="00000000" w:rsidDel="00000000" w:rsidP="00000000" w:rsidRDefault="00000000" w:rsidRPr="00000000" w14:paraId="0000105F">
            <w:pPr>
              <w:rPr/>
            </w:pPr>
            <w:r>
              <w:rPr>
                <w:sz w:val="19"/>
                <w:szCs w:val="19"/>
                <w:rtl w:val="0"/>
              </w:rPr>
              <w:t xml:space="preserve">Energy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0">
            <w:pPr>
              <w:rPr/>
            </w:pPr>
            <w:r>
              <w:rPr>
                <w:sz w:val="19"/>
                <w:szCs w:val="19"/>
                <w:rtl w:val="0"/>
              </w:rPr>
              <w:t xml:space="preserve">Total energy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1">
            <w:pPr>
              <w:rPr/>
            </w:pPr>
            <w:r>
              <w:rPr>
                <w:sz w:val="19"/>
                <w:szCs w:val="19"/>
                <w:rtl w:val="0"/>
              </w:rPr>
              <w:t xml:space="preserve">kWh/t</w:t>
            </w:r>
            <w:r>
              <w:rPr>
                <w:rtl w:val="0"/>
              </w:rPr>
            </w:r>
          </w:p>
        </w:tc>
        <w:tc>
          <w:tcPr>
            <w:tcMar>
              <w:top w:w="80.0" w:type="dxa"/>
              <w:left w:w="100.0" w:type="dxa"/>
              <w:bottom w:w="80.0" w:type="dxa"/>
              <w:right w:w="100.0" w:type="dxa"/>
            </w:tcMar>
          </w:tcPr>
          <w:p w:rsidR="00000000" w:rsidDel="00000000" w:rsidP="00000000" w:rsidRDefault="00000000" w:rsidRPr="00000000" w14:paraId="00001062">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4">
            <w:pPr>
              <w:rPr/>
            </w:pPr>
            <w:r>
              <w:rPr>
                <w:sz w:val="19"/>
                <w:szCs w:val="19"/>
                <w:rtl w:val="0"/>
              </w:rPr>
              <w:t xml:space="preserve">ESM</w:t>
            </w:r>
            <w:r>
              <w:rPr>
                <w:rtl w:val="0"/>
              </w:rPr>
            </w:r>
          </w:p>
        </w:tc>
        <w:tc>
          <w:tcPr>
            <w:tcMar>
              <w:top w:w="80.0" w:type="dxa"/>
              <w:left w:w="100.0" w:type="dxa"/>
              <w:bottom w:w="80.0" w:type="dxa"/>
              <w:right w:w="100.0" w:type="dxa"/>
            </w:tcMar>
          </w:tcPr>
          <w:p w:rsidR="00000000" w:rsidDel="00000000" w:rsidP="00000000" w:rsidRDefault="00000000" w:rsidRPr="00000000" w14:paraId="00001065">
            <w:pPr>
              <w:rPr/>
            </w:pPr>
            <w:r>
              <w:rPr>
                <w:sz w:val="19"/>
                <w:szCs w:val="19"/>
                <w:rtl w:val="0"/>
              </w:rPr>
              <w:t xml:space="preserve">Energy Source Mix</w:t>
            </w:r>
            <w:r>
              <w:rPr>
                <w:rtl w:val="0"/>
              </w:rPr>
            </w:r>
          </w:p>
        </w:tc>
        <w:tc>
          <w:tcPr>
            <w:tcMar>
              <w:top w:w="80.0" w:type="dxa"/>
              <w:left w:w="100.0" w:type="dxa"/>
              <w:bottom w:w="80.0" w:type="dxa"/>
              <w:right w:w="100.0" w:type="dxa"/>
            </w:tcMar>
          </w:tcPr>
          <w:p w:rsidR="00000000" w:rsidDel="00000000" w:rsidP="00000000" w:rsidRDefault="00000000" w:rsidRPr="00000000" w14:paraId="00001066">
            <w:pPr>
              <w:rPr/>
            </w:pPr>
            <w:r>
              <w:rPr>
                <w:sz w:val="19"/>
                <w:szCs w:val="19"/>
                <w:rtl w:val="0"/>
              </w:rPr>
              <w:t xml:space="preserve">Breakdown of grid, renewable, and onsite generation</w:t>
            </w:r>
            <w:r>
              <w:rPr>
                <w:rtl w:val="0"/>
              </w:rPr>
            </w:r>
          </w:p>
        </w:tc>
        <w:tc>
          <w:tcPr>
            <w:tcMar>
              <w:top w:w="80.0" w:type="dxa"/>
              <w:left w:w="100.0" w:type="dxa"/>
              <w:bottom w:w="80.0" w:type="dxa"/>
              <w:right w:w="100.0" w:type="dxa"/>
            </w:tcMar>
          </w:tcPr>
          <w:p w:rsidR="00000000" w:rsidDel="00000000" w:rsidP="00000000" w:rsidRDefault="00000000" w:rsidRPr="00000000" w14:paraId="00001067">
            <w:pPr>
              <w:rPr/>
            </w:pPr>
            <w:r>
              <w:rPr>
                <w:sz w:val="19"/>
                <w:szCs w:val="19"/>
                <w:rtl w:val="0"/>
              </w:rPr>
              <w:t xml:space="preserve">% split</w:t>
            </w:r>
            <w:r>
              <w:rPr>
                <w:rtl w:val="0"/>
              </w:rPr>
            </w:r>
          </w:p>
        </w:tc>
        <w:tc>
          <w:tcPr>
            <w:tcMar>
              <w:top w:w="80.0" w:type="dxa"/>
              <w:left w:w="100.0" w:type="dxa"/>
              <w:bottom w:w="80.0" w:type="dxa"/>
              <w:right w:w="100.0" w:type="dxa"/>
            </w:tcMar>
          </w:tcPr>
          <w:p w:rsidR="00000000" w:rsidDel="00000000" w:rsidP="00000000" w:rsidRDefault="00000000" w:rsidRPr="00000000" w14:paraId="00001068">
            <w:pPr>
              <w:rPr/>
            </w:pPr>
            <w:r>
              <w:rPr>
                <w:sz w:val="19"/>
                <w:szCs w:val="19"/>
                <w:rtl w:val="0"/>
              </w:rPr>
              <w:t xml:space="preserve">Daily/monthly</w:t>
            </w:r>
            <w:r>
              <w:rPr>
                <w:rtl w:val="0"/>
              </w:rPr>
            </w:r>
          </w:p>
        </w:tc>
        <w:tc>
          <w:tcPr>
            <w:tcMar>
              <w:top w:w="80.0" w:type="dxa"/>
              <w:left w:w="100.0" w:type="dxa"/>
              <w:bottom w:w="80.0" w:type="dxa"/>
              <w:right w:w="100.0" w:type="dxa"/>
            </w:tcMar>
          </w:tcPr>
          <w:p w:rsidR="00000000" w:rsidDel="00000000" w:rsidP="00000000" w:rsidRDefault="00000000" w:rsidRPr="00000000" w14:paraId="00001069">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A">
            <w:pPr>
              <w:rPr/>
            </w:pPr>
            <w:r>
              <w:rPr>
                <w:sz w:val="19"/>
                <w:szCs w:val="19"/>
                <w:rtl w:val="0"/>
              </w:rPr>
              <w:t xml:space="preserve">WCT</w:t>
            </w:r>
            <w:r>
              <w:rPr>
                <w:rtl w:val="0"/>
              </w:rPr>
            </w:r>
          </w:p>
        </w:tc>
        <w:tc>
          <w:tcPr>
            <w:tcMar>
              <w:top w:w="80.0" w:type="dxa"/>
              <w:left w:w="100.0" w:type="dxa"/>
              <w:bottom w:w="80.0" w:type="dxa"/>
              <w:right w:w="100.0" w:type="dxa"/>
            </w:tcMar>
          </w:tcPr>
          <w:p w:rsidR="00000000" w:rsidDel="00000000" w:rsidP="00000000" w:rsidRDefault="00000000" w:rsidRPr="00000000" w14:paraId="0000106B">
            <w:pPr>
              <w:rPr/>
            </w:pPr>
            <w:r>
              <w:rPr>
                <w:sz w:val="19"/>
                <w:szCs w:val="19"/>
                <w:rtl w:val="0"/>
              </w:rPr>
              <w:t xml:space="preserve">Water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C">
            <w:pPr>
              <w:rPr/>
            </w:pPr>
            <w:r>
              <w:rPr>
                <w:sz w:val="19"/>
                <w:szCs w:val="19"/>
                <w:rtl w:val="0"/>
              </w:rPr>
              <w:t xml:space="preserve">Water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D">
            <w:pPr>
              <w:rPr/>
            </w:pPr>
            <w:r>
              <w:rPr>
                <w:sz w:val="19"/>
                <w:szCs w:val="19"/>
                <w:rtl w:val="0"/>
              </w:rPr>
              <w:t xml:space="preserve">L/t or gal/t</w:t>
            </w:r>
            <w:r>
              <w:rPr>
                <w:rtl w:val="0"/>
              </w:rPr>
            </w:r>
          </w:p>
        </w:tc>
        <w:tc>
          <w:tcPr>
            <w:tcMar>
              <w:top w:w="80.0" w:type="dxa"/>
              <w:left w:w="100.0" w:type="dxa"/>
              <w:bottom w:w="80.0" w:type="dxa"/>
              <w:right w:w="100.0" w:type="dxa"/>
            </w:tcMar>
          </w:tcPr>
          <w:p w:rsidR="00000000" w:rsidDel="00000000" w:rsidP="00000000" w:rsidRDefault="00000000" w:rsidRPr="00000000" w14:paraId="0000106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0">
            <w:pPr>
              <w:rPr/>
            </w:pPr>
            <w:r>
              <w:rPr>
                <w:sz w:val="19"/>
                <w:szCs w:val="19"/>
                <w:rtl w:val="0"/>
              </w:rPr>
              <w:t xml:space="preserve">SCR</w:t>
            </w:r>
            <w:r>
              <w:rPr>
                <w:rtl w:val="0"/>
              </w:rPr>
            </w:r>
          </w:p>
        </w:tc>
        <w:tc>
          <w:tcPr>
            <w:tcMar>
              <w:top w:w="80.0" w:type="dxa"/>
              <w:left w:w="100.0" w:type="dxa"/>
              <w:bottom w:w="80.0" w:type="dxa"/>
              <w:right w:w="100.0" w:type="dxa"/>
            </w:tcMar>
          </w:tcPr>
          <w:p w:rsidR="00000000" w:rsidDel="00000000" w:rsidP="00000000" w:rsidRDefault="00000000" w:rsidRPr="00000000" w14:paraId="00001071">
            <w:pPr>
              <w:rPr/>
            </w:pPr>
            <w:r>
              <w:rPr>
                <w:sz w:val="19"/>
                <w:szCs w:val="19"/>
                <w:rtl w:val="0"/>
              </w:rPr>
              <w:t xml:space="preserve">Sorbent/Solvent Consumption Rate</w:t>
            </w:r>
            <w:r>
              <w:rPr>
                <w:rtl w:val="0"/>
              </w:rPr>
            </w:r>
          </w:p>
        </w:tc>
        <w:tc>
          <w:tcPr>
            <w:tcMar>
              <w:top w:w="80.0" w:type="dxa"/>
              <w:left w:w="100.0" w:type="dxa"/>
              <w:bottom w:w="80.0" w:type="dxa"/>
              <w:right w:w="100.0" w:type="dxa"/>
            </w:tcMar>
          </w:tcPr>
          <w:p w:rsidR="00000000" w:rsidDel="00000000" w:rsidP="00000000" w:rsidRDefault="00000000" w:rsidRPr="00000000" w14:paraId="00001072">
            <w:pPr>
              <w:rPr/>
            </w:pPr>
            <w:r>
              <w:rPr>
                <w:sz w:val="19"/>
                <w:szCs w:val="19"/>
                <w:rtl w:val="0"/>
              </w:rPr>
              <w:t xml:space="preserve">Chemical media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73">
            <w:pPr>
              <w:rPr/>
            </w:pPr>
            <w:r>
              <w:rPr>
                <w:sz w:val="19"/>
                <w:szCs w:val="19"/>
                <w:rtl w:val="0"/>
              </w:rPr>
              <w:t xml:space="preserve">kg/t</w:t>
            </w:r>
            <w:r>
              <w:rPr>
                <w:rtl w:val="0"/>
              </w:rPr>
            </w:r>
          </w:p>
        </w:tc>
        <w:tc>
          <w:tcPr>
            <w:tcMar>
              <w:top w:w="80.0" w:type="dxa"/>
              <w:left w:w="100.0" w:type="dxa"/>
              <w:bottom w:w="80.0" w:type="dxa"/>
              <w:right w:w="100.0" w:type="dxa"/>
            </w:tcMar>
          </w:tcPr>
          <w:p w:rsidR="00000000" w:rsidDel="00000000" w:rsidP="00000000" w:rsidRDefault="00000000" w:rsidRPr="00000000" w14:paraId="0000107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75">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6">
            <w:pPr>
              <w:rPr/>
            </w:pPr>
            <w:r>
              <w:rPr>
                <w:sz w:val="19"/>
                <w:szCs w:val="19"/>
                <w:rtl w:val="0"/>
              </w:rPr>
              <w:t xml:space="preserve">RCC</w:t>
            </w:r>
            <w:r>
              <w:rPr>
                <w:rtl w:val="0"/>
              </w:rPr>
            </w:r>
          </w:p>
        </w:tc>
        <w:tc>
          <w:tcPr>
            <w:tcMar>
              <w:top w:w="80.0" w:type="dxa"/>
              <w:left w:w="100.0" w:type="dxa"/>
              <w:bottom w:w="80.0" w:type="dxa"/>
              <w:right w:w="100.0" w:type="dxa"/>
            </w:tcMar>
          </w:tcPr>
          <w:p w:rsidR="00000000" w:rsidDel="00000000" w:rsidP="00000000" w:rsidRDefault="00000000" w:rsidRPr="00000000" w14:paraId="00001077">
            <w:pPr>
              <w:rPr/>
            </w:pPr>
            <w:r>
              <w:rPr>
                <w:sz w:val="19"/>
                <w:szCs w:val="19"/>
                <w:rtl w:val="0"/>
              </w:rPr>
              <w:t xml:space="preserve">Regeneration Cycle Count</w:t>
            </w:r>
            <w:r>
              <w:rPr>
                <w:rtl w:val="0"/>
              </w:rPr>
            </w:r>
          </w:p>
        </w:tc>
        <w:tc>
          <w:tcPr>
            <w:tcMar>
              <w:top w:w="80.0" w:type="dxa"/>
              <w:left w:w="100.0" w:type="dxa"/>
              <w:bottom w:w="80.0" w:type="dxa"/>
              <w:right w:w="100.0" w:type="dxa"/>
            </w:tcMar>
          </w:tcPr>
          <w:p w:rsidR="00000000" w:rsidDel="00000000" w:rsidP="00000000" w:rsidRDefault="00000000" w:rsidRPr="00000000" w14:paraId="00001078">
            <w:pPr>
              <w:rPr/>
            </w:pPr>
            <w:r>
              <w:rPr>
                <w:sz w:val="19"/>
                <w:szCs w:val="19"/>
                <w:rtl w:val="0"/>
              </w:rPr>
              <w:t xml:space="preserve">Number of sorbent/solvent regeneration cycles</w:t>
            </w:r>
            <w:r>
              <w:rPr>
                <w:rtl w:val="0"/>
              </w:rPr>
            </w:r>
          </w:p>
        </w:tc>
        <w:tc>
          <w:tcPr>
            <w:tcMar>
              <w:top w:w="80.0" w:type="dxa"/>
              <w:left w:w="100.0" w:type="dxa"/>
              <w:bottom w:w="80.0" w:type="dxa"/>
              <w:right w:w="100.0" w:type="dxa"/>
            </w:tcMar>
          </w:tcPr>
          <w:p w:rsidR="00000000" w:rsidDel="00000000" w:rsidP="00000000" w:rsidRDefault="00000000" w:rsidRPr="00000000" w14:paraId="00001079">
            <w:pPr>
              <w:rPr/>
            </w:pPr>
            <w:r>
              <w:rPr>
                <w:sz w:val="19"/>
                <w:szCs w:val="19"/>
                <w:rtl w:val="0"/>
              </w:rPr>
              <w:t xml:space="preserve">count</w:t>
            </w:r>
            <w:r>
              <w:rPr>
                <w:rtl w:val="0"/>
              </w:rPr>
            </w:r>
          </w:p>
        </w:tc>
        <w:tc>
          <w:tcPr>
            <w:tcMar>
              <w:top w:w="80.0" w:type="dxa"/>
              <w:left w:w="100.0" w:type="dxa"/>
              <w:bottom w:w="80.0" w:type="dxa"/>
              <w:right w:w="100.0" w:type="dxa"/>
            </w:tcMar>
          </w:tcPr>
          <w:p w:rsidR="00000000" w:rsidDel="00000000" w:rsidP="00000000" w:rsidRDefault="00000000" w:rsidRPr="00000000" w14:paraId="0000107A">
            <w:pPr>
              <w:rPr/>
            </w:pPr>
            <w:r>
              <w:rPr>
                <w:sz w:val="19"/>
                <w:szCs w:val="19"/>
                <w:rtl w:val="0"/>
              </w:rPr>
              <w:t xml:space="preserve">Per cycle</w:t>
            </w:r>
            <w:r>
              <w:rPr>
                <w:rtl w:val="0"/>
              </w:rPr>
            </w:r>
          </w:p>
        </w:tc>
        <w:tc>
          <w:tcPr>
            <w:tcMar>
              <w:top w:w="80.0" w:type="dxa"/>
              <w:left w:w="100.0" w:type="dxa"/>
              <w:bottom w:w="80.0" w:type="dxa"/>
              <w:right w:w="100.0" w:type="dxa"/>
            </w:tcMar>
          </w:tcPr>
          <w:p w:rsidR="00000000" w:rsidDel="00000000" w:rsidP="00000000" w:rsidRDefault="00000000" w:rsidRPr="00000000" w14:paraId="0000107B">
            <w:pPr>
              <w:rPr/>
            </w:pPr>
            <w:r>
              <w:rPr>
                <w:sz w:val="19"/>
                <w:szCs w:val="19"/>
                <w:rtl w:val="0"/>
              </w:rPr>
              <w:t xml:space="preserve">DAC, PSC</w:t>
            </w:r>
            <w:r>
              <w:rPr>
                <w:rtl w:val="0"/>
              </w:rPr>
            </w:r>
          </w:p>
        </w:tc>
      </w:tr>
    </w:tbl>
    <w:p w:rsidR="00000000" w:rsidDel="00000000" w:rsidP="00000000" w:rsidRDefault="00000000" w:rsidRPr="00000000" w14:paraId="0000107C">
      <w:pPr>
        <w:spacing w:after="140" w:lineRule="auto"/>
        <w:rPr/>
      </w:pPr>
      <w:r>
        <w:rPr>
          <w:rtl w:val="0"/>
        </w:rPr>
      </w:r>
    </w:p>
    <w:p w:rsidR="00000000" w:rsidDel="00000000" w:rsidP="00000000" w:rsidRDefault="00000000" w:rsidRPr="00000000" w14:paraId="0000107D">
      <w:pPr>
        <w:pStyle w:val="Heading2"/>
        <w:spacing w:after="120" w:before="280" w:lineRule="auto"/>
        <w:rPr/>
      </w:pPr>
      <w:r>
        <w:rPr>
          <w:b w:val="1"/>
          <w:bCs w:val="1"/>
          <w:color w:val="1e7a4c"/>
          <w:sz w:val="24"/>
          <w:szCs w:val="24"/>
          <w:rtl w:val="0"/>
        </w:rPr>
        <w:t xml:space="preserve">20.5 Verification &amp; Provenance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2600"/>
        <w:gridCol w:w="1400"/>
        <w:gridCol w:w="1600"/>
        <w:gridCol w:w="1100"/>
        <w:tblGridChange w:id="0">
          <w:tblGrid>
            <w:gridCol w:w="900"/>
            <w:gridCol w:w="2000"/>
            <w:gridCol w:w="2600"/>
            <w:gridCol w:w="1400"/>
            <w:gridCol w:w="1600"/>
            <w:gridCol w:w="11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7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7F">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0">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1">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2">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3">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4">
            <w:pPr>
              <w:rPr/>
            </w:pPr>
            <w:r>
              <w:rPr>
                <w:sz w:val="19"/>
                <w:szCs w:val="19"/>
                <w:rtl w:val="0"/>
              </w:rPr>
              <w:t xml:space="preserve">SCT</w:t>
            </w:r>
            <w:r>
              <w:rPr>
                <w:rtl w:val="0"/>
              </w:rPr>
            </w:r>
          </w:p>
        </w:tc>
        <w:tc>
          <w:tcPr>
            <w:tcMar>
              <w:top w:w="80.0" w:type="dxa"/>
              <w:left w:w="100.0" w:type="dxa"/>
              <w:bottom w:w="80.0" w:type="dxa"/>
              <w:right w:w="100.0" w:type="dxa"/>
            </w:tcMar>
          </w:tcPr>
          <w:p w:rsidR="00000000" w:rsidDel="00000000" w:rsidP="00000000" w:rsidRDefault="00000000" w:rsidRPr="00000000" w14:paraId="00001085">
            <w:pPr>
              <w:rPr/>
            </w:pPr>
            <w:r>
              <w:rPr>
                <w:sz w:val="19"/>
                <w:szCs w:val="19"/>
                <w:rtl w:val="0"/>
              </w:rPr>
              <w:t xml:space="preserve">Sensor Calibration Timestamp</w:t>
            </w:r>
            <w:r>
              <w:rPr>
                <w:rtl w:val="0"/>
              </w:rPr>
            </w:r>
          </w:p>
        </w:tc>
        <w:tc>
          <w:tcPr>
            <w:tcMar>
              <w:top w:w="80.0" w:type="dxa"/>
              <w:left w:w="100.0" w:type="dxa"/>
              <w:bottom w:w="80.0" w:type="dxa"/>
              <w:right w:w="100.0" w:type="dxa"/>
            </w:tcMar>
          </w:tcPr>
          <w:p w:rsidR="00000000" w:rsidDel="00000000" w:rsidP="00000000" w:rsidRDefault="00000000" w:rsidRPr="00000000" w14:paraId="00001086">
            <w:pPr>
              <w:rPr/>
            </w:pPr>
            <w:r>
              <w:rPr>
                <w:sz w:val="19"/>
                <w:szCs w:val="19"/>
                <w:rtl w:val="0"/>
              </w:rPr>
              <w:t xml:space="preserve">Last calibration date and certification status of metering hardware</w:t>
            </w:r>
            <w:r>
              <w:rPr>
                <w:rtl w:val="0"/>
              </w:rPr>
            </w:r>
          </w:p>
        </w:tc>
        <w:tc>
          <w:tcPr>
            <w:tcMar>
              <w:top w:w="80.0" w:type="dxa"/>
              <w:left w:w="100.0" w:type="dxa"/>
              <w:bottom w:w="80.0" w:type="dxa"/>
              <w:right w:w="100.0" w:type="dxa"/>
            </w:tcMar>
          </w:tcPr>
          <w:p w:rsidR="00000000" w:rsidDel="00000000" w:rsidP="00000000" w:rsidRDefault="00000000" w:rsidRPr="00000000" w14:paraId="00001087">
            <w:pPr>
              <w:rPr/>
            </w:pPr>
            <w:r>
              <w:rPr>
                <w:sz w:val="19"/>
                <w:szCs w:val="19"/>
                <w:rtl w:val="0"/>
              </w:rPr>
              <w:t xml:space="preserve">datetime + status</w:t>
            </w:r>
            <w:r>
              <w:rPr>
                <w:rtl w:val="0"/>
              </w:rPr>
            </w:r>
          </w:p>
        </w:tc>
        <w:tc>
          <w:tcPr>
            <w:tcMar>
              <w:top w:w="80.0" w:type="dxa"/>
              <w:left w:w="100.0" w:type="dxa"/>
              <w:bottom w:w="80.0" w:type="dxa"/>
              <w:right w:w="100.0" w:type="dxa"/>
            </w:tcMar>
          </w:tcPr>
          <w:p w:rsidR="00000000" w:rsidDel="00000000" w:rsidP="00000000" w:rsidRDefault="00000000" w:rsidRPr="00000000" w14:paraId="00001088">
            <w:pPr>
              <w:rPr/>
            </w:pPr>
            <w:r>
              <w:rPr>
                <w:sz w:val="19"/>
                <w:szCs w:val="19"/>
                <w:rtl w:val="0"/>
              </w:rPr>
              <w:t xml:space="preserve">Per calibration event</w:t>
            </w:r>
            <w:r>
              <w:rPr>
                <w:rtl w:val="0"/>
              </w:rPr>
            </w:r>
          </w:p>
        </w:tc>
        <w:tc>
          <w:tcPr>
            <w:tcMar>
              <w:top w:w="80.0" w:type="dxa"/>
              <w:left w:w="100.0" w:type="dxa"/>
              <w:bottom w:w="80.0" w:type="dxa"/>
              <w:right w:w="100.0" w:type="dxa"/>
            </w:tcMar>
          </w:tcPr>
          <w:p w:rsidR="00000000" w:rsidDel="00000000" w:rsidP="00000000" w:rsidRDefault="00000000" w:rsidRPr="00000000" w14:paraId="0000108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A">
            <w:pPr>
              <w:rPr/>
            </w:pPr>
            <w:r>
              <w:rPr>
                <w:sz w:val="19"/>
                <w:szCs w:val="19"/>
                <w:rtl w:val="0"/>
              </w:rPr>
              <w:t xml:space="preserve">DST</w:t>
            </w:r>
            <w:r>
              <w:rPr>
                <w:rtl w:val="0"/>
              </w:rPr>
            </w:r>
          </w:p>
        </w:tc>
        <w:tc>
          <w:tcPr>
            <w:tcMar>
              <w:top w:w="80.0" w:type="dxa"/>
              <w:left w:w="100.0" w:type="dxa"/>
              <w:bottom w:w="80.0" w:type="dxa"/>
              <w:right w:w="100.0" w:type="dxa"/>
            </w:tcMar>
          </w:tcPr>
          <w:p w:rsidR="00000000" w:rsidDel="00000000" w:rsidP="00000000" w:rsidRDefault="00000000" w:rsidRPr="00000000" w14:paraId="0000108B">
            <w:pPr>
              <w:rPr/>
            </w:pPr>
            <w:r>
              <w:rPr>
                <w:sz w:val="19"/>
                <w:szCs w:val="19"/>
                <w:rtl w:val="0"/>
              </w:rPr>
              <w:t xml:space="preserve">Data Source Type</w:t>
            </w:r>
            <w:r>
              <w:rPr>
                <w:rtl w:val="0"/>
              </w:rPr>
            </w:r>
          </w:p>
        </w:tc>
        <w:tc>
          <w:tcPr>
            <w:tcMar>
              <w:top w:w="80.0" w:type="dxa"/>
              <w:left w:w="100.0" w:type="dxa"/>
              <w:bottom w:w="80.0" w:type="dxa"/>
              <w:right w:w="100.0" w:type="dxa"/>
            </w:tcMar>
          </w:tcPr>
          <w:p w:rsidR="00000000" w:rsidDel="00000000" w:rsidP="00000000" w:rsidRDefault="00000000" w:rsidRPr="00000000" w14:paraId="0000108C">
            <w:pPr>
              <w:rPr/>
            </w:pPr>
            <w:r>
              <w:rPr>
                <w:sz w:val="19"/>
                <w:szCs w:val="19"/>
                <w:rtl w:val="0"/>
              </w:rPr>
              <w:t xml:space="preserve">Direct-metered vs. estimated/modeled</w:t>
            </w:r>
            <w:r>
              <w:rPr>
                <w:rtl w:val="0"/>
              </w:rPr>
            </w:r>
          </w:p>
        </w:tc>
        <w:tc>
          <w:tcPr>
            <w:tcMar>
              <w:top w:w="80.0" w:type="dxa"/>
              <w:left w:w="100.0" w:type="dxa"/>
              <w:bottom w:w="80.0" w:type="dxa"/>
              <w:right w:w="100.0" w:type="dxa"/>
            </w:tcMar>
          </w:tcPr>
          <w:p w:rsidR="00000000" w:rsidDel="00000000" w:rsidP="00000000" w:rsidRDefault="00000000" w:rsidRPr="00000000" w14:paraId="0000108D">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8E">
            <w:pPr>
              <w:rPr/>
            </w:pPr>
            <w:r>
              <w:rPr>
                <w:sz w:val="19"/>
                <w:szCs w:val="19"/>
                <w:rtl w:val="0"/>
              </w:rPr>
              <w:t xml:space="preserve">Per record</w:t>
            </w:r>
            <w:r>
              <w:rPr>
                <w:rtl w:val="0"/>
              </w:rPr>
            </w:r>
          </w:p>
        </w:tc>
        <w:tc>
          <w:tcPr>
            <w:tcMar>
              <w:top w:w="80.0" w:type="dxa"/>
              <w:left w:w="100.0" w:type="dxa"/>
              <w:bottom w:w="80.0" w:type="dxa"/>
              <w:right w:w="100.0" w:type="dxa"/>
            </w:tcMar>
          </w:tcPr>
          <w:p w:rsidR="00000000" w:rsidDel="00000000" w:rsidP="00000000" w:rsidRDefault="00000000" w:rsidRPr="00000000" w14:paraId="0000108F">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0">
            <w:pPr>
              <w:rPr/>
            </w:pPr>
            <w:r>
              <w:rPr>
                <w:sz w:val="19"/>
                <w:szCs w:val="19"/>
                <w:rtl w:val="0"/>
              </w:rPr>
              <w:t xml:space="preserve">MSR</w:t>
            </w:r>
            <w:r>
              <w:rPr>
                <w:rtl w:val="0"/>
              </w:rPr>
            </w:r>
          </w:p>
        </w:tc>
        <w:tc>
          <w:tcPr>
            <w:tcMar>
              <w:top w:w="80.0" w:type="dxa"/>
              <w:left w:w="100.0" w:type="dxa"/>
              <w:bottom w:w="80.0" w:type="dxa"/>
              <w:right w:w="100.0" w:type="dxa"/>
            </w:tcMar>
          </w:tcPr>
          <w:p w:rsidR="00000000" w:rsidDel="00000000" w:rsidP="00000000" w:rsidRDefault="00000000" w:rsidRPr="00000000" w14:paraId="00001091">
            <w:pPr>
              <w:rPr/>
            </w:pPr>
            <w:r>
              <w:rPr>
                <w:sz w:val="19"/>
                <w:szCs w:val="19"/>
                <w:rtl w:val="0"/>
              </w:rPr>
              <w:t xml:space="preserve">MRV Standard Reference</w:t>
            </w:r>
            <w:r>
              <w:rPr>
                <w:rtl w:val="0"/>
              </w:rPr>
            </w:r>
          </w:p>
        </w:tc>
        <w:tc>
          <w:tcPr>
            <w:tcMar>
              <w:top w:w="80.0" w:type="dxa"/>
              <w:left w:w="100.0" w:type="dxa"/>
              <w:bottom w:w="80.0" w:type="dxa"/>
              <w:right w:w="100.0" w:type="dxa"/>
            </w:tcMar>
          </w:tcPr>
          <w:p w:rsidR="00000000" w:rsidDel="00000000" w:rsidP="00000000" w:rsidRDefault="00000000" w:rsidRPr="00000000" w14:paraId="00001092">
            <w:pPr>
              <w:rPr/>
            </w:pPr>
            <w:r>
              <w:rPr>
                <w:sz w:val="19"/>
                <w:szCs w:val="19"/>
                <w:rtl w:val="0"/>
              </w:rPr>
              <w:t xml:space="preserve">Applicable third-party standard (Puro.earth, Verra, Isometric, etc.)</w:t>
            </w:r>
            <w:r>
              <w:rPr>
                <w:rtl w:val="0"/>
              </w:rPr>
            </w:r>
          </w:p>
        </w:tc>
        <w:tc>
          <w:tcPr>
            <w:tcMar>
              <w:top w:w="80.0" w:type="dxa"/>
              <w:left w:w="100.0" w:type="dxa"/>
              <w:bottom w:w="80.0" w:type="dxa"/>
              <w:right w:w="100.0" w:type="dxa"/>
            </w:tcMar>
          </w:tcPr>
          <w:p w:rsidR="00000000" w:rsidDel="00000000" w:rsidP="00000000" w:rsidRDefault="00000000" w:rsidRPr="00000000" w14:paraId="00001093">
            <w:pPr>
              <w:rPr/>
            </w:pPr>
            <w:r>
              <w:rPr>
                <w:sz w:val="19"/>
                <w:szCs w:val="19"/>
                <w:rtl w:val="0"/>
              </w:rPr>
              <w:t xml:space="preserve">text/enum</w:t>
            </w:r>
            <w:r>
              <w:rPr>
                <w:rtl w:val="0"/>
              </w:rPr>
            </w:r>
          </w:p>
        </w:tc>
        <w:tc>
          <w:tcPr>
            <w:tcMar>
              <w:top w:w="80.0" w:type="dxa"/>
              <w:left w:w="100.0" w:type="dxa"/>
              <w:bottom w:w="80.0" w:type="dxa"/>
              <w:right w:w="100.0" w:type="dxa"/>
            </w:tcMar>
          </w:tcPr>
          <w:p w:rsidR="00000000" w:rsidDel="00000000" w:rsidP="00000000" w:rsidRDefault="00000000" w:rsidRPr="00000000" w14:paraId="00001094">
            <w:pPr>
              <w:rPr/>
            </w:pPr>
            <w:r>
              <w:rPr>
                <w:sz w:val="19"/>
                <w:szCs w:val="19"/>
                <w:rtl w:val="0"/>
              </w:rPr>
              <w:t xml:space="preserve">Per project</w:t>
            </w:r>
            <w:r>
              <w:rPr>
                <w:rtl w:val="0"/>
              </w:rPr>
            </w:r>
          </w:p>
        </w:tc>
        <w:tc>
          <w:tcPr>
            <w:tcMar>
              <w:top w:w="80.0" w:type="dxa"/>
              <w:left w:w="100.0" w:type="dxa"/>
              <w:bottom w:w="80.0" w:type="dxa"/>
              <w:right w:w="100.0" w:type="dxa"/>
            </w:tcMar>
          </w:tcPr>
          <w:p w:rsidR="00000000" w:rsidDel="00000000" w:rsidP="00000000" w:rsidRDefault="00000000" w:rsidRPr="00000000" w14:paraId="00001095">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6">
            <w:pPr>
              <w:rPr/>
            </w:pPr>
            <w:r>
              <w:rPr>
                <w:sz w:val="19"/>
                <w:szCs w:val="19"/>
                <w:rtl w:val="0"/>
              </w:rPr>
              <w:t xml:space="preserve">FPI</w:t>
            </w:r>
            <w:r>
              <w:rPr>
                <w:rtl w:val="0"/>
              </w:rPr>
            </w:r>
          </w:p>
        </w:tc>
        <w:tc>
          <w:tcPr>
            <w:tcMar>
              <w:top w:w="80.0" w:type="dxa"/>
              <w:left w:w="100.0" w:type="dxa"/>
              <w:bottom w:w="80.0" w:type="dxa"/>
              <w:right w:w="100.0" w:type="dxa"/>
            </w:tcMar>
          </w:tcPr>
          <w:p w:rsidR="00000000" w:rsidDel="00000000" w:rsidP="00000000" w:rsidRDefault="00000000" w:rsidRPr="00000000" w14:paraId="00001097">
            <w:pPr>
              <w:rPr/>
            </w:pPr>
            <w:r>
              <w:rPr>
                <w:sz w:val="19"/>
                <w:szCs w:val="19"/>
                <w:rtl w:val="0"/>
              </w:rPr>
              <w:t xml:space="preserve">Facility/Project ID</w:t>
            </w:r>
            <w:r>
              <w:rPr>
                <w:rtl w:val="0"/>
              </w:rPr>
            </w:r>
          </w:p>
        </w:tc>
        <w:tc>
          <w:tcPr>
            <w:tcMar>
              <w:top w:w="80.0" w:type="dxa"/>
              <w:left w:w="100.0" w:type="dxa"/>
              <w:bottom w:w="80.0" w:type="dxa"/>
              <w:right w:w="100.0" w:type="dxa"/>
            </w:tcMar>
          </w:tcPr>
          <w:p w:rsidR="00000000" w:rsidDel="00000000" w:rsidP="00000000" w:rsidRDefault="00000000" w:rsidRPr="00000000" w14:paraId="00001098">
            <w:pPr>
              <w:rPr/>
            </w:pPr>
            <w:r>
              <w:rPr>
                <w:sz w:val="19"/>
                <w:szCs w:val="19"/>
                <w:rtl w:val="0"/>
              </w:rPr>
              <w:t xml:space="preserve">Unique identifier for the capture facility or project</w:t>
            </w:r>
            <w:r>
              <w:rPr>
                <w:rtl w:val="0"/>
              </w:rPr>
            </w:r>
          </w:p>
        </w:tc>
        <w:tc>
          <w:tcPr>
            <w:tcMar>
              <w:top w:w="80.0" w:type="dxa"/>
              <w:left w:w="100.0" w:type="dxa"/>
              <w:bottom w:w="80.0" w:type="dxa"/>
              <w:right w:w="100.0" w:type="dxa"/>
            </w:tcMar>
          </w:tcPr>
          <w:p w:rsidR="00000000" w:rsidDel="00000000" w:rsidP="00000000" w:rsidRDefault="00000000" w:rsidRPr="00000000" w14:paraId="00001099">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9A">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9B">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C">
            <w:pPr>
              <w:rPr/>
            </w:pPr>
            <w:r>
              <w:rPr>
                <w:sz w:val="19"/>
                <w:szCs w:val="19"/>
                <w:rtl w:val="0"/>
              </w:rPr>
              <w:t xml:space="preserve">GLC</w:t>
            </w:r>
            <w:r>
              <w:rPr>
                <w:rtl w:val="0"/>
              </w:rPr>
            </w:r>
          </w:p>
        </w:tc>
        <w:tc>
          <w:tcPr>
            <w:tcMar>
              <w:top w:w="80.0" w:type="dxa"/>
              <w:left w:w="100.0" w:type="dxa"/>
              <w:bottom w:w="80.0" w:type="dxa"/>
              <w:right w:w="100.0" w:type="dxa"/>
            </w:tcMar>
          </w:tcPr>
          <w:p w:rsidR="00000000" w:rsidDel="00000000" w:rsidP="00000000" w:rsidRDefault="00000000" w:rsidRPr="00000000" w14:paraId="0000109D">
            <w:pPr>
              <w:rPr/>
            </w:pPr>
            <w:r>
              <w:rPr>
                <w:sz w:val="19"/>
                <w:szCs w:val="19"/>
                <w:rtl w:val="0"/>
              </w:rPr>
              <w:t xml:space="preserve">Geolocation Coordinate</w:t>
            </w:r>
            <w:r>
              <w:rPr>
                <w:rtl w:val="0"/>
              </w:rPr>
            </w:r>
          </w:p>
        </w:tc>
        <w:tc>
          <w:tcPr>
            <w:tcMar>
              <w:top w:w="80.0" w:type="dxa"/>
              <w:left w:w="100.0" w:type="dxa"/>
              <w:bottom w:w="80.0" w:type="dxa"/>
              <w:right w:w="100.0" w:type="dxa"/>
            </w:tcMar>
          </w:tcPr>
          <w:p w:rsidR="00000000" w:rsidDel="00000000" w:rsidP="00000000" w:rsidRDefault="00000000" w:rsidRPr="00000000" w14:paraId="0000109E">
            <w:pPr>
              <w:rPr/>
            </w:pPr>
            <w:r>
              <w:rPr>
                <w:sz w:val="19"/>
                <w:szCs w:val="19"/>
                <w:rtl w:val="0"/>
              </w:rPr>
              <w:t xml:space="preserve">Latitude/longitude of facility</w:t>
            </w:r>
            <w:r>
              <w:rPr>
                <w:rtl w:val="0"/>
              </w:rPr>
            </w:r>
          </w:p>
        </w:tc>
        <w:tc>
          <w:tcPr>
            <w:tcMar>
              <w:top w:w="80.0" w:type="dxa"/>
              <w:left w:w="100.0" w:type="dxa"/>
              <w:bottom w:w="80.0" w:type="dxa"/>
              <w:right w:w="100.0" w:type="dxa"/>
            </w:tcMar>
          </w:tcPr>
          <w:p w:rsidR="00000000" w:rsidDel="00000000" w:rsidP="00000000" w:rsidRDefault="00000000" w:rsidRPr="00000000" w14:paraId="0000109F">
            <w:pPr>
              <w:rPr/>
            </w:pPr>
            <w:r>
              <w:rPr>
                <w:sz w:val="19"/>
                <w:szCs w:val="19"/>
                <w:rtl w:val="0"/>
              </w:rPr>
              <w:t xml:space="preserve">decimal degrees</w:t>
            </w:r>
            <w:r>
              <w:rPr>
                <w:rtl w:val="0"/>
              </w:rPr>
            </w:r>
          </w:p>
        </w:tc>
        <w:tc>
          <w:tcPr>
            <w:tcMar>
              <w:top w:w="80.0" w:type="dxa"/>
              <w:left w:w="100.0" w:type="dxa"/>
              <w:bottom w:w="80.0" w:type="dxa"/>
              <w:right w:w="100.0" w:type="dxa"/>
            </w:tcMar>
          </w:tcPr>
          <w:p w:rsidR="00000000" w:rsidDel="00000000" w:rsidP="00000000" w:rsidRDefault="00000000" w:rsidRPr="00000000" w14:paraId="000010A0">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1">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A2">
            <w:pPr>
              <w:rPr/>
            </w:pPr>
            <w:r>
              <w:rPr>
                <w:sz w:val="19"/>
                <w:szCs w:val="19"/>
                <w:rtl w:val="0"/>
              </w:rPr>
              <w:t xml:space="preserve">RFI</w:t>
            </w:r>
            <w:r>
              <w:rPr>
                <w:rtl w:val="0"/>
              </w:rPr>
            </w:r>
          </w:p>
        </w:tc>
        <w:tc>
          <w:tcPr>
            <w:tcMar>
              <w:top w:w="80.0" w:type="dxa"/>
              <w:left w:w="100.0" w:type="dxa"/>
              <w:bottom w:w="80.0" w:type="dxa"/>
              <w:right w:w="100.0" w:type="dxa"/>
            </w:tcMar>
          </w:tcPr>
          <w:p w:rsidR="00000000" w:rsidDel="00000000" w:rsidP="00000000" w:rsidRDefault="00000000" w:rsidRPr="00000000" w14:paraId="000010A3">
            <w:pPr>
              <w:rPr/>
            </w:pPr>
            <w:r>
              <w:rPr>
                <w:sz w:val="19"/>
                <w:szCs w:val="19"/>
                <w:rtl w:val="0"/>
              </w:rPr>
              <w:t xml:space="preserve">Reporting Frequency Interval</w:t>
            </w:r>
            <w:r>
              <w:rPr>
                <w:rtl w:val="0"/>
              </w:rPr>
            </w:r>
          </w:p>
        </w:tc>
        <w:tc>
          <w:tcPr>
            <w:tcMar>
              <w:top w:w="80.0" w:type="dxa"/>
              <w:left w:w="100.0" w:type="dxa"/>
              <w:bottom w:w="80.0" w:type="dxa"/>
              <w:right w:w="100.0" w:type="dxa"/>
            </w:tcMar>
          </w:tcPr>
          <w:p w:rsidR="00000000" w:rsidDel="00000000" w:rsidP="00000000" w:rsidRDefault="00000000" w:rsidRPr="00000000" w14:paraId="000010A4">
            <w:pPr>
              <w:rPr/>
            </w:pPr>
            <w:r>
              <w:rPr>
                <w:sz w:val="19"/>
                <w:szCs w:val="19"/>
                <w:rtl w:val="0"/>
              </w:rPr>
              <w:t xml:space="preserve">Cadence at which this Provider reports</w:t>
            </w:r>
            <w:r>
              <w:rPr>
                <w:rtl w:val="0"/>
              </w:rPr>
            </w:r>
          </w:p>
        </w:tc>
        <w:tc>
          <w:tcPr>
            <w:tcMar>
              <w:top w:w="80.0" w:type="dxa"/>
              <w:left w:w="100.0" w:type="dxa"/>
              <w:bottom w:w="80.0" w:type="dxa"/>
              <w:right w:w="100.0" w:type="dxa"/>
            </w:tcMar>
          </w:tcPr>
          <w:p w:rsidR="00000000" w:rsidDel="00000000" w:rsidP="00000000" w:rsidRDefault="00000000" w:rsidRPr="00000000" w14:paraId="000010A5">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A6">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7">
            <w:pPr>
              <w:rPr/>
            </w:pPr>
            <w:r>
              <w:rPr>
                <w:sz w:val="19"/>
                <w:szCs w:val="19"/>
                <w:rtl w:val="0"/>
              </w:rPr>
              <w:t xml:space="preserve">All</w:t>
            </w:r>
            <w:r>
              <w:rPr>
                <w:rtl w:val="0"/>
              </w:rPr>
            </w:r>
          </w:p>
        </w:tc>
      </w:tr>
    </w:tbl>
    <w:p w:rsidR="00000000" w:rsidDel="00000000" w:rsidP="00000000" w:rsidRDefault="00000000" w:rsidRPr="00000000" w14:paraId="000010A8">
      <w:pPr>
        <w:spacing w:after="140" w:lineRule="auto"/>
        <w:rPr/>
      </w:pPr>
      <w:r>
        <w:rPr>
          <w:rtl w:val="0"/>
        </w:rPr>
      </w:r>
    </w:p>
    <w:p w:rsidR="00000000" w:rsidDel="00000000" w:rsidP="00000000" w:rsidRDefault="00000000" w:rsidRPr="00000000" w14:paraId="000010A9">
      <w:pPr>
        <w:pStyle w:val="Heading2"/>
        <w:spacing w:after="120" w:before="280" w:lineRule="auto"/>
        <w:rPr/>
      </w:pPr>
      <w:r>
        <w:rPr>
          <w:b w:val="1"/>
          <w:bCs w:val="1"/>
          <w:color w:val="1e7a4c"/>
          <w:sz w:val="24"/>
          <w:szCs w:val="24"/>
          <w:rtl w:val="0"/>
        </w:rPr>
        <w:t xml:space="preserve">20.6 Derived / ML-Job Dataset Fields</w:t>
      </w:r>
      <w:r>
        <w:rPr>
          <w:rtl w:val="0"/>
        </w:rPr>
      </w:r>
    </w:p>
    <w:p w:rsidR="00000000" w:rsidDel="00000000" w:rsidP="00000000" w:rsidRDefault="00000000" w:rsidRPr="00000000" w14:paraId="000010AA">
      <w:pPr>
        <w:spacing w:after="140" w:lineRule="auto"/>
        <w:rPr/>
      </w:pPr>
      <w:r>
        <w:rPr>
          <w:sz w:val="21"/>
          <w:szCs w:val="21"/>
          <w:rtl w:val="0"/>
        </w:rPr>
        <w:t xml:space="preserve">These fields are generated downstream from raw telemetry (§20.2–§20.5) by Stardust's analytics/ML layer, for forecasting, anomaly detection, and credit-grade normalization. Each maps back to a raw root code where applicable.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3200"/>
        <w:gridCol w:w="1300"/>
        <w:gridCol w:w="1600"/>
        <w:tblGridChange w:id="0">
          <w:tblGrid>
            <w:gridCol w:w="1000"/>
            <w:gridCol w:w="2500"/>
            <w:gridCol w:w="3200"/>
            <w:gridCol w:w="1300"/>
            <w:gridCol w:w="1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AB">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C">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D">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E">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F">
            <w:pPr>
              <w:rPr/>
            </w:pPr>
            <w:r>
              <w:rPr>
                <w:b w:val="1"/>
                <w:bCs w:val="1"/>
                <w:color w:val="ffffff"/>
                <w:sz w:val="19"/>
                <w:szCs w:val="19"/>
                <w:rtl w:val="0"/>
              </w:rPr>
              <w:t xml:space="preserve">Derived From</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0">
            <w:pPr>
              <w:rPr/>
            </w:pPr>
            <w:r>
              <w:rPr>
                <w:sz w:val="19"/>
                <w:szCs w:val="19"/>
                <w:rtl w:val="0"/>
              </w:rPr>
              <w:t xml:space="preserve">D-CEP</w:t>
            </w:r>
            <w:r>
              <w:rPr>
                <w:rtl w:val="0"/>
              </w:rPr>
            </w:r>
          </w:p>
        </w:tc>
        <w:tc>
          <w:tcPr>
            <w:tcMar>
              <w:top w:w="80.0" w:type="dxa"/>
              <w:left w:w="100.0" w:type="dxa"/>
              <w:bottom w:w="80.0" w:type="dxa"/>
              <w:right w:w="100.0" w:type="dxa"/>
            </w:tcMar>
          </w:tcPr>
          <w:p w:rsidR="00000000" w:rsidDel="00000000" w:rsidP="00000000" w:rsidRDefault="00000000" w:rsidRPr="00000000" w14:paraId="000010B1">
            <w:pPr>
              <w:rPr/>
            </w:pPr>
            <w:r>
              <w:rPr>
                <w:sz w:val="19"/>
                <w:szCs w:val="19"/>
                <w:rtl w:val="0"/>
              </w:rPr>
              <w:t xml:space="preserve">Modeled Capture Efficiency</w:t>
            </w:r>
            <w:r>
              <w:rPr>
                <w:rtl w:val="0"/>
              </w:rPr>
            </w:r>
          </w:p>
        </w:tc>
        <w:tc>
          <w:tcPr>
            <w:tcMar>
              <w:top w:w="80.0" w:type="dxa"/>
              <w:left w:w="100.0" w:type="dxa"/>
              <w:bottom w:w="80.0" w:type="dxa"/>
              <w:right w:w="100.0" w:type="dxa"/>
            </w:tcMar>
          </w:tcPr>
          <w:p w:rsidR="00000000" w:rsidDel="00000000" w:rsidP="00000000" w:rsidRDefault="00000000" w:rsidRPr="00000000" w14:paraId="000010B2">
            <w:pPr>
              <w:rPr/>
            </w:pPr>
            <w:r>
              <w:rPr>
                <w:sz w:val="19"/>
                <w:szCs w:val="19"/>
                <w:rtl w:val="0"/>
              </w:rPr>
              <w:t xml:space="preserve">ML-estimated efficiency where direct sensing is unavailable</w:t>
            </w:r>
            <w:r>
              <w:rPr>
                <w:rtl w:val="0"/>
              </w:rPr>
            </w:r>
          </w:p>
        </w:tc>
        <w:tc>
          <w:tcPr>
            <w:tcMar>
              <w:top w:w="80.0" w:type="dxa"/>
              <w:left w:w="100.0" w:type="dxa"/>
              <w:bottom w:w="80.0" w:type="dxa"/>
              <w:right w:w="100.0" w:type="dxa"/>
            </w:tcMar>
          </w:tcPr>
          <w:p w:rsidR="00000000" w:rsidDel="00000000" w:rsidP="00000000" w:rsidRDefault="00000000" w:rsidRPr="00000000" w14:paraId="000010B3">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B4">
            <w:pPr>
              <w:rPr/>
            </w:pPr>
            <w:r>
              <w:rPr>
                <w:sz w:val="19"/>
                <w:szCs w:val="19"/>
                <w:rtl w:val="0"/>
              </w:rPr>
              <w:t xml:space="preserve">CEP,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5">
            <w:pPr>
              <w:rPr/>
            </w:pPr>
            <w:r>
              <w:rPr>
                <w:sz w:val="19"/>
                <w:szCs w:val="19"/>
                <w:rtl w:val="0"/>
              </w:rPr>
              <w:t xml:space="preserve">D-CCM</w:t>
            </w:r>
            <w:r>
              <w:rPr>
                <w:rtl w:val="0"/>
              </w:rPr>
            </w:r>
          </w:p>
        </w:tc>
        <w:tc>
          <w:tcPr>
            <w:tcMar>
              <w:top w:w="80.0" w:type="dxa"/>
              <w:left w:w="100.0" w:type="dxa"/>
              <w:bottom w:w="80.0" w:type="dxa"/>
              <w:right w:w="100.0" w:type="dxa"/>
            </w:tcMar>
          </w:tcPr>
          <w:p w:rsidR="00000000" w:rsidDel="00000000" w:rsidP="00000000" w:rsidRDefault="00000000" w:rsidRPr="00000000" w14:paraId="000010B6">
            <w:pPr>
              <w:rPr/>
            </w:pPr>
            <w:r>
              <w:rPr>
                <w:sz w:val="19"/>
                <w:szCs w:val="19"/>
                <w:rtl w:val="0"/>
              </w:rPr>
              <w:t xml:space="preserve">Projected Cumulative Mass</w:t>
            </w:r>
            <w:r>
              <w:rPr>
                <w:rtl w:val="0"/>
              </w:rPr>
            </w:r>
          </w:p>
        </w:tc>
        <w:tc>
          <w:tcPr>
            <w:tcMar>
              <w:top w:w="80.0" w:type="dxa"/>
              <w:left w:w="100.0" w:type="dxa"/>
              <w:bottom w:w="80.0" w:type="dxa"/>
              <w:right w:w="100.0" w:type="dxa"/>
            </w:tcMar>
          </w:tcPr>
          <w:p w:rsidR="00000000" w:rsidDel="00000000" w:rsidP="00000000" w:rsidRDefault="00000000" w:rsidRPr="00000000" w14:paraId="000010B7">
            <w:pPr>
              <w:rPr/>
            </w:pPr>
            <w:r>
              <w:rPr>
                <w:sz w:val="19"/>
                <w:szCs w:val="19"/>
                <w:rtl w:val="0"/>
              </w:rPr>
              <w:t xml:space="preserve">Forecasted captured mass for current crediting period</w:t>
            </w:r>
            <w:r>
              <w:rPr>
                <w:rtl w:val="0"/>
              </w:rPr>
            </w:r>
          </w:p>
        </w:tc>
        <w:tc>
          <w:tcPr>
            <w:tcMar>
              <w:top w:w="80.0" w:type="dxa"/>
              <w:left w:w="100.0" w:type="dxa"/>
              <w:bottom w:w="80.0" w:type="dxa"/>
              <w:right w:w="100.0" w:type="dxa"/>
            </w:tcMar>
          </w:tcPr>
          <w:p w:rsidR="00000000" w:rsidDel="00000000" w:rsidP="00000000" w:rsidRDefault="00000000" w:rsidRPr="00000000" w14:paraId="000010B8">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B9">
            <w:pPr>
              <w:rPr/>
            </w:pPr>
            <w:r>
              <w:rPr>
                <w:sz w:val="19"/>
                <w:szCs w:val="19"/>
                <w:rtl w:val="0"/>
              </w:rPr>
              <w:t xml:space="preserve">CCM, CRI</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A">
            <w:pPr>
              <w:rPr/>
            </w:pPr>
            <w:r>
              <w:rPr>
                <w:sz w:val="19"/>
                <w:szCs w:val="19"/>
                <w:rtl w:val="0"/>
              </w:rPr>
              <w:t xml:space="preserve">ADF</w:t>
            </w:r>
            <w:r>
              <w:rPr>
                <w:rtl w:val="0"/>
              </w:rPr>
            </w:r>
          </w:p>
        </w:tc>
        <w:tc>
          <w:tcPr>
            <w:tcMar>
              <w:top w:w="80.0" w:type="dxa"/>
              <w:left w:w="100.0" w:type="dxa"/>
              <w:bottom w:w="80.0" w:type="dxa"/>
              <w:right w:w="100.0" w:type="dxa"/>
            </w:tcMar>
          </w:tcPr>
          <w:p w:rsidR="00000000" w:rsidDel="00000000" w:rsidP="00000000" w:rsidRDefault="00000000" w:rsidRPr="00000000" w14:paraId="000010BB">
            <w:pPr>
              <w:rPr/>
            </w:pPr>
            <w:r>
              <w:rPr>
                <w:sz w:val="19"/>
                <w:szCs w:val="19"/>
                <w:rtl w:val="0"/>
              </w:rPr>
              <w:t xml:space="preserve">Anomaly Detection Flag</w:t>
            </w:r>
            <w:r>
              <w:rPr>
                <w:rtl w:val="0"/>
              </w:rPr>
            </w:r>
          </w:p>
        </w:tc>
        <w:tc>
          <w:tcPr>
            <w:tcMar>
              <w:top w:w="80.0" w:type="dxa"/>
              <w:left w:w="100.0" w:type="dxa"/>
              <w:bottom w:w="80.0" w:type="dxa"/>
              <w:right w:w="100.0" w:type="dxa"/>
            </w:tcMar>
          </w:tcPr>
          <w:p w:rsidR="00000000" w:rsidDel="00000000" w:rsidP="00000000" w:rsidRDefault="00000000" w:rsidRPr="00000000" w14:paraId="000010BC">
            <w:pPr>
              <w:rPr/>
            </w:pPr>
            <w:r>
              <w:rPr>
                <w:sz w:val="19"/>
                <w:szCs w:val="19"/>
                <w:rtl w:val="0"/>
              </w:rPr>
              <w:t xml:space="preserve">Flags telemetry readings outside expected operational bounds</w:t>
            </w:r>
            <w:r>
              <w:rPr>
                <w:rtl w:val="0"/>
              </w:rPr>
            </w:r>
          </w:p>
        </w:tc>
        <w:tc>
          <w:tcPr>
            <w:tcMar>
              <w:top w:w="80.0" w:type="dxa"/>
              <w:left w:w="100.0" w:type="dxa"/>
              <w:bottom w:w="80.0" w:type="dxa"/>
              <w:right w:w="100.0" w:type="dxa"/>
            </w:tcMar>
          </w:tcPr>
          <w:p w:rsidR="00000000" w:rsidDel="00000000" w:rsidP="00000000" w:rsidRDefault="00000000" w:rsidRPr="00000000" w14:paraId="000010BD">
            <w:pPr>
              <w:rPr/>
            </w:pPr>
            <w:r>
              <w:rPr>
                <w:sz w:val="19"/>
                <w:szCs w:val="19"/>
                <w:rtl w:val="0"/>
              </w:rPr>
              <w:t xml:space="preserve">bool + code</w:t>
            </w:r>
            <w:r>
              <w:rPr>
                <w:rtl w:val="0"/>
              </w:rPr>
            </w:r>
          </w:p>
        </w:tc>
        <w:tc>
          <w:tcPr>
            <w:tcMar>
              <w:top w:w="80.0" w:type="dxa"/>
              <w:left w:w="100.0" w:type="dxa"/>
              <w:bottom w:w="80.0" w:type="dxa"/>
              <w:right w:w="100.0" w:type="dxa"/>
            </w:tcMar>
          </w:tcPr>
          <w:p w:rsidR="00000000" w:rsidDel="00000000" w:rsidP="00000000" w:rsidRDefault="00000000" w:rsidRPr="00000000" w14:paraId="000010BE">
            <w:pPr>
              <w:rPr/>
            </w:pPr>
            <w:r>
              <w:rPr>
                <w:sz w:val="19"/>
                <w:szCs w:val="19"/>
                <w:rtl w:val="0"/>
              </w:rPr>
              <w:t xml:space="preserve">CRI, UDL,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F">
            <w:pPr>
              <w:rPr/>
            </w:pPr>
            <w:r>
              <w:rPr>
                <w:sz w:val="19"/>
                <w:szCs w:val="19"/>
                <w:rtl w:val="0"/>
              </w:rPr>
              <w:t xml:space="preserve">DQS</w:t>
            </w:r>
            <w:r>
              <w:rPr>
                <w:rtl w:val="0"/>
              </w:rPr>
            </w:r>
          </w:p>
        </w:tc>
        <w:tc>
          <w:tcPr>
            <w:tcMar>
              <w:top w:w="80.0" w:type="dxa"/>
              <w:left w:w="100.0" w:type="dxa"/>
              <w:bottom w:w="80.0" w:type="dxa"/>
              <w:right w:w="100.0" w:type="dxa"/>
            </w:tcMar>
          </w:tcPr>
          <w:p w:rsidR="00000000" w:rsidDel="00000000" w:rsidP="00000000" w:rsidRDefault="00000000" w:rsidRPr="00000000" w14:paraId="000010C0">
            <w:pPr>
              <w:rPr/>
            </w:pPr>
            <w:r>
              <w:rPr>
                <w:sz w:val="19"/>
                <w:szCs w:val="19"/>
                <w:rtl w:val="0"/>
              </w:rPr>
              <w:t xml:space="preserve">Data Quality Score</w:t>
            </w:r>
            <w:r>
              <w:rPr>
                <w:rtl w:val="0"/>
              </w:rPr>
            </w:r>
          </w:p>
        </w:tc>
        <w:tc>
          <w:tcPr>
            <w:tcMar>
              <w:top w:w="80.0" w:type="dxa"/>
              <w:left w:w="100.0" w:type="dxa"/>
              <w:bottom w:w="80.0" w:type="dxa"/>
              <w:right w:w="100.0" w:type="dxa"/>
            </w:tcMar>
          </w:tcPr>
          <w:p w:rsidR="00000000" w:rsidDel="00000000" w:rsidP="00000000" w:rsidRDefault="00000000" w:rsidRPr="00000000" w14:paraId="000010C1">
            <w:pPr>
              <w:rPr/>
            </w:pPr>
            <w:r>
              <w:rPr>
                <w:sz w:val="19"/>
                <w:szCs w:val="19"/>
                <w:rtl w:val="0"/>
              </w:rPr>
              <w:t xml:space="preserve">Composite confidence score for a record's reliability</w:t>
            </w:r>
            <w:r>
              <w:rPr>
                <w:rtl w:val="0"/>
              </w:rPr>
            </w:r>
          </w:p>
        </w:tc>
        <w:tc>
          <w:tcPr>
            <w:tcMar>
              <w:top w:w="80.0" w:type="dxa"/>
              <w:left w:w="100.0" w:type="dxa"/>
              <w:bottom w:w="80.0" w:type="dxa"/>
              <w:right w:w="100.0" w:type="dxa"/>
            </w:tcMar>
          </w:tcPr>
          <w:p w:rsidR="00000000" w:rsidDel="00000000" w:rsidP="00000000" w:rsidRDefault="00000000" w:rsidRPr="00000000" w14:paraId="000010C2">
            <w:pPr>
              <w:rPr/>
            </w:pPr>
            <w:r>
              <w:rPr>
                <w:sz w:val="19"/>
                <w:szCs w:val="19"/>
                <w:rtl w:val="0"/>
              </w:rPr>
              <w:t xml:space="preserve">0–1 scale</w:t>
            </w:r>
            <w:r>
              <w:rPr>
                <w:rtl w:val="0"/>
              </w:rPr>
            </w:r>
          </w:p>
        </w:tc>
        <w:tc>
          <w:tcPr>
            <w:tcMar>
              <w:top w:w="80.0" w:type="dxa"/>
              <w:left w:w="100.0" w:type="dxa"/>
              <w:bottom w:w="80.0" w:type="dxa"/>
              <w:right w:w="100.0" w:type="dxa"/>
            </w:tcMar>
          </w:tcPr>
          <w:p w:rsidR="00000000" w:rsidDel="00000000" w:rsidP="00000000" w:rsidRDefault="00000000" w:rsidRPr="00000000" w14:paraId="000010C3">
            <w:pPr>
              <w:rPr/>
            </w:pPr>
            <w:r>
              <w:rPr>
                <w:sz w:val="19"/>
                <w:szCs w:val="19"/>
                <w:rtl w:val="0"/>
              </w:rPr>
              <w:t xml:space="preserve">DST, SCT, ADF</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4">
            <w:pPr>
              <w:rPr/>
            </w:pPr>
            <w:r>
              <w:rPr>
                <w:sz w:val="19"/>
                <w:szCs w:val="19"/>
                <w:rtl w:val="0"/>
              </w:rPr>
              <w:t xml:space="preserve">MCI</w:t>
            </w:r>
            <w:r>
              <w:rPr>
                <w:rtl w:val="0"/>
              </w:rPr>
            </w:r>
          </w:p>
        </w:tc>
        <w:tc>
          <w:tcPr>
            <w:tcMar>
              <w:top w:w="80.0" w:type="dxa"/>
              <w:left w:w="100.0" w:type="dxa"/>
              <w:bottom w:w="80.0" w:type="dxa"/>
              <w:right w:w="100.0" w:type="dxa"/>
            </w:tcMar>
          </w:tcPr>
          <w:p w:rsidR="00000000" w:rsidDel="00000000" w:rsidP="00000000" w:rsidRDefault="00000000" w:rsidRPr="00000000" w14:paraId="000010C5">
            <w:pPr>
              <w:rPr/>
            </w:pPr>
            <w:r>
              <w:rPr>
                <w:sz w:val="19"/>
                <w:szCs w:val="19"/>
                <w:rtl w:val="0"/>
              </w:rPr>
              <w:t xml:space="preserve">Model Confidence Interval</w:t>
            </w:r>
            <w:r>
              <w:rPr>
                <w:rtl w:val="0"/>
              </w:rPr>
            </w:r>
          </w:p>
        </w:tc>
        <w:tc>
          <w:tcPr>
            <w:tcMar>
              <w:top w:w="80.0" w:type="dxa"/>
              <w:left w:w="100.0" w:type="dxa"/>
              <w:bottom w:w="80.0" w:type="dxa"/>
              <w:right w:w="100.0" w:type="dxa"/>
            </w:tcMar>
          </w:tcPr>
          <w:p w:rsidR="00000000" w:rsidDel="00000000" w:rsidP="00000000" w:rsidRDefault="00000000" w:rsidRPr="00000000" w14:paraId="000010C6">
            <w:pPr>
              <w:rPr/>
            </w:pPr>
            <w:r>
              <w:rPr>
                <w:sz w:val="19"/>
                <w:szCs w:val="19"/>
                <w:rtl w:val="0"/>
              </w:rPr>
              <w:t xml:space="preserve">Uncertainty band on any derived (D-) estimate</w:t>
            </w:r>
            <w:r>
              <w:rPr>
                <w:rtl w:val="0"/>
              </w:rPr>
            </w:r>
          </w:p>
        </w:tc>
        <w:tc>
          <w:tcPr>
            <w:tcMar>
              <w:top w:w="80.0" w:type="dxa"/>
              <w:left w:w="100.0" w:type="dxa"/>
              <w:bottom w:w="80.0" w:type="dxa"/>
              <w:right w:w="100.0" w:type="dxa"/>
            </w:tcMar>
          </w:tcPr>
          <w:p w:rsidR="00000000" w:rsidDel="00000000" w:rsidP="00000000" w:rsidRDefault="00000000" w:rsidRPr="00000000" w14:paraId="000010C7">
            <w:pPr>
              <w:rPr/>
            </w:pPr>
            <w:r>
              <w:rPr>
                <w:sz w:val="19"/>
                <w:szCs w:val="19"/>
                <w:rtl w:val="0"/>
              </w:rPr>
              <w:t xml:space="preserve">± unit of metric</w:t>
            </w:r>
            <w:r>
              <w:rPr>
                <w:rtl w:val="0"/>
              </w:rPr>
            </w:r>
          </w:p>
        </w:tc>
        <w:tc>
          <w:tcPr>
            <w:tcMar>
              <w:top w:w="80.0" w:type="dxa"/>
              <w:left w:w="100.0" w:type="dxa"/>
              <w:bottom w:w="80.0" w:type="dxa"/>
              <w:right w:w="100.0" w:type="dxa"/>
            </w:tcMar>
          </w:tcPr>
          <w:p w:rsidR="00000000" w:rsidDel="00000000" w:rsidP="00000000" w:rsidRDefault="00000000" w:rsidRPr="00000000" w14:paraId="000010C8">
            <w:pPr>
              <w:rPr/>
            </w:pPr>
            <w:r>
              <w:rPr>
                <w:sz w:val="19"/>
                <w:szCs w:val="19"/>
                <w:rtl w:val="0"/>
              </w:rPr>
              <w:t xml:space="preserve">All D-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9">
            <w:pPr>
              <w:rPr/>
            </w:pPr>
            <w:r>
              <w:rPr>
                <w:sz w:val="19"/>
                <w:szCs w:val="19"/>
                <w:rtl w:val="0"/>
              </w:rPr>
              <w:t xml:space="preserve">FVI</w:t>
            </w:r>
            <w:r>
              <w:rPr>
                <w:rtl w:val="0"/>
              </w:rPr>
            </w:r>
          </w:p>
        </w:tc>
        <w:tc>
          <w:tcPr>
            <w:tcMar>
              <w:top w:w="80.0" w:type="dxa"/>
              <w:left w:w="100.0" w:type="dxa"/>
              <w:bottom w:w="80.0" w:type="dxa"/>
              <w:right w:w="100.0" w:type="dxa"/>
            </w:tcMar>
          </w:tcPr>
          <w:p w:rsidR="00000000" w:rsidDel="00000000" w:rsidP="00000000" w:rsidRDefault="00000000" w:rsidRPr="00000000" w14:paraId="000010CA">
            <w:pPr>
              <w:rPr/>
            </w:pPr>
            <w:r>
              <w:rPr>
                <w:sz w:val="19"/>
                <w:szCs w:val="19"/>
                <w:rtl w:val="0"/>
              </w:rPr>
              <w:t xml:space="preserve">Feature Vector ID</w:t>
            </w:r>
            <w:r>
              <w:rPr>
                <w:rtl w:val="0"/>
              </w:rPr>
            </w:r>
          </w:p>
        </w:tc>
        <w:tc>
          <w:tcPr>
            <w:tcMar>
              <w:top w:w="80.0" w:type="dxa"/>
              <w:left w:w="100.0" w:type="dxa"/>
              <w:bottom w:w="80.0" w:type="dxa"/>
              <w:right w:w="100.0" w:type="dxa"/>
            </w:tcMar>
          </w:tcPr>
          <w:p w:rsidR="00000000" w:rsidDel="00000000" w:rsidP="00000000" w:rsidRDefault="00000000" w:rsidRPr="00000000" w14:paraId="000010CB">
            <w:pPr>
              <w:rPr/>
            </w:pPr>
            <w:r>
              <w:rPr>
                <w:sz w:val="19"/>
                <w:szCs w:val="19"/>
                <w:rtl w:val="0"/>
              </w:rPr>
              <w:t xml:space="preserve">Identifier for the ML feature set used to generate a derived record</w:t>
            </w:r>
            <w:r>
              <w:rPr>
                <w:rtl w:val="0"/>
              </w:rPr>
            </w:r>
          </w:p>
        </w:tc>
        <w:tc>
          <w:tcPr>
            <w:tcMar>
              <w:top w:w="80.0" w:type="dxa"/>
              <w:left w:w="100.0" w:type="dxa"/>
              <w:bottom w:w="80.0" w:type="dxa"/>
              <w:right w:w="100.0" w:type="dxa"/>
            </w:tcMar>
          </w:tcPr>
          <w:p w:rsidR="00000000" w:rsidDel="00000000" w:rsidP="00000000" w:rsidRDefault="00000000" w:rsidRPr="00000000" w14:paraId="000010CC">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CD">
            <w:pPr>
              <w:rPr/>
            </w:pPr>
            <w:r>
              <w:rPr>
                <w:sz w:val="19"/>
                <w:szCs w:val="19"/>
                <w:rtl w:val="0"/>
              </w:rPr>
              <w:t xml:space="preserve">All raw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E">
            <w:pPr>
              <w:rPr/>
            </w:pPr>
            <w:r>
              <w:rPr>
                <w:sz w:val="19"/>
                <w:szCs w:val="19"/>
                <w:rtl w:val="0"/>
              </w:rPr>
              <w:t xml:space="preserve">D-ESM</w:t>
            </w:r>
            <w:r>
              <w:rPr>
                <w:rtl w:val="0"/>
              </w:rPr>
            </w:r>
          </w:p>
        </w:tc>
        <w:tc>
          <w:tcPr>
            <w:tcMar>
              <w:top w:w="80.0" w:type="dxa"/>
              <w:left w:w="100.0" w:type="dxa"/>
              <w:bottom w:w="80.0" w:type="dxa"/>
              <w:right w:w="100.0" w:type="dxa"/>
            </w:tcMar>
          </w:tcPr>
          <w:p w:rsidR="00000000" w:rsidDel="00000000" w:rsidP="00000000" w:rsidRDefault="00000000" w:rsidRPr="00000000" w14:paraId="000010CF">
            <w:pPr>
              <w:rPr/>
            </w:pPr>
            <w:r>
              <w:rPr>
                <w:sz w:val="19"/>
                <w:szCs w:val="19"/>
                <w:rtl w:val="0"/>
              </w:rPr>
              <w:t xml:space="preserve">Net Carbon Accounting Adjustment</w:t>
            </w:r>
            <w:r>
              <w:rPr>
                <w:rtl w:val="0"/>
              </w:rPr>
            </w:r>
          </w:p>
        </w:tc>
        <w:tc>
          <w:tcPr>
            <w:tcMar>
              <w:top w:w="80.0" w:type="dxa"/>
              <w:left w:w="100.0" w:type="dxa"/>
              <w:bottom w:w="80.0" w:type="dxa"/>
              <w:right w:w="100.0" w:type="dxa"/>
            </w:tcMar>
          </w:tcPr>
          <w:p w:rsidR="00000000" w:rsidDel="00000000" w:rsidP="00000000" w:rsidRDefault="00000000" w:rsidRPr="00000000" w14:paraId="000010D0">
            <w:pPr>
              <w:rPr/>
            </w:pPr>
            <w:r>
              <w:rPr>
                <w:sz w:val="19"/>
                <w:szCs w:val="19"/>
                <w:rtl w:val="0"/>
              </w:rPr>
              <w:t xml:space="preserve">Adjusts captured-mass credit based on energy source mix</w:t>
            </w:r>
            <w:r>
              <w:rPr>
                <w:rtl w:val="0"/>
              </w:rPr>
            </w:r>
          </w:p>
        </w:tc>
        <w:tc>
          <w:tcPr>
            <w:tcMar>
              <w:top w:w="80.0" w:type="dxa"/>
              <w:left w:w="100.0" w:type="dxa"/>
              <w:bottom w:w="80.0" w:type="dxa"/>
              <w:right w:w="100.0" w:type="dxa"/>
            </w:tcMar>
          </w:tcPr>
          <w:p w:rsidR="00000000" w:rsidDel="00000000" w:rsidP="00000000" w:rsidRDefault="00000000" w:rsidRPr="00000000" w14:paraId="000010D1">
            <w:pPr>
              <w:rPr/>
            </w:pPr>
            <w:r>
              <w:rPr>
                <w:sz w:val="19"/>
                <w:szCs w:val="19"/>
                <w:rtl w:val="0"/>
              </w:rPr>
              <w:t xml:space="preserve">kg CO2-eq</w:t>
            </w:r>
            <w:r>
              <w:rPr>
                <w:rtl w:val="0"/>
              </w:rPr>
            </w:r>
          </w:p>
        </w:tc>
        <w:tc>
          <w:tcPr>
            <w:tcMar>
              <w:top w:w="80.0" w:type="dxa"/>
              <w:left w:w="100.0" w:type="dxa"/>
              <w:bottom w:w="80.0" w:type="dxa"/>
              <w:right w:w="100.0" w:type="dxa"/>
            </w:tcMar>
          </w:tcPr>
          <w:p w:rsidR="00000000" w:rsidDel="00000000" w:rsidP="00000000" w:rsidRDefault="00000000" w:rsidRPr="00000000" w14:paraId="000010D2">
            <w:pPr>
              <w:rPr/>
            </w:pPr>
            <w:r>
              <w:rPr>
                <w:sz w:val="19"/>
                <w:szCs w:val="19"/>
                <w:rtl w:val="0"/>
              </w:rPr>
              <w:t xml:space="preserve">ESM, CCM</w:t>
            </w:r>
            <w:r>
              <w:rPr>
                <w:rtl w:val="0"/>
              </w:rPr>
            </w:r>
          </w:p>
        </w:tc>
      </w:tr>
    </w:tbl>
    <w:p w:rsidR="00000000" w:rsidDel="00000000" w:rsidP="00000000" w:rsidRDefault="00000000" w:rsidRPr="00000000" w14:paraId="000010D3">
      <w:pPr>
        <w:spacing w:after="140" w:lineRule="auto"/>
        <w:rPr/>
      </w:pPr>
      <w:r>
        <w:rPr>
          <w:rtl w:val="0"/>
        </w:rPr>
      </w:r>
    </w:p>
    <w:p w:rsidR="00000000" w:rsidDel="00000000" w:rsidP="00000000" w:rsidRDefault="00000000" w:rsidRPr="00000000" w14:paraId="000010D4">
      <w:pPr>
        <w:pStyle w:val="Heading2"/>
        <w:spacing w:after="120" w:before="280" w:lineRule="auto"/>
        <w:rPr/>
      </w:pPr>
      <w:r>
        <w:rPr>
          <w:b w:val="1"/>
          <w:bCs w:val="1"/>
          <w:color w:val="1e7a4c"/>
          <w:sz w:val="24"/>
          <w:szCs w:val="24"/>
          <w:rtl w:val="0"/>
        </w:rPr>
        <w:t xml:space="preserve">20.7 Spec Integration Notes</w:t>
      </w:r>
      <w:r>
        <w:rPr>
          <w:rtl w:val="0"/>
        </w:rPr>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Raw fields (§20.2–§20.5) should be the ones actually reported by Provider hardware/telemetry feeds; derived fields (§20.6) are computed by Stardust's own pipeline and should be clearly separated in schema/storage so credit-grade audits can distinguish measured vs. modeled data.</w:t>
      </w:r>
      <w:r>
        <w:rPr>
          <w:rtl w:val="0"/>
        </w:rPr>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tech_type column (DAC/PSC/NBC/OBC) should be present on every raw record so downstream ML jobs can condition models per capture method rather than pooling incompatible data.</w:t>
      </w:r>
      <w:r>
        <w:rPr>
          <w:rtl w:val="0"/>
        </w:rPr>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NBC (nature-based) and OBC (ocean-based) fields will likely need their own supplemental sub-spec later, since most of this section assumes continuous mechanical/chemical telemetry rather than biological sampling or oceanographic modeling.</w:t>
      </w:r>
      <w:r>
        <w:rPr>
          <w:rtl w:val="0"/>
        </w:rPr>
      </w:r>
    </w:p>
    <w:p w:rsidR="00000000" w:rsidRDefault="00000000" w14:paraId="7A000007">
      <w:pPr>
        <w:pStyle w:val="Heading1"/>
        <w:spacing w:after="160" w:before="360" w:lineRule="auto"/>
        <w:rPr/>
      </w:pPr>
      <w:r>
        <w:rPr>
          <w:b w:val="1"/>
          <w:bCs w:val="1"/>
          <w:color w:val="0f4a2e"/>
          <w:sz w:val="30"/>
          <w:szCs w:val="30"/>
        </w:rPr>
        <w:t xml:space="preserve">21. Right-Sizing and Efficiency Measurement and Scoring</w:t>
      </w:r>
    </w:p>
    <w:p w:rsidR="00000000" w:rsidRDefault="00000000" w14:paraId="7A000008">
      <w:pPr>
        <w:spacing w:after="140" w:lineRule="auto"/>
        <w:rPr/>
      </w:pPr>
      <w:r>
        <w:rPr>
          <w:sz w:val="21"/>
          <w:szCs w:val="21"/>
        </w:rPr>
        <w:t xml:space="preserve">Because Stardust observes every AI call together with its model, tokens, cost, energy and timing, the telemetry stack can determine whether each workload runs on the right-sized model and infrastructure, and how much useful output each dollar, kilowatt-hour and kilogram of CO2e produces. This section specifies the signal fields, derived scores, scoring method and recommendations. Field codes follow the convention in §20: no prefix denotes raw telemetry, and a “D-” prefix denotes a derived or ML-generated field.</w:t>
      </w:r>
    </w:p>
    <w:p w:rsidR="00000000" w:rsidRDefault="00000000" w14:paraId="7A000009">
      <w:pPr>
        <w:pStyle w:val="Heading2"/>
        <w:spacing w:after="120" w:before="280" w:lineRule="auto"/>
        <w:rPr/>
      </w:pPr>
      <w:r>
        <w:rPr>
          <w:b w:val="1"/>
          <w:bCs w:val="1"/>
          <w:color w:val="1e7a4c"/>
          <w:sz w:val="24"/>
          <w:szCs w:val="24"/>
        </w:rPr>
        <w:t xml:space="preserve">21.1 Purpose: Reduce First, Offset Second</w:t>
      </w:r>
    </w:p>
    <w:p w:rsidR="00000000" w:rsidRDefault="00000000" w14:paraId="7A00000A">
      <w:pPr>
        <w:spacing w:after="140" w:lineRule="auto"/>
        <w:rPr/>
      </w:pPr>
      <w:r>
        <w:rPr>
          <w:sz w:val="21"/>
          <w:szCs w:val="21"/>
        </w:rPr>
        <w:t xml:space="preserve">Right-sizing cuts cost and emissions at the source; the carbon marketplace (§10, Figure 3) then offsets only the residual. This gives Subscribers a reduce-first, offset-second position that is more credible for ESG and CSRD-style disclosure than offsetting alone, and it makes Stardust a cost-saving tool for Subscribers rather than only a reporting tool.</w:t>
      </w:r>
    </w:p>
    <w:p w:rsidR="00000000" w:rsidRDefault="00000000" w14:paraId="7A00000B">
      <w:pPr>
        <w:keepNext w:val="1"/>
        <w:spacing w:before="120" w:after="60" w:lineRule="auto"/>
        <w:jc w:val="center"/>
        <w:rPr/>
      </w:pPr>
      <w:r>
        <w:rPr>
          <w:noProof/>
        </w:rPr>
        <w:drawing>
          <wp:inline distT="0" distB="0" distL="0" distR="0">
            <wp:extent cx="5852160" cy="2498036"/>
            <wp:effectExtent l="0" t="0" r="0" b="0"/>
            <wp:docPr id="4" name="Figure 4" descr="Right-sizing signals rolling up into scores an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3"/>
                    <a:stretch>
                      <a:fillRect/>
                    </a:stretch>
                  </pic:blipFill>
                  <pic:spPr>
                    <a:xfrm>
                      <a:off x="0" y="0"/>
                      <a:ext cx="5852160" cy="2498036"/>
                    </a:xfrm>
                    <a:prstGeom prst="rect">
                      <a:avLst/>
                    </a:prstGeom>
                  </pic:spPr>
                </pic:pic>
              </a:graphicData>
            </a:graphic>
          </wp:inline>
        </w:drawing>
      </w:r>
    </w:p>
    <w:p w:rsidR="00000000" w:rsidRDefault="00000000" w14:paraId="7A00000C">
      <w:pPr>
        <w:spacing w:after="200" w:lineRule="auto"/>
        <w:jc w:val="center"/>
        <w:rPr/>
      </w:pPr>
      <w:r>
        <w:rPr>
          <w:i w:val="1"/>
          <w:iCs w:val="1"/>
          <w:color w:val="555555"/>
          <w:sz w:val="18"/>
          <w:szCs w:val="18"/>
        </w:rPr>
        <w:t xml:space="preserve">Figure 4. Right-sizing and efficiency scoring: four signal families (model fit, token efficiency, utilization, carbon timing) roll up into a Right-Size Score and Efficiency Index, which drive recommendations.</w:t>
      </w:r>
    </w:p>
    <w:p w:rsidR="00000000" w:rsidRDefault="00000000" w14:paraId="7A00000D">
      <w:pPr>
        <w:pStyle w:val="Heading2"/>
        <w:spacing w:after="120" w:before="280" w:lineRule="auto"/>
        <w:rPr/>
      </w:pPr>
      <w:r>
        <w:rPr>
          <w:b w:val="1"/>
          <w:bCs w:val="1"/>
          <w:color w:val="1e7a4c"/>
          <w:sz w:val="24"/>
          <w:szCs w:val="24"/>
        </w:rPr>
        <w:t xml:space="preserve">21.2 Right-Sizing Signal Fields (Raw)</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0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0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1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1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1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13">
            <w:pPr>
              <w:rPr/>
            </w:pPr>
            <w:r>
              <w:rPr>
                <w:b w:val="1"/>
                <w:bCs w:val="1"/>
                <w:color w:val="ffffff"/>
                <w:sz w:val="19"/>
                <w:szCs w:val="19"/>
              </w:rPr>
              <w:t xml:space="preserve">Applies To</w:t>
            </w:r>
          </w:p>
        </w:tc>
      </w:tr>
      <w:tr>
        <w:trPr>
          <w:cantSplit/>
        </w:trPr>
        <w:tc>
          <w:tcPr>
            <w:tcW w:w="960" w:type="dxa"/>
            <w:tcMar>
              <w:top w:w="80" w:type="dxa"/>
              <w:left w:w="100" w:type="dxa"/>
              <w:bottom w:w="80" w:type="dxa"/>
              <w:right w:w="100" w:type="dxa"/>
            </w:tcMar>
          </w:tcPr>
          <w:p w:rsidR="00000000" w:rsidRDefault="00000000" w14:paraId="7A000014">
            <w:pPr>
              <w:rPr/>
            </w:pPr>
            <w:r>
              <w:rPr>
                <w:sz w:val="19"/>
                <w:szCs w:val="19"/>
              </w:rPr>
              <w:t xml:space="preserve">MTR</w:t>
            </w:r>
          </w:p>
        </w:tc>
        <w:tc>
          <w:tcPr>
            <w:tcW w:w="2240" w:type="dxa"/>
            <w:tcMar>
              <w:top w:w="80" w:type="dxa"/>
              <w:left w:w="100" w:type="dxa"/>
              <w:bottom w:w="80" w:type="dxa"/>
              <w:right w:w="100" w:type="dxa"/>
            </w:tcMar>
          </w:tcPr>
          <w:p w:rsidR="00000000" w:rsidRDefault="00000000" w14:paraId="7A000015">
            <w:pPr>
              <w:rPr/>
            </w:pPr>
            <w:r>
              <w:rPr>
                <w:sz w:val="19"/>
                <w:szCs w:val="19"/>
              </w:rPr>
              <w:t xml:space="preserve">Model Tier</w:t>
            </w:r>
          </w:p>
        </w:tc>
        <w:tc>
          <w:tcPr>
            <w:tcW w:w="2720" w:type="dxa"/>
            <w:tcMar>
              <w:top w:w="80" w:type="dxa"/>
              <w:left w:w="100" w:type="dxa"/>
              <w:bottom w:w="80" w:type="dxa"/>
              <w:right w:w="100" w:type="dxa"/>
            </w:tcMar>
          </w:tcPr>
          <w:p w:rsidR="00000000" w:rsidRDefault="00000000" w14:paraId="7A000016">
            <w:pPr>
              <w:rPr/>
            </w:pPr>
            <w:r>
              <w:rPr>
                <w:sz w:val="19"/>
                <w:szCs w:val="19"/>
              </w:rPr>
              <w:t xml:space="preserve">Tier of the model serving the call (frontier, mid, small), from the provider/model lookup in §9.4</w:t>
            </w:r>
          </w:p>
        </w:tc>
        <w:tc>
          <w:tcPr>
            <w:tcW w:w="1280" w:type="dxa"/>
            <w:tcMar>
              <w:top w:w="80" w:type="dxa"/>
              <w:left w:w="100" w:type="dxa"/>
              <w:bottom w:w="80" w:type="dxa"/>
              <w:right w:w="100" w:type="dxa"/>
            </w:tcMar>
          </w:tcPr>
          <w:p w:rsidR="00000000" w:rsidRDefault="00000000" w14:paraId="7A000017">
            <w:pPr>
              <w:rPr/>
            </w:pPr>
            <w:r>
              <w:rPr>
                <w:sz w:val="19"/>
                <w:szCs w:val="19"/>
              </w:rPr>
              <w:t xml:space="preserve">enum</w:t>
            </w:r>
          </w:p>
        </w:tc>
        <w:tc>
          <w:tcPr>
            <w:tcW w:w="1280" w:type="dxa"/>
            <w:tcMar>
              <w:top w:w="80" w:type="dxa"/>
              <w:left w:w="100" w:type="dxa"/>
              <w:bottom w:w="80" w:type="dxa"/>
              <w:right w:w="100" w:type="dxa"/>
            </w:tcMar>
          </w:tcPr>
          <w:p w:rsidR="00000000" w:rsidRDefault="00000000" w14:paraId="7A000018">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19">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1A">
            <w:pPr>
              <w:rPr/>
            </w:pPr>
            <w:r>
              <w:rPr>
                <w:sz w:val="19"/>
                <w:szCs w:val="19"/>
              </w:rPr>
              <w:t xml:space="preserve">MFP</w:t>
            </w:r>
          </w:p>
        </w:tc>
        <w:tc>
          <w:tcPr>
            <w:tcW w:w="2240" w:type="dxa"/>
            <w:tcMar>
              <w:top w:w="80" w:type="dxa"/>
              <w:left w:w="100" w:type="dxa"/>
              <w:bottom w:w="80" w:type="dxa"/>
              <w:right w:w="100" w:type="dxa"/>
            </w:tcMar>
          </w:tcPr>
          <w:p w:rsidR="00000000" w:rsidRDefault="00000000" w14:paraId="7A00001B">
            <w:pPr>
              <w:rPr/>
            </w:pPr>
            <w:r>
              <w:rPr>
                <w:sz w:val="19"/>
                <w:szCs w:val="19"/>
              </w:rPr>
              <w:t xml:space="preserve">Model Fit Parity</w:t>
            </w:r>
          </w:p>
        </w:tc>
        <w:tc>
          <w:tcPr>
            <w:tcW w:w="2720" w:type="dxa"/>
            <w:tcMar>
              <w:top w:w="80" w:type="dxa"/>
              <w:left w:w="100" w:type="dxa"/>
              <w:bottom w:w="80" w:type="dxa"/>
              <w:right w:w="100" w:type="dxa"/>
            </w:tcMar>
          </w:tcPr>
          <w:p w:rsidR="00000000" w:rsidRDefault="00000000" w14:paraId="7A00001C">
            <w:pPr>
              <w:rPr/>
            </w:pPr>
            <w:r>
              <w:rPr>
                <w:sz w:val="19"/>
                <w:szCs w:val="19"/>
              </w:rPr>
              <w:t xml:space="preserve">Output-quality parity when a sampled prompt is re-run on a smaller or cheaper model tier, vs. the production model</w:t>
            </w:r>
          </w:p>
        </w:tc>
        <w:tc>
          <w:tcPr>
            <w:tcW w:w="1280" w:type="dxa"/>
            <w:tcMar>
              <w:top w:w="80" w:type="dxa"/>
              <w:left w:w="100" w:type="dxa"/>
              <w:bottom w:w="80" w:type="dxa"/>
              <w:right w:w="100" w:type="dxa"/>
            </w:tcMar>
          </w:tcPr>
          <w:p w:rsidR="00000000" w:rsidRDefault="00000000" w14:paraId="7A00001D">
            <w:pPr>
              <w:rPr/>
            </w:pPr>
            <w:r>
              <w:rPr>
                <w:sz w:val="19"/>
                <w:szCs w:val="19"/>
              </w:rPr>
              <w:t xml:space="preserve">ratio 0–1</w:t>
            </w:r>
          </w:p>
        </w:tc>
        <w:tc>
          <w:tcPr>
            <w:tcW w:w="1280" w:type="dxa"/>
            <w:tcMar>
              <w:top w:w="80" w:type="dxa"/>
              <w:left w:w="100" w:type="dxa"/>
              <w:bottom w:w="80" w:type="dxa"/>
              <w:right w:w="100" w:type="dxa"/>
            </w:tcMar>
          </w:tcPr>
          <w:p w:rsidR="00000000" w:rsidRDefault="00000000" w14:paraId="7A00001E">
            <w:pPr>
              <w:rPr/>
            </w:pPr>
            <w:r>
              <w:rPr>
                <w:sz w:val="19"/>
                <w:szCs w:val="19"/>
              </w:rPr>
              <w:t xml:space="preserve">Daily (sampled)</w:t>
            </w:r>
          </w:p>
        </w:tc>
        <w:tc>
          <w:tcPr>
            <w:tcW w:w="1120" w:type="dxa"/>
            <w:tcMar>
              <w:top w:w="80" w:type="dxa"/>
              <w:left w:w="100" w:type="dxa"/>
              <w:bottom w:w="80" w:type="dxa"/>
              <w:right w:w="100" w:type="dxa"/>
            </w:tcMar>
          </w:tcPr>
          <w:p w:rsidR="00000000" w:rsidRDefault="00000000" w14:paraId="7A00001F">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20">
            <w:pPr>
              <w:rPr/>
            </w:pPr>
            <w:r>
              <w:rPr>
                <w:sz w:val="19"/>
                <w:szCs w:val="19"/>
              </w:rPr>
              <w:t xml:space="preserve">TIO</w:t>
            </w:r>
          </w:p>
        </w:tc>
        <w:tc>
          <w:tcPr>
            <w:tcW w:w="2240" w:type="dxa"/>
            <w:tcMar>
              <w:top w:w="80" w:type="dxa"/>
              <w:left w:w="100" w:type="dxa"/>
              <w:bottom w:w="80" w:type="dxa"/>
              <w:right w:w="100" w:type="dxa"/>
            </w:tcMar>
          </w:tcPr>
          <w:p w:rsidR="00000000" w:rsidRDefault="00000000" w14:paraId="7A000021">
            <w:pPr>
              <w:rPr/>
            </w:pPr>
            <w:r>
              <w:rPr>
                <w:sz w:val="19"/>
                <w:szCs w:val="19"/>
              </w:rPr>
              <w:t xml:space="preserve">Token In/Out Ratio</w:t>
            </w:r>
          </w:p>
        </w:tc>
        <w:tc>
          <w:tcPr>
            <w:tcW w:w="2720" w:type="dxa"/>
            <w:tcMar>
              <w:top w:w="80" w:type="dxa"/>
              <w:left w:w="100" w:type="dxa"/>
              <w:bottom w:w="80" w:type="dxa"/>
              <w:right w:w="100" w:type="dxa"/>
            </w:tcMar>
          </w:tcPr>
          <w:p w:rsidR="00000000" w:rsidRDefault="00000000" w14:paraId="7A000022">
            <w:pPr>
              <w:rPr/>
            </w:pPr>
            <w:r>
              <w:rPr>
                <w:sz w:val="19"/>
                <w:szCs w:val="19"/>
              </w:rPr>
              <w:t xml:space="preserve">Input tokens divided by output tokens</w:t>
            </w:r>
          </w:p>
        </w:tc>
        <w:tc>
          <w:tcPr>
            <w:tcW w:w="1280" w:type="dxa"/>
            <w:tcMar>
              <w:top w:w="80" w:type="dxa"/>
              <w:left w:w="100" w:type="dxa"/>
              <w:bottom w:w="80" w:type="dxa"/>
              <w:right w:w="100" w:type="dxa"/>
            </w:tcMar>
          </w:tcPr>
          <w:p w:rsidR="00000000" w:rsidRDefault="00000000" w14:paraId="7A000023">
            <w:pPr>
              <w:rPr/>
            </w:pPr>
            <w:r>
              <w:rPr>
                <w:sz w:val="19"/>
                <w:szCs w:val="19"/>
              </w:rPr>
              <w:t xml:space="preserve">ratio</w:t>
            </w:r>
          </w:p>
        </w:tc>
        <w:tc>
          <w:tcPr>
            <w:tcW w:w="1280" w:type="dxa"/>
            <w:tcMar>
              <w:top w:w="80" w:type="dxa"/>
              <w:left w:w="100" w:type="dxa"/>
              <w:bottom w:w="80" w:type="dxa"/>
              <w:right w:w="100" w:type="dxa"/>
            </w:tcMar>
          </w:tcPr>
          <w:p w:rsidR="00000000" w:rsidRDefault="00000000" w14:paraId="7A00002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6">
            <w:pPr>
              <w:rPr/>
            </w:pPr>
            <w:r>
              <w:rPr>
                <w:sz w:val="19"/>
                <w:szCs w:val="19"/>
              </w:rPr>
              <w:t xml:space="preserve">CXB</w:t>
            </w:r>
          </w:p>
        </w:tc>
        <w:tc>
          <w:tcPr>
            <w:tcW w:w="2240" w:type="dxa"/>
            <w:tcMar>
              <w:top w:w="80" w:type="dxa"/>
              <w:left w:w="100" w:type="dxa"/>
              <w:bottom w:w="80" w:type="dxa"/>
              <w:right w:w="100" w:type="dxa"/>
            </w:tcMar>
          </w:tcPr>
          <w:p w:rsidR="00000000" w:rsidRDefault="00000000" w14:paraId="7A000027">
            <w:pPr>
              <w:rPr/>
            </w:pPr>
            <w:r>
              <w:rPr>
                <w:sz w:val="19"/>
                <w:szCs w:val="19"/>
              </w:rPr>
              <w:t xml:space="preserve">Context Bloat</w:t>
            </w:r>
          </w:p>
        </w:tc>
        <w:tc>
          <w:tcPr>
            <w:tcW w:w="2720" w:type="dxa"/>
            <w:tcMar>
              <w:top w:w="80" w:type="dxa"/>
              <w:left w:w="100" w:type="dxa"/>
              <w:bottom w:w="80" w:type="dxa"/>
              <w:right w:w="100" w:type="dxa"/>
            </w:tcMar>
          </w:tcPr>
          <w:p w:rsidR="00000000" w:rsidRDefault="00000000" w14:paraId="7A000028">
            <w:pPr>
              <w:rPr/>
            </w:pPr>
            <w:r>
              <w:rPr>
                <w:sz w:val="19"/>
                <w:szCs w:val="19"/>
              </w:rPr>
              <w:t xml:space="preserve">Share of input tokens that repeat unchanged system prompts or prior-turn context</w:t>
            </w:r>
          </w:p>
        </w:tc>
        <w:tc>
          <w:tcPr>
            <w:tcW w:w="1280" w:type="dxa"/>
            <w:tcMar>
              <w:top w:w="80" w:type="dxa"/>
              <w:left w:w="100" w:type="dxa"/>
              <w:bottom w:w="80" w:type="dxa"/>
              <w:right w:w="100" w:type="dxa"/>
            </w:tcMar>
          </w:tcPr>
          <w:p w:rsidR="00000000" w:rsidRDefault="00000000" w14:paraId="7A000029">
            <w:pPr>
              <w:rPr/>
            </w:pPr>
            <w:r>
              <w:rPr>
                <w:sz w:val="19"/>
                <w:szCs w:val="19"/>
              </w:rPr>
              <w:t xml:space="preserve">%</w:t>
            </w:r>
          </w:p>
        </w:tc>
        <w:tc>
          <w:tcPr>
            <w:tcW w:w="1280" w:type="dxa"/>
            <w:tcMar>
              <w:top w:w="80" w:type="dxa"/>
              <w:left w:w="100" w:type="dxa"/>
              <w:bottom w:w="80" w:type="dxa"/>
              <w:right w:w="100" w:type="dxa"/>
            </w:tcMar>
          </w:tcPr>
          <w:p w:rsidR="00000000" w:rsidRDefault="00000000" w14:paraId="7A00002A">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B">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C">
            <w:pPr>
              <w:rPr/>
            </w:pPr>
            <w:r>
              <w:rPr>
                <w:sz w:val="19"/>
                <w:szCs w:val="19"/>
              </w:rPr>
              <w:t xml:space="preserve">CHR</w:t>
            </w:r>
          </w:p>
        </w:tc>
        <w:tc>
          <w:tcPr>
            <w:tcW w:w="2240" w:type="dxa"/>
            <w:tcMar>
              <w:top w:w="80" w:type="dxa"/>
              <w:left w:w="100" w:type="dxa"/>
              <w:bottom w:w="80" w:type="dxa"/>
              <w:right w:w="100" w:type="dxa"/>
            </w:tcMar>
          </w:tcPr>
          <w:p w:rsidR="00000000" w:rsidRDefault="00000000" w14:paraId="7A00002D">
            <w:pPr>
              <w:rPr/>
            </w:pPr>
            <w:r>
              <w:rPr>
                <w:sz w:val="19"/>
                <w:szCs w:val="19"/>
              </w:rPr>
              <w:t xml:space="preserve">Cache Hit Rate</w:t>
            </w:r>
          </w:p>
        </w:tc>
        <w:tc>
          <w:tcPr>
            <w:tcW w:w="2720" w:type="dxa"/>
            <w:tcMar>
              <w:top w:w="80" w:type="dxa"/>
              <w:left w:w="100" w:type="dxa"/>
              <w:bottom w:w="80" w:type="dxa"/>
              <w:right w:w="100" w:type="dxa"/>
            </w:tcMar>
          </w:tcPr>
          <w:p w:rsidR="00000000" w:rsidRDefault="00000000" w14:paraId="7A00002E">
            <w:pPr>
              <w:rPr/>
            </w:pPr>
            <w:r>
              <w:rPr>
                <w:sz w:val="19"/>
                <w:szCs w:val="19"/>
              </w:rPr>
              <w:t xml:space="preserve">Share of input tokens served from the provider’s prompt cache</w:t>
            </w:r>
          </w:p>
        </w:tc>
        <w:tc>
          <w:tcPr>
            <w:tcW w:w="1280" w:type="dxa"/>
            <w:tcMar>
              <w:top w:w="80" w:type="dxa"/>
              <w:left w:w="100" w:type="dxa"/>
              <w:bottom w:w="80" w:type="dxa"/>
              <w:right w:w="100" w:type="dxa"/>
            </w:tcMar>
          </w:tcPr>
          <w:p w:rsidR="00000000" w:rsidRDefault="00000000" w14:paraId="7A00002F">
            <w:pPr>
              <w:rPr/>
            </w:pPr>
            <w:r>
              <w:rPr>
                <w:sz w:val="19"/>
                <w:szCs w:val="19"/>
              </w:rPr>
              <w:t xml:space="preserve">%</w:t>
            </w:r>
          </w:p>
        </w:tc>
        <w:tc>
          <w:tcPr>
            <w:tcW w:w="1280" w:type="dxa"/>
            <w:tcMar>
              <w:top w:w="80" w:type="dxa"/>
              <w:left w:w="100" w:type="dxa"/>
              <w:bottom w:w="80" w:type="dxa"/>
              <w:right w:w="100" w:type="dxa"/>
            </w:tcMar>
          </w:tcPr>
          <w:p w:rsidR="00000000" w:rsidRDefault="00000000" w14:paraId="7A000030">
            <w:pPr>
              <w:rPr/>
            </w:pPr>
            <w:r>
              <w:rPr>
                <w:sz w:val="19"/>
                <w:szCs w:val="19"/>
              </w:rPr>
              <w:t xml:space="preserve">Per call / hourly</w:t>
            </w:r>
          </w:p>
        </w:tc>
        <w:tc>
          <w:tcPr>
            <w:tcW w:w="1120" w:type="dxa"/>
            <w:tcMar>
              <w:top w:w="80" w:type="dxa"/>
              <w:left w:w="100" w:type="dxa"/>
              <w:bottom w:w="80" w:type="dxa"/>
              <w:right w:w="100" w:type="dxa"/>
            </w:tcMar>
          </w:tcPr>
          <w:p w:rsidR="00000000" w:rsidRDefault="00000000" w14:paraId="7A000031">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32">
            <w:pPr>
              <w:rPr/>
            </w:pPr>
            <w:r>
              <w:rPr>
                <w:sz w:val="19"/>
                <w:szCs w:val="19"/>
              </w:rPr>
              <w:t xml:space="preserve">RTR</w:t>
            </w:r>
          </w:p>
        </w:tc>
        <w:tc>
          <w:tcPr>
            <w:tcW w:w="2240" w:type="dxa"/>
            <w:tcMar>
              <w:top w:w="80" w:type="dxa"/>
              <w:left w:w="100" w:type="dxa"/>
              <w:bottom w:w="80" w:type="dxa"/>
              <w:right w:w="100" w:type="dxa"/>
            </w:tcMar>
          </w:tcPr>
          <w:p w:rsidR="00000000" w:rsidRDefault="00000000" w14:paraId="7A000033">
            <w:pPr>
              <w:rPr/>
            </w:pPr>
            <w:r>
              <w:rPr>
                <w:sz w:val="19"/>
                <w:szCs w:val="19"/>
              </w:rPr>
              <w:t xml:space="preserve">Retry Rate</w:t>
            </w:r>
          </w:p>
        </w:tc>
        <w:tc>
          <w:tcPr>
            <w:tcW w:w="2720" w:type="dxa"/>
            <w:tcMar>
              <w:top w:w="80" w:type="dxa"/>
              <w:left w:w="100" w:type="dxa"/>
              <w:bottom w:w="80" w:type="dxa"/>
              <w:right w:w="100" w:type="dxa"/>
            </w:tcMar>
          </w:tcPr>
          <w:p w:rsidR="00000000" w:rsidRDefault="00000000" w14:paraId="7A000034">
            <w:pPr>
              <w:rPr/>
            </w:pPr>
            <w:r>
              <w:rPr>
                <w:sz w:val="19"/>
                <w:szCs w:val="19"/>
              </w:rPr>
              <w:t xml:space="preserve">Share of calls regenerated, retried, or discarded without use</w:t>
            </w:r>
          </w:p>
        </w:tc>
        <w:tc>
          <w:tcPr>
            <w:tcW w:w="1280" w:type="dxa"/>
            <w:tcMar>
              <w:top w:w="80" w:type="dxa"/>
              <w:left w:w="100" w:type="dxa"/>
              <w:bottom w:w="80" w:type="dxa"/>
              <w:right w:w="100" w:type="dxa"/>
            </w:tcMar>
          </w:tcPr>
          <w:p w:rsidR="00000000" w:rsidRDefault="00000000" w14:paraId="7A000035">
            <w:pPr>
              <w:rPr/>
            </w:pPr>
            <w:r>
              <w:rPr>
                <w:sz w:val="19"/>
                <w:szCs w:val="19"/>
              </w:rPr>
              <w:t xml:space="preserve">%</w:t>
            </w:r>
          </w:p>
        </w:tc>
        <w:tc>
          <w:tcPr>
            <w:tcW w:w="1280" w:type="dxa"/>
            <w:tcMar>
              <w:top w:w="80" w:type="dxa"/>
              <w:left w:w="100" w:type="dxa"/>
              <w:bottom w:w="80" w:type="dxa"/>
              <w:right w:w="100" w:type="dxa"/>
            </w:tcMar>
          </w:tcPr>
          <w:p w:rsidR="00000000" w:rsidRDefault="00000000" w14:paraId="7A000036">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37">
            <w:pPr>
              <w:rPr/>
            </w:pPr>
            <w:r>
              <w:rPr>
                <w:sz w:val="19"/>
                <w:szCs w:val="19"/>
              </w:rPr>
              <w:t xml:space="preserve">Chat, Browser</w:t>
            </w:r>
          </w:p>
        </w:tc>
      </w:tr>
      <w:tr>
        <w:trPr>
          <w:cantSplit/>
        </w:trPr>
        <w:tc>
          <w:tcPr>
            <w:tcW w:w="960" w:type="dxa"/>
            <w:tcMar>
              <w:top w:w="80" w:type="dxa"/>
              <w:left w:w="100" w:type="dxa"/>
              <w:bottom w:w="80" w:type="dxa"/>
              <w:right w:w="100" w:type="dxa"/>
            </w:tcMar>
          </w:tcPr>
          <w:p w:rsidR="00000000" w:rsidRDefault="00000000" w14:paraId="7A000038">
            <w:pPr>
              <w:rPr/>
            </w:pPr>
            <w:r>
              <w:rPr>
                <w:sz w:val="19"/>
                <w:szCs w:val="19"/>
              </w:rPr>
              <w:t xml:space="preserve">UOC</w:t>
            </w:r>
          </w:p>
        </w:tc>
        <w:tc>
          <w:tcPr>
            <w:tcW w:w="2240" w:type="dxa"/>
            <w:tcMar>
              <w:top w:w="80" w:type="dxa"/>
              <w:left w:w="100" w:type="dxa"/>
              <w:bottom w:w="80" w:type="dxa"/>
              <w:right w:w="100" w:type="dxa"/>
            </w:tcMar>
          </w:tcPr>
          <w:p w:rsidR="00000000" w:rsidRDefault="00000000" w14:paraId="7A000039">
            <w:pPr>
              <w:rPr/>
            </w:pPr>
            <w:r>
              <w:rPr>
                <w:sz w:val="19"/>
                <w:szCs w:val="19"/>
              </w:rPr>
              <w:t xml:space="preserve">Useful Output Count</w:t>
            </w:r>
          </w:p>
        </w:tc>
        <w:tc>
          <w:tcPr>
            <w:tcW w:w="2720" w:type="dxa"/>
            <w:tcMar>
              <w:top w:w="80" w:type="dxa"/>
              <w:left w:w="100" w:type="dxa"/>
              <w:bottom w:w="80" w:type="dxa"/>
              <w:right w:w="100" w:type="dxa"/>
            </w:tcMar>
          </w:tcPr>
          <w:p w:rsidR="00000000" w:rsidRDefault="00000000" w14:paraId="7A00003A">
            <w:pPr>
              <w:rPr/>
            </w:pPr>
            <w:r>
              <w:rPr>
                <w:sz w:val="19"/>
                <w:szCs w:val="19"/>
              </w:rPr>
              <w:t xml:space="preserve">Completed tasks or accepted responses (the denominator for efficiency)</w:t>
            </w:r>
          </w:p>
        </w:tc>
        <w:tc>
          <w:tcPr>
            <w:tcW w:w="1280" w:type="dxa"/>
            <w:tcMar>
              <w:top w:w="80" w:type="dxa"/>
              <w:left w:w="100" w:type="dxa"/>
              <w:bottom w:w="80" w:type="dxa"/>
              <w:right w:w="100" w:type="dxa"/>
            </w:tcMar>
          </w:tcPr>
          <w:p w:rsidR="00000000" w:rsidRDefault="00000000" w14:paraId="7A00003B">
            <w:pPr>
              <w:rPr/>
            </w:pPr>
            <w:r>
              <w:rPr>
                <w:sz w:val="19"/>
                <w:szCs w:val="19"/>
              </w:rPr>
              <w:t xml:space="preserve">count</w:t>
            </w:r>
          </w:p>
        </w:tc>
        <w:tc>
          <w:tcPr>
            <w:tcW w:w="1280" w:type="dxa"/>
            <w:tcMar>
              <w:top w:w="80" w:type="dxa"/>
              <w:left w:w="100" w:type="dxa"/>
              <w:bottom w:w="80" w:type="dxa"/>
              <w:right w:w="100" w:type="dxa"/>
            </w:tcMar>
          </w:tcPr>
          <w:p w:rsidR="00000000" w:rsidRDefault="00000000" w14:paraId="7A00003C">
            <w:pPr>
              <w:rPr/>
            </w:pPr>
            <w:r>
              <w:rPr>
                <w:sz w:val="19"/>
                <w:szCs w:val="19"/>
              </w:rPr>
              <w:t xml:space="preserve">Per session</w:t>
            </w:r>
          </w:p>
        </w:tc>
        <w:tc>
          <w:tcPr>
            <w:tcW w:w="1120" w:type="dxa"/>
            <w:tcMar>
              <w:top w:w="80" w:type="dxa"/>
              <w:left w:w="100" w:type="dxa"/>
              <w:bottom w:w="80" w:type="dxa"/>
              <w:right w:w="100" w:type="dxa"/>
            </w:tcMar>
          </w:tcPr>
          <w:p w:rsidR="00000000" w:rsidRDefault="00000000" w14:paraId="7A00003D">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3E">
            <w:pPr>
              <w:rPr/>
            </w:pPr>
            <w:r>
              <w:rPr>
                <w:sz w:val="19"/>
                <w:szCs w:val="19"/>
              </w:rPr>
              <w:t xml:space="preserve">GPU</w:t>
            </w:r>
          </w:p>
        </w:tc>
        <w:tc>
          <w:tcPr>
            <w:tcW w:w="2240" w:type="dxa"/>
            <w:tcMar>
              <w:top w:w="80" w:type="dxa"/>
              <w:left w:w="100" w:type="dxa"/>
              <w:bottom w:w="80" w:type="dxa"/>
              <w:right w:w="100" w:type="dxa"/>
            </w:tcMar>
          </w:tcPr>
          <w:p w:rsidR="00000000" w:rsidRDefault="00000000" w14:paraId="7A00003F">
            <w:pPr>
              <w:rPr/>
            </w:pPr>
            <w:r>
              <w:rPr>
                <w:sz w:val="19"/>
                <w:szCs w:val="19"/>
              </w:rPr>
              <w:t xml:space="preserve">Accelerator Utilization</w:t>
            </w:r>
          </w:p>
        </w:tc>
        <w:tc>
          <w:tcPr>
            <w:tcW w:w="2720" w:type="dxa"/>
            <w:tcMar>
              <w:top w:w="80" w:type="dxa"/>
              <w:left w:w="100" w:type="dxa"/>
              <w:bottom w:w="80" w:type="dxa"/>
              <w:right w:w="100" w:type="dxa"/>
            </w:tcMar>
          </w:tcPr>
          <w:p w:rsidR="00000000" w:rsidRDefault="00000000" w14:paraId="7A000040">
            <w:pPr>
              <w:rPr/>
            </w:pPr>
            <w:r>
              <w:rPr>
                <w:sz w:val="19"/>
                <w:szCs w:val="19"/>
              </w:rPr>
              <w:t xml:space="preserve">Mean GPU/accelerator utilization over the interval</w:t>
            </w:r>
          </w:p>
        </w:tc>
        <w:tc>
          <w:tcPr>
            <w:tcW w:w="1280" w:type="dxa"/>
            <w:tcMar>
              <w:top w:w="80" w:type="dxa"/>
              <w:left w:w="100" w:type="dxa"/>
              <w:bottom w:w="80" w:type="dxa"/>
              <w:right w:w="100" w:type="dxa"/>
            </w:tcMar>
          </w:tcPr>
          <w:p w:rsidR="00000000" w:rsidRDefault="00000000" w14:paraId="7A000041">
            <w:pPr>
              <w:rPr/>
            </w:pPr>
            <w:r>
              <w:rPr>
                <w:sz w:val="19"/>
                <w:szCs w:val="19"/>
              </w:rPr>
              <w:t xml:space="preserve">%</w:t>
            </w:r>
          </w:p>
        </w:tc>
        <w:tc>
          <w:tcPr>
            <w:tcW w:w="1280" w:type="dxa"/>
            <w:tcMar>
              <w:top w:w="80" w:type="dxa"/>
              <w:left w:w="100" w:type="dxa"/>
              <w:bottom w:w="80" w:type="dxa"/>
              <w:right w:w="100" w:type="dxa"/>
            </w:tcMar>
          </w:tcPr>
          <w:p w:rsidR="00000000" w:rsidRDefault="00000000" w14:paraId="7A000042">
            <w:pPr>
              <w:rPr/>
            </w:pPr>
            <w:r>
              <w:rPr>
                <w:sz w:val="19"/>
                <w:szCs w:val="19"/>
              </w:rPr>
              <w:t xml:space="preserve">1–5 min</w:t>
            </w:r>
          </w:p>
        </w:tc>
        <w:tc>
          <w:tcPr>
            <w:tcW w:w="1120" w:type="dxa"/>
            <w:tcMar>
              <w:top w:w="80" w:type="dxa"/>
              <w:left w:w="100" w:type="dxa"/>
              <w:bottom w:w="80" w:type="dxa"/>
              <w:right w:w="100" w:type="dxa"/>
            </w:tcMar>
          </w:tcPr>
          <w:p w:rsidR="00000000" w:rsidRDefault="00000000" w14:paraId="7A000043">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4">
            <w:pPr>
              <w:rPr/>
            </w:pPr>
            <w:r>
              <w:rPr>
                <w:sz w:val="19"/>
                <w:szCs w:val="19"/>
              </w:rPr>
              <w:t xml:space="preserve">IDC</w:t>
            </w:r>
          </w:p>
        </w:tc>
        <w:tc>
          <w:tcPr>
            <w:tcW w:w="2240" w:type="dxa"/>
            <w:tcMar>
              <w:top w:w="80" w:type="dxa"/>
              <w:left w:w="100" w:type="dxa"/>
              <w:bottom w:w="80" w:type="dxa"/>
              <w:right w:w="100" w:type="dxa"/>
            </w:tcMar>
          </w:tcPr>
          <w:p w:rsidR="00000000" w:rsidRDefault="00000000" w14:paraId="7A000045">
            <w:pPr>
              <w:rPr/>
            </w:pPr>
            <w:r>
              <w:rPr>
                <w:sz w:val="19"/>
                <w:szCs w:val="19"/>
              </w:rPr>
              <w:t xml:space="preserve">Idle Provisioned Capacity</w:t>
            </w:r>
          </w:p>
        </w:tc>
        <w:tc>
          <w:tcPr>
            <w:tcW w:w="2720" w:type="dxa"/>
            <w:tcMar>
              <w:top w:w="80" w:type="dxa"/>
              <w:left w:w="100" w:type="dxa"/>
              <w:bottom w:w="80" w:type="dxa"/>
              <w:right w:w="100" w:type="dxa"/>
            </w:tcMar>
          </w:tcPr>
          <w:p w:rsidR="00000000" w:rsidRDefault="00000000" w14:paraId="7A000046">
            <w:pPr>
              <w:rPr/>
            </w:pPr>
            <w:r>
              <w:rPr>
                <w:sz w:val="19"/>
                <w:szCs w:val="19"/>
              </w:rPr>
              <w:t xml:space="preserve">Provisioned but unused compute over the interval</w:t>
            </w:r>
          </w:p>
        </w:tc>
        <w:tc>
          <w:tcPr>
            <w:tcW w:w="1280" w:type="dxa"/>
            <w:tcMar>
              <w:top w:w="80" w:type="dxa"/>
              <w:left w:w="100" w:type="dxa"/>
              <w:bottom w:w="80" w:type="dxa"/>
              <w:right w:w="100" w:type="dxa"/>
            </w:tcMar>
          </w:tcPr>
          <w:p w:rsidR="00000000" w:rsidRDefault="00000000" w14:paraId="7A000047">
            <w:pPr>
              <w:rPr/>
            </w:pPr>
            <w:r>
              <w:rPr>
                <w:sz w:val="19"/>
                <w:szCs w:val="19"/>
              </w:rPr>
              <w:t xml:space="preserve">GPU-hr / vCPU-hr</w:t>
            </w:r>
          </w:p>
        </w:tc>
        <w:tc>
          <w:tcPr>
            <w:tcW w:w="1280" w:type="dxa"/>
            <w:tcMar>
              <w:top w:w="80" w:type="dxa"/>
              <w:left w:w="100" w:type="dxa"/>
              <w:bottom w:w="80" w:type="dxa"/>
              <w:right w:w="100" w:type="dxa"/>
            </w:tcMar>
          </w:tcPr>
          <w:p w:rsidR="00000000" w:rsidRDefault="00000000" w14:paraId="7A000048">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49">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A">
            <w:pPr>
              <w:rPr/>
            </w:pPr>
            <w:r>
              <w:rPr>
                <w:sz w:val="19"/>
                <w:szCs w:val="19"/>
              </w:rPr>
              <w:t xml:space="preserve">BTC</w:t>
            </w:r>
          </w:p>
        </w:tc>
        <w:tc>
          <w:tcPr>
            <w:tcW w:w="2240" w:type="dxa"/>
            <w:tcMar>
              <w:top w:w="80" w:type="dxa"/>
              <w:left w:w="100" w:type="dxa"/>
              <w:bottom w:w="80" w:type="dxa"/>
              <w:right w:w="100" w:type="dxa"/>
            </w:tcMar>
          </w:tcPr>
          <w:p w:rsidR="00000000" w:rsidRDefault="00000000" w14:paraId="7A00004B">
            <w:pPr>
              <w:rPr/>
            </w:pPr>
            <w:r>
              <w:rPr>
                <w:sz w:val="19"/>
                <w:szCs w:val="19"/>
              </w:rPr>
              <w:t xml:space="preserve">Batchable Real-Time Calls</w:t>
            </w:r>
          </w:p>
        </w:tc>
        <w:tc>
          <w:tcPr>
            <w:tcW w:w="2720" w:type="dxa"/>
            <w:tcMar>
              <w:top w:w="80" w:type="dxa"/>
              <w:left w:w="100" w:type="dxa"/>
              <w:bottom w:w="80" w:type="dxa"/>
              <w:right w:w="100" w:type="dxa"/>
            </w:tcMar>
          </w:tcPr>
          <w:p w:rsidR="00000000" w:rsidRDefault="00000000" w14:paraId="7A00004C">
            <w:pPr>
              <w:rPr/>
            </w:pPr>
            <w:r>
              <w:rPr>
                <w:sz w:val="19"/>
                <w:szCs w:val="19"/>
              </w:rPr>
              <w:t xml:space="preserve">Latency-tolerant calls executed synchronously instead of batched</w:t>
            </w:r>
          </w:p>
        </w:tc>
        <w:tc>
          <w:tcPr>
            <w:tcW w:w="1280" w:type="dxa"/>
            <w:tcMar>
              <w:top w:w="80" w:type="dxa"/>
              <w:left w:w="100" w:type="dxa"/>
              <w:bottom w:w="80" w:type="dxa"/>
              <w:right w:w="100" w:type="dxa"/>
            </w:tcMar>
          </w:tcPr>
          <w:p w:rsidR="00000000" w:rsidRDefault="00000000" w14:paraId="7A00004D">
            <w:pPr>
              <w:rPr/>
            </w:pPr>
            <w:r>
              <w:rPr>
                <w:sz w:val="19"/>
                <w:szCs w:val="19"/>
              </w:rPr>
              <w:t xml:space="preserve">% of calls</w:t>
            </w:r>
          </w:p>
        </w:tc>
        <w:tc>
          <w:tcPr>
            <w:tcW w:w="1280" w:type="dxa"/>
            <w:tcMar>
              <w:top w:w="80" w:type="dxa"/>
              <w:left w:w="100" w:type="dxa"/>
              <w:bottom w:w="80" w:type="dxa"/>
              <w:right w:w="100" w:type="dxa"/>
            </w:tcMar>
          </w:tcPr>
          <w:p w:rsidR="00000000" w:rsidRDefault="00000000" w14:paraId="7A00004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4F">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50">
            <w:pPr>
              <w:rPr/>
            </w:pPr>
            <w:r>
              <w:rPr>
                <w:sz w:val="19"/>
                <w:szCs w:val="19"/>
              </w:rPr>
              <w:t xml:space="preserve">GCI</w:t>
            </w:r>
          </w:p>
        </w:tc>
        <w:tc>
          <w:tcPr>
            <w:tcW w:w="2240" w:type="dxa"/>
            <w:tcMar>
              <w:top w:w="80" w:type="dxa"/>
              <w:left w:w="100" w:type="dxa"/>
              <w:bottom w:w="80" w:type="dxa"/>
              <w:right w:w="100" w:type="dxa"/>
            </w:tcMar>
          </w:tcPr>
          <w:p w:rsidR="00000000" w:rsidRDefault="00000000" w14:paraId="7A000051">
            <w:pPr>
              <w:rPr/>
            </w:pPr>
            <w:r>
              <w:rPr>
                <w:sz w:val="19"/>
                <w:szCs w:val="19"/>
              </w:rPr>
              <w:t xml:space="preserve">Grid Carbon Intensity at Run</w:t>
            </w:r>
          </w:p>
        </w:tc>
        <w:tc>
          <w:tcPr>
            <w:tcW w:w="2720" w:type="dxa"/>
            <w:tcMar>
              <w:top w:w="80" w:type="dxa"/>
              <w:left w:w="100" w:type="dxa"/>
              <w:bottom w:w="80" w:type="dxa"/>
              <w:right w:w="100" w:type="dxa"/>
            </w:tcMar>
          </w:tcPr>
          <w:p w:rsidR="00000000" w:rsidRDefault="00000000" w14:paraId="7A000052">
            <w:pPr>
              <w:rPr/>
            </w:pPr>
            <w:r>
              <w:rPr>
                <w:sz w:val="19"/>
                <w:szCs w:val="19"/>
              </w:rPr>
              <w:t xml:space="preserve">Carbon intensity of the grid for the region and hour the call ran (§8.6)</w:t>
            </w:r>
          </w:p>
        </w:tc>
        <w:tc>
          <w:tcPr>
            <w:tcW w:w="1280" w:type="dxa"/>
            <w:tcMar>
              <w:top w:w="80" w:type="dxa"/>
              <w:left w:w="100" w:type="dxa"/>
              <w:bottom w:w="80" w:type="dxa"/>
              <w:right w:w="100" w:type="dxa"/>
            </w:tcMar>
          </w:tcPr>
          <w:p w:rsidR="00000000" w:rsidRDefault="00000000" w14:paraId="7A000053">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5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56">
            <w:pPr>
              <w:rPr/>
            </w:pPr>
            <w:r>
              <w:rPr>
                <w:sz w:val="19"/>
                <w:szCs w:val="19"/>
              </w:rPr>
              <w:t xml:space="preserve">CWD</w:t>
            </w:r>
          </w:p>
        </w:tc>
        <w:tc>
          <w:tcPr>
            <w:tcW w:w="2240" w:type="dxa"/>
            <w:tcMar>
              <w:top w:w="80" w:type="dxa"/>
              <w:left w:w="100" w:type="dxa"/>
              <w:bottom w:w="80" w:type="dxa"/>
              <w:right w:w="100" w:type="dxa"/>
            </w:tcMar>
          </w:tcPr>
          <w:p w:rsidR="00000000" w:rsidRDefault="00000000" w14:paraId="7A000057">
            <w:pPr>
              <w:rPr/>
            </w:pPr>
            <w:r>
              <w:rPr>
                <w:sz w:val="19"/>
                <w:szCs w:val="19"/>
              </w:rPr>
              <w:t xml:space="preserve">Cleanest Window Delta</w:t>
            </w:r>
          </w:p>
        </w:tc>
        <w:tc>
          <w:tcPr>
            <w:tcW w:w="2720" w:type="dxa"/>
            <w:tcMar>
              <w:top w:w="80" w:type="dxa"/>
              <w:left w:w="100" w:type="dxa"/>
              <w:bottom w:w="80" w:type="dxa"/>
              <w:right w:w="100" w:type="dxa"/>
            </w:tcMar>
          </w:tcPr>
          <w:p w:rsidR="00000000" w:rsidRDefault="00000000" w14:paraId="7A000058">
            <w:pPr>
              <w:rPr/>
            </w:pPr>
            <w:r>
              <w:rPr>
                <w:sz w:val="19"/>
                <w:szCs w:val="19"/>
              </w:rPr>
              <w:t xml:space="preserve">Difference between GCI at run time and the lowest GCI available within the job’s allowed window</w:t>
            </w:r>
          </w:p>
        </w:tc>
        <w:tc>
          <w:tcPr>
            <w:tcW w:w="1280" w:type="dxa"/>
            <w:tcMar>
              <w:top w:w="80" w:type="dxa"/>
              <w:left w:w="100" w:type="dxa"/>
              <w:bottom w:w="80" w:type="dxa"/>
              <w:right w:w="100" w:type="dxa"/>
            </w:tcMar>
          </w:tcPr>
          <w:p w:rsidR="00000000" w:rsidRDefault="00000000" w14:paraId="7A000059">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A">
            <w:pPr>
              <w:rPr/>
            </w:pPr>
            <w:r>
              <w:rPr>
                <w:sz w:val="19"/>
                <w:szCs w:val="19"/>
              </w:rPr>
              <w:t xml:space="preserve">Per job</w:t>
            </w:r>
          </w:p>
        </w:tc>
        <w:tc>
          <w:tcPr>
            <w:tcW w:w="1120" w:type="dxa"/>
            <w:tcMar>
              <w:top w:w="80" w:type="dxa"/>
              <w:left w:w="100" w:type="dxa"/>
              <w:bottom w:w="80" w:type="dxa"/>
              <w:right w:w="100" w:type="dxa"/>
            </w:tcMar>
          </w:tcPr>
          <w:p w:rsidR="00000000" w:rsidRDefault="00000000" w14:paraId="7A00005B">
            <w:pPr>
              <w:rPr/>
            </w:pPr>
            <w:r>
              <w:rPr>
                <w:sz w:val="19"/>
                <w:szCs w:val="19"/>
              </w:rPr>
              <w:t xml:space="preserve">Infra</w:t>
            </w:r>
          </w:p>
        </w:tc>
      </w:tr>
    </w:tbl>
    <w:p w:rsidR="00000000" w:rsidRDefault="00000000" w14:paraId="7A00005C">
      <w:pPr>
        <w:spacing w:after="120"/>
        <w:rPr/>
      </w:pPr>
    </w:p>
    <w:p w:rsidR="00000000" w:rsidRDefault="00000000" w14:paraId="7A00005D">
      <w:pPr>
        <w:pStyle w:val="Heading2"/>
        <w:spacing w:after="120" w:before="280" w:lineRule="auto"/>
        <w:rPr/>
      </w:pPr>
      <w:r>
        <w:rPr>
          <w:b w:val="1"/>
          <w:bCs w:val="1"/>
          <w:color w:val="1e7a4c"/>
          <w:sz w:val="24"/>
          <w:szCs w:val="24"/>
        </w:rPr>
        <w:t xml:space="preserve">21.3 Derived Scores and Indexes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5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5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6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6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6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63">
            <w:pPr>
              <w:rPr/>
            </w:pPr>
            <w:r>
              <w:rPr>
                <w:b w:val="1"/>
                <w:bCs w:val="1"/>
                <w:color w:val="ffffff"/>
                <w:sz w:val="19"/>
                <w:szCs w:val="19"/>
              </w:rPr>
              <w:t xml:space="preserve">Scope</w:t>
            </w:r>
          </w:p>
        </w:tc>
      </w:tr>
      <w:tr>
        <w:trPr>
          <w:cantSplit/>
        </w:trPr>
        <w:tc>
          <w:tcPr>
            <w:tcW w:w="960" w:type="dxa"/>
            <w:tcMar>
              <w:top w:w="80" w:type="dxa"/>
              <w:left w:w="100" w:type="dxa"/>
              <w:bottom w:w="80" w:type="dxa"/>
              <w:right w:w="100" w:type="dxa"/>
            </w:tcMar>
          </w:tcPr>
          <w:p w:rsidR="00000000" w:rsidRDefault="00000000" w14:paraId="7A000064">
            <w:pPr>
              <w:rPr/>
            </w:pPr>
            <w:r>
              <w:rPr>
                <w:sz w:val="19"/>
                <w:szCs w:val="19"/>
              </w:rPr>
              <w:t xml:space="preserve">D-MFS</w:t>
            </w:r>
          </w:p>
        </w:tc>
        <w:tc>
          <w:tcPr>
            <w:tcW w:w="2240" w:type="dxa"/>
            <w:tcMar>
              <w:top w:w="80" w:type="dxa"/>
              <w:left w:w="100" w:type="dxa"/>
              <w:bottom w:w="80" w:type="dxa"/>
              <w:right w:w="100" w:type="dxa"/>
            </w:tcMar>
          </w:tcPr>
          <w:p w:rsidR="00000000" w:rsidRDefault="00000000" w14:paraId="7A000065">
            <w:pPr>
              <w:rPr/>
            </w:pPr>
            <w:r>
              <w:rPr>
                <w:sz w:val="19"/>
                <w:szCs w:val="19"/>
              </w:rPr>
              <w:t xml:space="preserve">Model Fit Sub-score</w:t>
            </w:r>
          </w:p>
        </w:tc>
        <w:tc>
          <w:tcPr>
            <w:tcW w:w="2720" w:type="dxa"/>
            <w:tcMar>
              <w:top w:w="80" w:type="dxa"/>
              <w:left w:w="100" w:type="dxa"/>
              <w:bottom w:w="80" w:type="dxa"/>
              <w:right w:w="100" w:type="dxa"/>
            </w:tcMar>
          </w:tcPr>
          <w:p w:rsidR="00000000" w:rsidRDefault="00000000" w14:paraId="7A000066">
            <w:pPr>
              <w:rPr/>
            </w:pPr>
            <w:r>
              <w:rPr>
                <w:sz w:val="19"/>
                <w:szCs w:val="19"/>
              </w:rPr>
              <w:t xml:space="preserve">Normalized from MFP and MTR; 100 = smallest adequate model in use</w:t>
            </w:r>
          </w:p>
        </w:tc>
        <w:tc>
          <w:tcPr>
            <w:tcW w:w="1280" w:type="dxa"/>
            <w:tcMar>
              <w:top w:w="80" w:type="dxa"/>
              <w:left w:w="100" w:type="dxa"/>
              <w:bottom w:w="80" w:type="dxa"/>
              <w:right w:w="100" w:type="dxa"/>
            </w:tcMar>
          </w:tcPr>
          <w:p w:rsidR="00000000" w:rsidRDefault="00000000" w14:paraId="7A000067">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9">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6A">
            <w:pPr>
              <w:rPr/>
            </w:pPr>
            <w:r>
              <w:rPr>
                <w:sz w:val="19"/>
                <w:szCs w:val="19"/>
              </w:rPr>
              <w:t xml:space="preserve">D-TES</w:t>
            </w:r>
          </w:p>
        </w:tc>
        <w:tc>
          <w:tcPr>
            <w:tcW w:w="2240" w:type="dxa"/>
            <w:tcMar>
              <w:top w:w="80" w:type="dxa"/>
              <w:left w:w="100" w:type="dxa"/>
              <w:bottom w:w="80" w:type="dxa"/>
              <w:right w:w="100" w:type="dxa"/>
            </w:tcMar>
          </w:tcPr>
          <w:p w:rsidR="00000000" w:rsidRDefault="00000000" w14:paraId="7A00006B">
            <w:pPr>
              <w:rPr/>
            </w:pPr>
            <w:r>
              <w:rPr>
                <w:sz w:val="19"/>
                <w:szCs w:val="19"/>
              </w:rPr>
              <w:t xml:space="preserve">Token Efficiency Sub-score</w:t>
            </w:r>
          </w:p>
        </w:tc>
        <w:tc>
          <w:tcPr>
            <w:tcW w:w="2720" w:type="dxa"/>
            <w:tcMar>
              <w:top w:w="80" w:type="dxa"/>
              <w:left w:w="100" w:type="dxa"/>
              <w:bottom w:w="80" w:type="dxa"/>
              <w:right w:w="100" w:type="dxa"/>
            </w:tcMar>
          </w:tcPr>
          <w:p w:rsidR="00000000" w:rsidRDefault="00000000" w14:paraId="7A00006C">
            <w:pPr>
              <w:rPr/>
            </w:pPr>
            <w:r>
              <w:rPr>
                <w:sz w:val="19"/>
                <w:szCs w:val="19"/>
              </w:rPr>
              <w:t xml:space="preserve">Normalized from TIO, CXB, CHR and RTR</w:t>
            </w:r>
          </w:p>
        </w:tc>
        <w:tc>
          <w:tcPr>
            <w:tcW w:w="1280" w:type="dxa"/>
            <w:tcMar>
              <w:top w:w="80" w:type="dxa"/>
              <w:left w:w="100" w:type="dxa"/>
              <w:bottom w:w="80" w:type="dxa"/>
              <w:right w:w="100" w:type="dxa"/>
            </w:tcMar>
          </w:tcPr>
          <w:p w:rsidR="00000000" w:rsidRDefault="00000000" w14:paraId="7A00006D">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F">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0">
            <w:pPr>
              <w:rPr/>
            </w:pPr>
            <w:r>
              <w:rPr>
                <w:sz w:val="19"/>
                <w:szCs w:val="19"/>
              </w:rPr>
              <w:t xml:space="preserve">D-UTS</w:t>
            </w:r>
          </w:p>
        </w:tc>
        <w:tc>
          <w:tcPr>
            <w:tcW w:w="2240" w:type="dxa"/>
            <w:tcMar>
              <w:top w:w="80" w:type="dxa"/>
              <w:left w:w="100" w:type="dxa"/>
              <w:bottom w:w="80" w:type="dxa"/>
              <w:right w:w="100" w:type="dxa"/>
            </w:tcMar>
          </w:tcPr>
          <w:p w:rsidR="00000000" w:rsidRDefault="00000000" w14:paraId="7A000071">
            <w:pPr>
              <w:rPr/>
            </w:pPr>
            <w:r>
              <w:rPr>
                <w:sz w:val="19"/>
                <w:szCs w:val="19"/>
              </w:rPr>
              <w:t xml:space="preserve">Utilization Sub-score</w:t>
            </w:r>
          </w:p>
        </w:tc>
        <w:tc>
          <w:tcPr>
            <w:tcW w:w="2720" w:type="dxa"/>
            <w:tcMar>
              <w:top w:w="80" w:type="dxa"/>
              <w:left w:w="100" w:type="dxa"/>
              <w:bottom w:w="80" w:type="dxa"/>
              <w:right w:w="100" w:type="dxa"/>
            </w:tcMar>
          </w:tcPr>
          <w:p w:rsidR="00000000" w:rsidRDefault="00000000" w14:paraId="7A000072">
            <w:pPr>
              <w:rPr/>
            </w:pPr>
            <w:r>
              <w:rPr>
                <w:sz w:val="19"/>
                <w:szCs w:val="19"/>
              </w:rPr>
              <w:t xml:space="preserve">Normalized from GPU, IDC and BTC</w:t>
            </w:r>
          </w:p>
        </w:tc>
        <w:tc>
          <w:tcPr>
            <w:tcW w:w="1280" w:type="dxa"/>
            <w:tcMar>
              <w:top w:w="80" w:type="dxa"/>
              <w:left w:w="100" w:type="dxa"/>
              <w:bottom w:w="80" w:type="dxa"/>
              <w:right w:w="100" w:type="dxa"/>
            </w:tcMar>
          </w:tcPr>
          <w:p w:rsidR="00000000" w:rsidRDefault="00000000" w14:paraId="7A000073">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4">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5">
            <w:pPr>
              <w:rPr/>
            </w:pPr>
            <w:r>
              <w:rPr>
                <w:sz w:val="19"/>
                <w:szCs w:val="19"/>
              </w:rPr>
              <w:t xml:space="preserve">Infra workloads</w:t>
            </w:r>
          </w:p>
        </w:tc>
      </w:tr>
      <w:tr>
        <w:trPr>
          <w:cantSplit/>
        </w:trPr>
        <w:tc>
          <w:tcPr>
            <w:tcW w:w="960" w:type="dxa"/>
            <w:tcMar>
              <w:top w:w="80" w:type="dxa"/>
              <w:left w:w="100" w:type="dxa"/>
              <w:bottom w:w="80" w:type="dxa"/>
              <w:right w:w="100" w:type="dxa"/>
            </w:tcMar>
          </w:tcPr>
          <w:p w:rsidR="00000000" w:rsidRDefault="00000000" w14:paraId="7A000076">
            <w:pPr>
              <w:rPr/>
            </w:pPr>
            <w:r>
              <w:rPr>
                <w:sz w:val="19"/>
                <w:szCs w:val="19"/>
              </w:rPr>
              <w:t xml:space="preserve">D-CTS</w:t>
            </w:r>
          </w:p>
        </w:tc>
        <w:tc>
          <w:tcPr>
            <w:tcW w:w="2240" w:type="dxa"/>
            <w:tcMar>
              <w:top w:w="80" w:type="dxa"/>
              <w:left w:w="100" w:type="dxa"/>
              <w:bottom w:w="80" w:type="dxa"/>
              <w:right w:w="100" w:type="dxa"/>
            </w:tcMar>
          </w:tcPr>
          <w:p w:rsidR="00000000" w:rsidRDefault="00000000" w14:paraId="7A000077">
            <w:pPr>
              <w:rPr/>
            </w:pPr>
            <w:r>
              <w:rPr>
                <w:sz w:val="19"/>
                <w:szCs w:val="19"/>
              </w:rPr>
              <w:t xml:space="preserve">Carbon Timing Sub-score</w:t>
            </w:r>
          </w:p>
        </w:tc>
        <w:tc>
          <w:tcPr>
            <w:tcW w:w="2720" w:type="dxa"/>
            <w:tcMar>
              <w:top w:w="80" w:type="dxa"/>
              <w:left w:w="100" w:type="dxa"/>
              <w:bottom w:w="80" w:type="dxa"/>
              <w:right w:w="100" w:type="dxa"/>
            </w:tcMar>
          </w:tcPr>
          <w:p w:rsidR="00000000" w:rsidRDefault="00000000" w14:paraId="7A000078">
            <w:pPr>
              <w:rPr/>
            </w:pPr>
            <w:r>
              <w:rPr>
                <w:sz w:val="19"/>
                <w:szCs w:val="19"/>
              </w:rPr>
              <w:t xml:space="preserve">Normalized from GCI and CWD</w:t>
            </w:r>
          </w:p>
        </w:tc>
        <w:tc>
          <w:tcPr>
            <w:tcW w:w="1280" w:type="dxa"/>
            <w:tcMar>
              <w:top w:w="80" w:type="dxa"/>
              <w:left w:w="100" w:type="dxa"/>
              <w:bottom w:w="80" w:type="dxa"/>
              <w:right w:w="100" w:type="dxa"/>
            </w:tcMar>
          </w:tcPr>
          <w:p w:rsidR="00000000" w:rsidRDefault="00000000" w14:paraId="7A000079">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B">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C">
            <w:pPr>
              <w:rPr/>
            </w:pPr>
            <w:r>
              <w:rPr>
                <w:sz w:val="19"/>
                <w:szCs w:val="19"/>
              </w:rPr>
              <w:t xml:space="preserve">D-RSS</w:t>
            </w:r>
          </w:p>
        </w:tc>
        <w:tc>
          <w:tcPr>
            <w:tcW w:w="2240" w:type="dxa"/>
            <w:tcMar>
              <w:top w:w="80" w:type="dxa"/>
              <w:left w:w="100" w:type="dxa"/>
              <w:bottom w:w="80" w:type="dxa"/>
              <w:right w:w="100" w:type="dxa"/>
            </w:tcMar>
          </w:tcPr>
          <w:p w:rsidR="00000000" w:rsidRDefault="00000000" w14:paraId="7A00007D">
            <w:pPr>
              <w:rPr/>
            </w:pPr>
            <w:r>
              <w:rPr>
                <w:sz w:val="19"/>
                <w:szCs w:val="19"/>
              </w:rPr>
              <w:t xml:space="preserve">Right-Size Score</w:t>
            </w:r>
          </w:p>
        </w:tc>
        <w:tc>
          <w:tcPr>
            <w:tcW w:w="2720" w:type="dxa"/>
            <w:tcMar>
              <w:top w:w="80" w:type="dxa"/>
              <w:left w:w="100" w:type="dxa"/>
              <w:bottom w:w="80" w:type="dxa"/>
              <w:right w:w="100" w:type="dxa"/>
            </w:tcMar>
          </w:tcPr>
          <w:p w:rsidR="00000000" w:rsidRDefault="00000000" w14:paraId="7A00007E">
            <w:pPr>
              <w:rPr/>
            </w:pPr>
            <w:r>
              <w:rPr>
                <w:sz w:val="19"/>
                <w:szCs w:val="19"/>
              </w:rPr>
              <w:t xml:space="preserve">Weighted composite of the four sub-scores (§21.4)</w:t>
            </w:r>
          </w:p>
        </w:tc>
        <w:tc>
          <w:tcPr>
            <w:tcW w:w="1280" w:type="dxa"/>
            <w:tcMar>
              <w:top w:w="80" w:type="dxa"/>
              <w:left w:w="100" w:type="dxa"/>
              <w:bottom w:w="80" w:type="dxa"/>
              <w:right w:w="100" w:type="dxa"/>
            </w:tcMar>
          </w:tcPr>
          <w:p w:rsidR="00000000" w:rsidRDefault="00000000" w14:paraId="7A00007F">
            <w:pPr>
              <w:rPr/>
            </w:pPr>
            <w:r>
              <w:rPr>
                <w:sz w:val="19"/>
                <w:szCs w:val="19"/>
              </w:rPr>
              <w:t xml:space="preserve">0–100</w:t>
            </w:r>
          </w:p>
        </w:tc>
        <w:tc>
          <w:tcPr>
            <w:tcW w:w="1280" w:type="dxa"/>
            <w:tcMar>
              <w:top w:w="80" w:type="dxa"/>
              <w:left w:w="100" w:type="dxa"/>
              <w:bottom w:w="80" w:type="dxa"/>
              <w:right w:w="100" w:type="dxa"/>
            </w:tcMar>
          </w:tcPr>
          <w:p w:rsidR="00000000" w:rsidRDefault="00000000" w14:paraId="7A000080">
            <w:pPr>
              <w:rPr/>
            </w:pPr>
            <w:r>
              <w:rPr>
                <w:sz w:val="19"/>
                <w:szCs w:val="19"/>
              </w:rPr>
              <w:t xml:space="preserve">Daily / rolling 30-day</w:t>
            </w:r>
          </w:p>
        </w:tc>
        <w:tc>
          <w:tcPr>
            <w:tcW w:w="1120" w:type="dxa"/>
            <w:tcMar>
              <w:top w:w="80" w:type="dxa"/>
              <w:left w:w="100" w:type="dxa"/>
              <w:bottom w:w="80" w:type="dxa"/>
              <w:right w:w="100" w:type="dxa"/>
            </w:tcMar>
          </w:tcPr>
          <w:p w:rsidR="00000000" w:rsidRDefault="00000000" w14:paraId="7A000081">
            <w:pPr>
              <w:rPr/>
            </w:pPr>
            <w:r>
              <w:rPr>
                <w:sz w:val="19"/>
                <w:szCs w:val="19"/>
              </w:rPr>
              <w:t xml:space="preserve">Workload, team, org</w:t>
            </w:r>
          </w:p>
        </w:tc>
      </w:tr>
      <w:tr>
        <w:trPr>
          <w:cantSplit/>
        </w:trPr>
        <w:tc>
          <w:tcPr>
            <w:tcW w:w="960" w:type="dxa"/>
            <w:tcMar>
              <w:top w:w="80" w:type="dxa"/>
              <w:left w:w="100" w:type="dxa"/>
              <w:bottom w:w="80" w:type="dxa"/>
              <w:right w:w="100" w:type="dxa"/>
            </w:tcMar>
          </w:tcPr>
          <w:p w:rsidR="00000000" w:rsidRDefault="00000000" w14:paraId="7A000082">
            <w:pPr>
              <w:rPr/>
            </w:pPr>
            <w:r>
              <w:rPr>
                <w:sz w:val="19"/>
                <w:szCs w:val="19"/>
              </w:rPr>
              <w:t xml:space="preserve">D-EIC</w:t>
            </w:r>
          </w:p>
        </w:tc>
        <w:tc>
          <w:tcPr>
            <w:tcW w:w="2240" w:type="dxa"/>
            <w:tcMar>
              <w:top w:w="80" w:type="dxa"/>
              <w:left w:w="100" w:type="dxa"/>
              <w:bottom w:w="80" w:type="dxa"/>
              <w:right w:w="100" w:type="dxa"/>
            </w:tcMar>
          </w:tcPr>
          <w:p w:rsidR="00000000" w:rsidRDefault="00000000" w14:paraId="7A000083">
            <w:pPr>
              <w:rPr/>
            </w:pPr>
            <w:r>
              <w:rPr>
                <w:sz w:val="19"/>
                <w:szCs w:val="19"/>
              </w:rPr>
              <w:t xml:space="preserve">Efficiency Index (Cost)</w:t>
            </w:r>
          </w:p>
        </w:tc>
        <w:tc>
          <w:tcPr>
            <w:tcW w:w="2720" w:type="dxa"/>
            <w:tcMar>
              <w:top w:w="80" w:type="dxa"/>
              <w:left w:w="100" w:type="dxa"/>
              <w:bottom w:w="80" w:type="dxa"/>
              <w:right w:w="100" w:type="dxa"/>
            </w:tcMar>
          </w:tcPr>
          <w:p w:rsidR="00000000" w:rsidRDefault="00000000" w14:paraId="7A000084">
            <w:pPr>
              <w:rPr/>
            </w:pPr>
            <w:r>
              <w:rPr>
                <w:sz w:val="19"/>
                <w:szCs w:val="19"/>
              </w:rPr>
              <w:t xml:space="preserve">Useful outputs (UOC) per dollar of AI spend</w:t>
            </w:r>
          </w:p>
        </w:tc>
        <w:tc>
          <w:tcPr>
            <w:tcW w:w="1280" w:type="dxa"/>
            <w:tcMar>
              <w:top w:w="80" w:type="dxa"/>
              <w:left w:w="100" w:type="dxa"/>
              <w:bottom w:w="80" w:type="dxa"/>
              <w:right w:w="100" w:type="dxa"/>
            </w:tcMar>
          </w:tcPr>
          <w:p w:rsidR="00000000" w:rsidRDefault="00000000" w14:paraId="7A000085">
            <w:pPr>
              <w:rPr/>
            </w:pPr>
            <w:r>
              <w:rPr>
                <w:sz w:val="19"/>
                <w:szCs w:val="19"/>
              </w:rPr>
              <w:t xml:space="preserve">UOC/$</w:t>
            </w:r>
          </w:p>
        </w:tc>
        <w:tc>
          <w:tcPr>
            <w:tcW w:w="1280" w:type="dxa"/>
            <w:tcMar>
              <w:top w:w="80" w:type="dxa"/>
              <w:left w:w="100" w:type="dxa"/>
              <w:bottom w:w="80" w:type="dxa"/>
              <w:right w:w="100" w:type="dxa"/>
            </w:tcMar>
          </w:tcPr>
          <w:p w:rsidR="00000000" w:rsidRDefault="00000000" w14:paraId="7A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7">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8">
            <w:pPr>
              <w:rPr/>
            </w:pPr>
            <w:r>
              <w:rPr>
                <w:sz w:val="19"/>
                <w:szCs w:val="19"/>
              </w:rPr>
              <w:t xml:space="preserve">D-EIE</w:t>
            </w:r>
          </w:p>
        </w:tc>
        <w:tc>
          <w:tcPr>
            <w:tcW w:w="2240" w:type="dxa"/>
            <w:tcMar>
              <w:top w:w="80" w:type="dxa"/>
              <w:left w:w="100" w:type="dxa"/>
              <w:bottom w:w="80" w:type="dxa"/>
              <w:right w:w="100" w:type="dxa"/>
            </w:tcMar>
          </w:tcPr>
          <w:p w:rsidR="00000000" w:rsidRDefault="00000000" w14:paraId="7A000089">
            <w:pPr>
              <w:rPr/>
            </w:pPr>
            <w:r>
              <w:rPr>
                <w:sz w:val="19"/>
                <w:szCs w:val="19"/>
              </w:rPr>
              <w:t xml:space="preserve">Efficiency Index (Energy)</w:t>
            </w:r>
          </w:p>
        </w:tc>
        <w:tc>
          <w:tcPr>
            <w:tcW w:w="2720" w:type="dxa"/>
            <w:tcMar>
              <w:top w:w="80" w:type="dxa"/>
              <w:left w:w="100" w:type="dxa"/>
              <w:bottom w:w="80" w:type="dxa"/>
              <w:right w:w="100" w:type="dxa"/>
            </w:tcMar>
          </w:tcPr>
          <w:p w:rsidR="00000000" w:rsidRDefault="00000000" w14:paraId="7A00008A">
            <w:pPr>
              <w:rPr/>
            </w:pPr>
            <w:r>
              <w:rPr>
                <w:sz w:val="19"/>
                <w:szCs w:val="19"/>
              </w:rPr>
              <w:t xml:space="preserve">Useful outputs per kWh</w:t>
            </w:r>
          </w:p>
        </w:tc>
        <w:tc>
          <w:tcPr>
            <w:tcW w:w="1280" w:type="dxa"/>
            <w:tcMar>
              <w:top w:w="80" w:type="dxa"/>
              <w:left w:w="100" w:type="dxa"/>
              <w:bottom w:w="80" w:type="dxa"/>
              <w:right w:w="100" w:type="dxa"/>
            </w:tcMar>
          </w:tcPr>
          <w:p w:rsidR="00000000" w:rsidRDefault="00000000" w14:paraId="7A00008B">
            <w:pPr>
              <w:rPr/>
            </w:pPr>
            <w:r>
              <w:rPr>
                <w:sz w:val="19"/>
                <w:szCs w:val="19"/>
              </w:rPr>
              <w:t xml:space="preserve">UOC/kWh</w:t>
            </w:r>
          </w:p>
        </w:tc>
        <w:tc>
          <w:tcPr>
            <w:tcW w:w="1280" w:type="dxa"/>
            <w:tcMar>
              <w:top w:w="80" w:type="dxa"/>
              <w:left w:w="100" w:type="dxa"/>
              <w:bottom w:w="80" w:type="dxa"/>
              <w:right w:w="100" w:type="dxa"/>
            </w:tcMar>
          </w:tcPr>
          <w:p w:rsidR="00000000" w:rsidRDefault="00000000" w14:paraId="7A00008C">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D">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E">
            <w:pPr>
              <w:rPr/>
            </w:pPr>
            <w:r>
              <w:rPr>
                <w:sz w:val="19"/>
                <w:szCs w:val="19"/>
              </w:rPr>
              <w:t xml:space="preserve">D-EIG</w:t>
            </w:r>
          </w:p>
        </w:tc>
        <w:tc>
          <w:tcPr>
            <w:tcW w:w="2240" w:type="dxa"/>
            <w:tcMar>
              <w:top w:w="80" w:type="dxa"/>
              <w:left w:w="100" w:type="dxa"/>
              <w:bottom w:w="80" w:type="dxa"/>
              <w:right w:w="100" w:type="dxa"/>
            </w:tcMar>
          </w:tcPr>
          <w:p w:rsidR="00000000" w:rsidRDefault="00000000" w14:paraId="7A00008F">
            <w:pPr>
              <w:rPr/>
            </w:pPr>
            <w:r>
              <w:rPr>
                <w:sz w:val="19"/>
                <w:szCs w:val="19"/>
              </w:rPr>
              <w:t xml:space="preserve">Efficiency Index (Carbon)</w:t>
            </w:r>
          </w:p>
        </w:tc>
        <w:tc>
          <w:tcPr>
            <w:tcW w:w="2720" w:type="dxa"/>
            <w:tcMar>
              <w:top w:w="80" w:type="dxa"/>
              <w:left w:w="100" w:type="dxa"/>
              <w:bottom w:w="80" w:type="dxa"/>
              <w:right w:w="100" w:type="dxa"/>
            </w:tcMar>
          </w:tcPr>
          <w:p w:rsidR="00000000" w:rsidRDefault="00000000" w14:paraId="7A000090">
            <w:pPr>
              <w:rPr/>
            </w:pPr>
            <w:r>
              <w:rPr>
                <w:sz w:val="19"/>
                <w:szCs w:val="19"/>
              </w:rPr>
              <w:t xml:space="preserve">Useful outputs per kg CO2e</w:t>
            </w:r>
          </w:p>
        </w:tc>
        <w:tc>
          <w:tcPr>
            <w:tcW w:w="1280" w:type="dxa"/>
            <w:tcMar>
              <w:top w:w="80" w:type="dxa"/>
              <w:left w:w="100" w:type="dxa"/>
              <w:bottom w:w="80" w:type="dxa"/>
              <w:right w:w="100" w:type="dxa"/>
            </w:tcMar>
          </w:tcPr>
          <w:p w:rsidR="00000000" w:rsidRDefault="00000000" w14:paraId="7A000091">
            <w:pPr>
              <w:rPr/>
            </w:pPr>
            <w:r>
              <w:rPr>
                <w:sz w:val="19"/>
                <w:szCs w:val="19"/>
              </w:rPr>
              <w:t xml:space="preserve">UOC/kgCO2e</w:t>
            </w:r>
          </w:p>
        </w:tc>
        <w:tc>
          <w:tcPr>
            <w:tcW w:w="1280" w:type="dxa"/>
            <w:tcMar>
              <w:top w:w="80" w:type="dxa"/>
              <w:left w:w="100" w:type="dxa"/>
              <w:bottom w:w="80" w:type="dxa"/>
              <w:right w:w="100" w:type="dxa"/>
            </w:tcMar>
          </w:tcPr>
          <w:p w:rsidR="00000000" w:rsidRDefault="00000000" w14:paraId="7A000092">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3">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94">
            <w:pPr>
              <w:rPr/>
            </w:pPr>
            <w:r>
              <w:rPr>
                <w:sz w:val="19"/>
                <w:szCs w:val="19"/>
              </w:rPr>
              <w:t xml:space="preserve">D-SAV</w:t>
            </w:r>
          </w:p>
        </w:tc>
        <w:tc>
          <w:tcPr>
            <w:tcW w:w="2240" w:type="dxa"/>
            <w:tcMar>
              <w:top w:w="80" w:type="dxa"/>
              <w:left w:w="100" w:type="dxa"/>
              <w:bottom w:w="80" w:type="dxa"/>
              <w:right w:w="100" w:type="dxa"/>
            </w:tcMar>
          </w:tcPr>
          <w:p w:rsidR="00000000" w:rsidRDefault="00000000" w14:paraId="7A000095">
            <w:pPr>
              <w:rPr/>
            </w:pPr>
            <w:r>
              <w:rPr>
                <w:sz w:val="19"/>
                <w:szCs w:val="19"/>
              </w:rPr>
              <w:t xml:space="preserve">Estimated Savings</w:t>
            </w:r>
          </w:p>
        </w:tc>
        <w:tc>
          <w:tcPr>
            <w:tcW w:w="2720" w:type="dxa"/>
            <w:tcMar>
              <w:top w:w="80" w:type="dxa"/>
              <w:left w:w="100" w:type="dxa"/>
              <w:bottom w:w="80" w:type="dxa"/>
              <w:right w:w="100" w:type="dxa"/>
            </w:tcMar>
          </w:tcPr>
          <w:p w:rsidR="00000000" w:rsidRDefault="00000000" w14:paraId="7A000096">
            <w:pPr>
              <w:rPr/>
            </w:pPr>
            <w:r>
              <w:rPr>
                <w:sz w:val="19"/>
                <w:szCs w:val="19"/>
              </w:rPr>
              <w:t xml:space="preserve">Projected monthly $, kWh and kg CO2e reduction if open recommendations are applied</w:t>
            </w:r>
          </w:p>
        </w:tc>
        <w:tc>
          <w:tcPr>
            <w:tcW w:w="1280" w:type="dxa"/>
            <w:tcMar>
              <w:top w:w="80" w:type="dxa"/>
              <w:left w:w="100" w:type="dxa"/>
              <w:bottom w:w="80" w:type="dxa"/>
              <w:right w:w="100" w:type="dxa"/>
            </w:tcMar>
          </w:tcPr>
          <w:p w:rsidR="00000000" w:rsidRDefault="00000000" w14:paraId="7A000097">
            <w:pPr>
              <w:rPr/>
            </w:pPr>
            <w:r>
              <w:rPr>
                <w:sz w:val="19"/>
                <w:szCs w:val="19"/>
              </w:rPr>
              <w:t xml:space="preserve">$, kWh, kgCO2e</w:t>
            </w:r>
          </w:p>
        </w:tc>
        <w:tc>
          <w:tcPr>
            <w:tcW w:w="1280" w:type="dxa"/>
            <w:tcMar>
              <w:top w:w="80" w:type="dxa"/>
              <w:left w:w="100" w:type="dxa"/>
              <w:bottom w:w="80" w:type="dxa"/>
              <w:right w:w="100" w:type="dxa"/>
            </w:tcMar>
          </w:tcPr>
          <w:p w:rsidR="00000000" w:rsidRDefault="00000000" w14:paraId="7A00009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9">
            <w:pPr>
              <w:rPr/>
            </w:pPr>
            <w:r>
              <w:rPr>
                <w:sz w:val="19"/>
                <w:szCs w:val="19"/>
              </w:rPr>
              <w:t xml:space="preserve">Workload, org</w:t>
            </w:r>
          </w:p>
        </w:tc>
      </w:tr>
    </w:tbl>
    <w:p w:rsidR="00000000" w:rsidRDefault="00000000" w14:paraId="7A00009A">
      <w:pPr>
        <w:spacing w:after="120"/>
        <w:rPr/>
      </w:pPr>
    </w:p>
    <w:p w:rsidR="00000000" w:rsidRDefault="00000000" w14:paraId="7A00009B">
      <w:pPr>
        <w:pStyle w:val="Heading2"/>
        <w:spacing w:after="120" w:before="280" w:lineRule="auto"/>
        <w:rPr/>
      </w:pPr>
      <w:r>
        <w:rPr>
          <w:b w:val="1"/>
          <w:bCs w:val="1"/>
          <w:color w:val="1e7a4c"/>
          <w:sz w:val="24"/>
          <w:szCs w:val="24"/>
        </w:rPr>
        <w:t xml:space="preserve">21.4 Scoring Method</w:t>
      </w:r>
    </w:p>
    <w:p w:rsidR="00000000" w:rsidRDefault="00000000" w14:paraId="7A00009C">
      <w:pPr>
        <w:numPr>
          <w:ilvl w:val="0"/>
          <w:numId w:val="1"/>
        </w:numPr>
        <w:spacing w:after="60" w:before="0" w:line="240" w:lineRule="auto"/>
        <w:ind w:left="720" w:right="0" w:hanging="360"/>
        <w:rPr/>
      </w:pPr>
      <w:r>
        <w:rPr>
          <w:b w:val="1"/>
          <w:bCs w:val="1"/>
          <w:sz w:val="21"/>
          <w:szCs w:val="21"/>
        </w:rPr>
        <w:t xml:space="preserve">Normalization.</w:t>
      </w:r>
      <w:r>
        <w:rPr>
          <w:sz w:val="21"/>
          <w:szCs w:val="21"/>
        </w:rPr>
        <w:t xml:space="preserve"> Each sub-score is scaled 0–100, where 100 means no measurable waste against the reference for that workload class.</w:t>
      </w:r>
    </w:p>
    <w:p w:rsidR="00000000" w:rsidRDefault="00000000" w14:paraId="7A00009D">
      <w:pPr>
        <w:numPr>
          <w:ilvl w:val="0"/>
          <w:numId w:val="1"/>
        </w:numPr>
        <w:spacing w:after="60" w:before="0" w:line="240" w:lineRule="auto"/>
        <w:ind w:left="720" w:right="0" w:hanging="360"/>
        <w:rPr/>
      </w:pPr>
      <w:r>
        <w:rPr>
          <w:b w:val="1"/>
          <w:bCs w:val="1"/>
          <w:sz w:val="21"/>
          <w:szCs w:val="21"/>
        </w:rPr>
        <w:t xml:space="preserve">Default weights.</w:t>
      </w:r>
      <w:r>
        <w:rPr>
          <w:sz w:val="21"/>
          <w:szCs w:val="21"/>
        </w:rPr>
        <w:t xml:space="preserve"> D-RSS = 40% D-MFS + 25% D-TES + 20% D-UTS + 15% D-CTS. For chat- and browser-only workloads with no infrastructure telemetry, the D-UTS weight is redistributed proportionally across the other three. Weights are versioned configuration under the governance rules in §8.4.</w:t>
      </w:r>
    </w:p>
    <w:p w:rsidR="00000000" w:rsidRDefault="00000000" w14:paraId="7A00009E">
      <w:pPr>
        <w:numPr>
          <w:ilvl w:val="0"/>
          <w:numId w:val="1"/>
        </w:numPr>
        <w:spacing w:after="60" w:before="0" w:line="240" w:lineRule="auto"/>
        <w:ind w:left="720" w:right="0" w:hanging="360"/>
        <w:rPr/>
      </w:pPr>
      <w:r>
        <w:rPr>
          <w:b w:val="1"/>
          <w:bCs w:val="1"/>
          <w:sz w:val="21"/>
          <w:szCs w:val="21"/>
        </w:rPr>
        <w:t xml:space="preserve">Model fit testing.</w:t>
      </w:r>
      <w:r>
        <w:rPr>
          <w:sz w:val="21"/>
          <w:szCs w:val="21"/>
        </w:rPr>
        <w:t xml:space="preserve"> MFP is measured by shadow-testing a small sample of prompts (default 1–2%) on a smaller model tier. Shadow testing runs only with explicit Subscriber opt-in and under the privacy controls in §14.1; the default parity threshold for “adequate” is 0.95.</w:t>
      </w:r>
    </w:p>
    <w:p w:rsidR="00000000" w:rsidRDefault="00000000" w14:paraId="7A00009F">
      <w:pPr>
        <w:numPr>
          <w:ilvl w:val="0"/>
          <w:numId w:val="1"/>
        </w:numPr>
        <w:spacing w:after="60" w:before="0" w:line="240" w:lineRule="auto"/>
        <w:ind w:left="720" w:right="0" w:hanging="360"/>
        <w:rPr/>
      </w:pPr>
      <w:r>
        <w:rPr>
          <w:b w:val="1"/>
          <w:bCs w:val="1"/>
          <w:sz w:val="21"/>
          <w:szCs w:val="21"/>
        </w:rPr>
        <w:t xml:space="preserve">Confidence.</w:t>
      </w:r>
      <w:r>
        <w:rPr>
          <w:sz w:val="21"/>
          <w:szCs w:val="21"/>
        </w:rPr>
        <w:t xml:space="preserve"> Every score carries the measured / modeled / estimated tag from §8.1–§8.3, inherited from its weakest input, so dashboards never present a modeled score as measured.</w:t>
      </w:r>
    </w:p>
    <w:p w:rsidR="00000000" w:rsidRDefault="00000000" w14:paraId="7A0000A0">
      <w:pPr>
        <w:numPr>
          <w:ilvl w:val="0"/>
          <w:numId w:val="1"/>
        </w:numPr>
        <w:spacing w:after="60" w:before="0" w:line="240" w:lineRule="auto"/>
        <w:ind w:left="720" w:right="0" w:hanging="360"/>
        <w:rPr/>
      </w:pPr>
      <w:r>
        <w:rPr>
          <w:b w:val="1"/>
          <w:bCs w:val="1"/>
          <w:sz w:val="21"/>
          <w:szCs w:val="21"/>
        </w:rPr>
        <w:t xml:space="preserve">Bands.</w:t>
      </w:r>
      <w:r>
        <w:rPr>
          <w:sz w:val="21"/>
          <w:szCs w:val="21"/>
        </w:rPr>
        <w:t xml:space="preserve"> 85–100 Right-sized; 60–84 Opportunity; below 60 Oversized or wasteful.</w:t>
      </w:r>
    </w:p>
    <w:p w:rsidR="00000000" w:rsidRDefault="00000000" w14:paraId="7A0000A1">
      <w:pPr>
        <w:pStyle w:val="Heading2"/>
        <w:spacing w:after="120" w:before="280" w:lineRule="auto"/>
        <w:rPr/>
      </w:pPr>
      <w:r>
        <w:rPr>
          <w:b w:val="1"/>
          <w:bCs w:val="1"/>
          <w:color w:val="1e7a4c"/>
          <w:sz w:val="24"/>
          <w:szCs w:val="24"/>
        </w:rPr>
        <w:t xml:space="preserve">21.5 Recommendations Engine</w:t>
      </w:r>
    </w:p>
    <w:p w:rsidR="00000000" w:rsidRDefault="00000000" w14:paraId="7A0000A2">
      <w:pPr>
        <w:spacing w:after="140" w:lineRule="auto"/>
        <w:rPr/>
      </w:pPr>
      <w:r>
        <w:rPr>
          <w:sz w:val="21"/>
          <w:szCs w:val="21"/>
        </w:rPr>
        <w:t xml:space="preserve">Each workload scoring below the Right-sized band receives ranked recommendations, each with its own D-SAV estimate:</w:t>
      </w:r>
    </w:p>
    <w:p w:rsidR="00000000" w:rsidRDefault="00000000" w14:paraId="7A0000A3">
      <w:pPr>
        <w:numPr>
          <w:ilvl w:val="0"/>
          <w:numId w:val="1"/>
        </w:numPr>
        <w:spacing w:after="60" w:before="0" w:line="240" w:lineRule="auto"/>
        <w:ind w:left="720" w:right="0" w:hanging="360"/>
        <w:rPr/>
      </w:pPr>
      <w:r>
        <w:rPr>
          <w:b w:val="1"/>
          <w:bCs w:val="1"/>
          <w:sz w:val="21"/>
          <w:szCs w:val="21"/>
        </w:rPr>
        <w:t xml:space="preserve">Downshift model</w:t>
      </w:r>
      <w:r>
        <w:rPr>
          <w:sz w:val="21"/>
          <w:szCs w:val="21"/>
        </w:rPr>
        <w:t xml:space="preserve"> where MFP meets the parity threshold on a smaller tier.</w:t>
      </w:r>
    </w:p>
    <w:p w:rsidR="00000000" w:rsidRDefault="00000000" w14:paraId="7A0000A4">
      <w:pPr>
        <w:numPr>
          <w:ilvl w:val="0"/>
          <w:numId w:val="1"/>
        </w:numPr>
        <w:spacing w:after="60" w:before="0" w:line="240" w:lineRule="auto"/>
        <w:ind w:left="720" w:right="0" w:hanging="360"/>
        <w:rPr/>
      </w:pPr>
      <w:r>
        <w:rPr>
          <w:b w:val="1"/>
          <w:bCs w:val="1"/>
          <w:sz w:val="21"/>
          <w:szCs w:val="21"/>
        </w:rPr>
        <w:t xml:space="preserve">Trim context</w:t>
      </w:r>
      <w:r>
        <w:rPr>
          <w:sz w:val="21"/>
          <w:szCs w:val="21"/>
        </w:rPr>
        <w:t xml:space="preserve"> where CXB is high, e.g., deduplicating system prompts or summarizing history.</w:t>
      </w:r>
    </w:p>
    <w:p w:rsidR="00000000" w:rsidRDefault="00000000" w14:paraId="7A0000A5">
      <w:pPr>
        <w:numPr>
          <w:ilvl w:val="0"/>
          <w:numId w:val="1"/>
        </w:numPr>
        <w:spacing w:after="60" w:before="0" w:line="240" w:lineRule="auto"/>
        <w:ind w:left="720" w:right="0" w:hanging="360"/>
        <w:rPr/>
      </w:pPr>
      <w:r>
        <w:rPr>
          <w:b w:val="1"/>
          <w:bCs w:val="1"/>
          <w:sz w:val="21"/>
          <w:szCs w:val="21"/>
        </w:rPr>
        <w:t xml:space="preserve">Enable or improve prompt caching</w:t>
      </w:r>
      <w:r>
        <w:rPr>
          <w:sz w:val="21"/>
          <w:szCs w:val="21"/>
        </w:rPr>
        <w:t xml:space="preserve"> where CHR is low relative to repeated context.</w:t>
      </w:r>
    </w:p>
    <w:p w:rsidR="00000000" w:rsidRDefault="00000000" w14:paraId="7A0000A6">
      <w:pPr>
        <w:numPr>
          <w:ilvl w:val="0"/>
          <w:numId w:val="1"/>
        </w:numPr>
        <w:spacing w:after="60" w:before="0" w:line="240" w:lineRule="auto"/>
        <w:ind w:left="720" w:right="0" w:hanging="360"/>
        <w:rPr/>
      </w:pPr>
      <w:r>
        <w:rPr>
          <w:b w:val="1"/>
          <w:bCs w:val="1"/>
          <w:sz w:val="21"/>
          <w:szCs w:val="21"/>
        </w:rPr>
        <w:t xml:space="preserve">Batch</w:t>
      </w:r>
      <w:r>
        <w:rPr>
          <w:sz w:val="21"/>
          <w:szCs w:val="21"/>
        </w:rPr>
        <w:t xml:space="preserve"> latency-tolerant work flagged by BTC.</w:t>
      </w:r>
    </w:p>
    <w:p w:rsidR="00000000" w:rsidRDefault="00000000" w14:paraId="7A0000A7">
      <w:pPr>
        <w:numPr>
          <w:ilvl w:val="0"/>
          <w:numId w:val="1"/>
        </w:numPr>
        <w:spacing w:after="60" w:before="0" w:line="240" w:lineRule="auto"/>
        <w:ind w:left="720" w:right="0" w:hanging="360"/>
        <w:rPr/>
      </w:pPr>
      <w:r>
        <w:rPr>
          <w:b w:val="1"/>
          <w:bCs w:val="1"/>
          <w:sz w:val="21"/>
          <w:szCs w:val="21"/>
        </w:rPr>
        <w:t xml:space="preserve">Shift time or region</w:t>
      </w:r>
      <w:r>
        <w:rPr>
          <w:sz w:val="21"/>
          <w:szCs w:val="21"/>
        </w:rPr>
        <w:t xml:space="preserve"> where CWD shows a materially cleaner window within the job’s allowed latency.</w:t>
      </w:r>
    </w:p>
    <w:p w:rsidR="00000000" w:rsidRDefault="00000000" w14:paraId="7A0000A8">
      <w:pPr>
        <w:numPr>
          <w:ilvl w:val="0"/>
          <w:numId w:val="1"/>
        </w:numPr>
        <w:spacing w:after="60" w:before="0" w:line="240" w:lineRule="auto"/>
        <w:ind w:left="720" w:right="0" w:hanging="360"/>
        <w:rPr/>
      </w:pPr>
      <w:r>
        <w:rPr>
          <w:b w:val="1"/>
          <w:bCs w:val="1"/>
          <w:sz w:val="21"/>
          <w:szCs w:val="21"/>
        </w:rPr>
        <w:t xml:space="preserve">Release idle capacity</w:t>
      </w:r>
      <w:r>
        <w:rPr>
          <w:sz w:val="21"/>
          <w:szCs w:val="21"/>
        </w:rPr>
        <w:t xml:space="preserve"> flagged by IDC.</w:t>
      </w:r>
    </w:p>
    <w:p w:rsidR="00000000" w:rsidRDefault="00000000" w14:paraId="7A0000A9">
      <w:pPr>
        <w:pStyle w:val="Heading2"/>
        <w:spacing w:after="120" w:before="280" w:lineRule="auto"/>
        <w:rPr/>
      </w:pPr>
      <w:r>
        <w:rPr>
          <w:b w:val="1"/>
          <w:bCs w:val="1"/>
          <w:color w:val="1e7a4c"/>
          <w:sz w:val="24"/>
          <w:szCs w:val="24"/>
        </w:rPr>
        <w:t xml:space="preserve">21.6 Integration Notes</w:t>
      </w:r>
    </w:p>
    <w:p w:rsidR="00000000" w:rsidRDefault="00000000" w14:paraId="7A0000AA">
      <w:pPr>
        <w:numPr>
          <w:ilvl w:val="0"/>
          <w:numId w:val="1"/>
        </w:numPr>
        <w:spacing w:after="60" w:before="0" w:line="240" w:lineRule="auto"/>
        <w:ind w:left="720" w:right="0" w:hanging="360"/>
        <w:rPr/>
      </w:pPr>
      <w:r>
        <w:rPr>
          <w:sz w:val="21"/>
          <w:szCs w:val="21"/>
        </w:rPr>
        <w:t xml:space="preserve">D-RSS and the efficiency indexes surface in the dashboard views (§6.3); an optional right-size band may be appended to the alphanumeric indicator (§5) in a future revision.</w:t>
      </w:r>
    </w:p>
    <w:p w:rsidR="00000000" w:rsidRDefault="00000000" w14:paraId="7A0000AB">
      <w:pPr>
        <w:numPr>
          <w:ilvl w:val="0"/>
          <w:numId w:val="1"/>
        </w:numPr>
        <w:spacing w:after="60" w:before="0" w:line="240" w:lineRule="auto"/>
        <w:ind w:left="720" w:right="0" w:hanging="360"/>
        <w:rPr/>
      </w:pPr>
      <w:r>
        <w:rPr>
          <w:sz w:val="21"/>
          <w:szCs w:val="21"/>
        </w:rPr>
        <w:t xml:space="preserve">Return-on-Impact reporting treats reductions achieved via recommendations separately from credits retired through the marketplace, so Subscribers can report both.</w:t>
      </w:r>
    </w:p>
    <w:p w:rsidR="00000000" w:rsidRDefault="00000000" w14:paraId="7A0000AC">
      <w:pPr>
        <w:numPr>
          <w:ilvl w:val="0"/>
          <w:numId w:val="1"/>
        </w:numPr>
        <w:spacing w:after="60" w:before="0" w:line="240" w:lineRule="auto"/>
        <w:ind w:left="720" w:right="0" w:hanging="360"/>
        <w:rPr/>
      </w:pPr>
      <w:r>
        <w:rPr>
          <w:sz w:val="21"/>
          <w:szCs w:val="21"/>
        </w:rPr>
        <w:t xml:space="preserve">Anonymized, aggregated efficiency indexes by model and provider feed AIforE’s public benchmarks (Figure 2).</w:t>
      </w:r>
    </w:p>
    <w:p w:rsidR="00000000" w:rsidRDefault="00000000" w14:paraId="7A0000AD">
      <w:pPr>
        <w:numPr>
          <w:ilvl w:val="0"/>
          <w:numId w:val="1"/>
        </w:numPr>
        <w:spacing w:after="60" w:before="0" w:line="240" w:lineRule="auto"/>
        <w:ind w:left="720" w:right="0" w:hanging="360"/>
        <w:rPr/>
      </w:pPr>
      <w:r>
        <w:rPr>
          <w:sz w:val="21"/>
          <w:szCs w:val="21"/>
        </w:rPr>
        <w:t xml:space="preserve">Proposed OpenTelemetry attributes for these fields are emitted under the interim stardust.efficiency.* namespace and proposed upstream under vendor-neutral names, per the harmonization rules in §11.5.</w:t>
      </w:r>
    </w:p>
    <w:p w:rsidR="00000000" w:rsidRDefault="00000000" w14:paraId="7E000068">
      <w:pPr>
        <w:pStyle w:val="Heading2"/>
        <w:spacing w:after="120" w:before="280" w:lineRule="auto"/>
        <w:rPr/>
      </w:pPr>
      <w:r>
        <w:rPr>
          <w:b w:val="1"/>
          <w:bCs w:val="1"/>
          <w:color w:val="1e7a4c"/>
          <w:sz w:val="24"/>
          <w:szCs w:val="24"/>
        </w:rPr>
        <w:t xml:space="preserve">21.7 Time-of-Use Dynamics and Carbon-Aware Load Shifting</w:t>
      </w:r>
    </w:p>
    <w:p w:rsidR="00000000" w:rsidRDefault="00000000" w14:paraId="7E000069">
      <w:pPr>
        <w:spacing w:after="140" w:lineRule="auto"/>
        <w:rPr/>
      </w:pPr>
      <w:r>
        <w:rPr>
          <w:sz w:val="21"/>
          <w:szCs w:val="21"/>
        </w:rPr>
        <w:t xml:space="preserve">Where time changes cost or emissions, as it does for electricity, Stardust records when energy was used, not only how much. This lets it demonstrate the value of carbon-aware load shifting: running batch training, fine-tuning and other asynchronous work when grid intensity is low or renewable output would otherwise be curtailed.</w:t>
      </w:r>
    </w:p>
    <w:p w:rsidR="00000000" w:rsidRDefault="00000000" w14:paraId="7E00006A">
      <w:pPr>
        <w:pStyle w:val="Heading3"/>
        <w:spacing w:after="100" w:before="200" w:lineRule="auto"/>
        <w:rPr/>
      </w:pPr>
      <w:r>
        <w:rPr>
          <w:b w:val="1"/>
          <w:bCs w:val="1"/>
          <w:color w:val="333333"/>
          <w:sz w:val="21"/>
          <w:szCs w:val="21"/>
        </w:rPr>
        <w:t xml:space="preserve">21.7.1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6B">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6C">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6D">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6E">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6F">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70">
            <w:pPr>
              <w:rPr/>
            </w:pPr>
            <w:r>
              <w:rPr>
                <w:b w:val="1"/>
                <w:bCs w:val="1"/>
                <w:color w:val="ffffff"/>
                <w:sz w:val="19"/>
                <w:szCs w:val="19"/>
              </w:rPr>
              <w:t xml:space="preserve">Applies To</w:t>
            </w:r>
          </w:p>
        </w:tc>
      </w:tr>
      <w:tr>
        <w:trPr>
          <w:cantSplit/>
        </w:trPr>
        <w:tc>
          <w:tcPr>
            <w:tcW w:w="960" w:type="dxa"/>
            <w:tcMar>
              <w:top w:w="80" w:type="dxa"/>
              <w:left w:w="100" w:type="dxa"/>
              <w:bottom w:w="80" w:type="dxa"/>
              <w:right w:w="100" w:type="dxa"/>
            </w:tcMar>
          </w:tcPr>
          <w:p w:rsidR="00000000" w:rsidRDefault="00000000" w14:paraId="7E000071">
            <w:pPr>
              <w:rPr/>
            </w:pPr>
            <w:r>
              <w:rPr>
                <w:sz w:val="19"/>
                <w:szCs w:val="19"/>
              </w:rPr>
              <w:t xml:space="preserve">TOU</w:t>
            </w:r>
          </w:p>
        </w:tc>
        <w:tc>
          <w:tcPr>
            <w:tcW w:w="2240" w:type="dxa"/>
            <w:tcMar>
              <w:top w:w="80" w:type="dxa"/>
              <w:left w:w="100" w:type="dxa"/>
              <w:bottom w:w="80" w:type="dxa"/>
              <w:right w:w="100" w:type="dxa"/>
            </w:tcMar>
          </w:tcPr>
          <w:p w:rsidR="00000000" w:rsidRDefault="00000000" w14:paraId="7E000072">
            <w:pPr>
              <w:rPr/>
            </w:pPr>
            <w:r>
              <w:rPr>
                <w:sz w:val="19"/>
                <w:szCs w:val="19"/>
              </w:rPr>
              <w:t xml:space="preserve">Time-of-Use Period</w:t>
            </w:r>
          </w:p>
        </w:tc>
        <w:tc>
          <w:tcPr>
            <w:tcW w:w="2720" w:type="dxa"/>
            <w:tcMar>
              <w:top w:w="80" w:type="dxa"/>
              <w:left w:w="100" w:type="dxa"/>
              <w:bottom w:w="80" w:type="dxa"/>
              <w:right w:w="100" w:type="dxa"/>
            </w:tcMar>
          </w:tcPr>
          <w:p w:rsidR="00000000" w:rsidRDefault="00000000" w14:paraId="7E000073">
            <w:pPr>
              <w:rPr/>
            </w:pPr>
            <w:r>
              <w:rPr>
                <w:sz w:val="19"/>
                <w:szCs w:val="19"/>
              </w:rPr>
              <w:t xml:space="preserve">Tariff period in effect when energy was used: off-peak, mid-peak, on-peak, super-off-peak, critical-peak, or real-time</w:t>
            </w:r>
          </w:p>
        </w:tc>
        <w:tc>
          <w:tcPr>
            <w:tcW w:w="1280" w:type="dxa"/>
            <w:tcMar>
              <w:top w:w="80" w:type="dxa"/>
              <w:left w:w="100" w:type="dxa"/>
              <w:bottom w:w="80" w:type="dxa"/>
              <w:right w:w="100" w:type="dxa"/>
            </w:tcMar>
          </w:tcPr>
          <w:p w:rsidR="00000000" w:rsidRDefault="00000000" w14:paraId="7E000074">
            <w:pPr>
              <w:rPr/>
            </w:pPr>
            <w:r>
              <w:rPr>
                <w:sz w:val="19"/>
                <w:szCs w:val="19"/>
              </w:rPr>
              <w:t xml:space="preserve">enum</w:t>
            </w:r>
          </w:p>
        </w:tc>
        <w:tc>
          <w:tcPr>
            <w:tcW w:w="1280" w:type="dxa"/>
            <w:tcMar>
              <w:top w:w="80" w:type="dxa"/>
              <w:left w:w="100" w:type="dxa"/>
              <w:bottom w:w="80" w:type="dxa"/>
              <w:right w:w="100" w:type="dxa"/>
            </w:tcMar>
          </w:tcPr>
          <w:p w:rsidR="00000000" w:rsidRDefault="00000000" w14:paraId="7E000075">
            <w:pPr>
              <w:rPr/>
            </w:pPr>
            <w:r>
              <w:rPr>
                <w:sz w:val="19"/>
                <w:szCs w:val="19"/>
              </w:rPr>
              <w:t xml:space="preserve">Per interval</w:t>
            </w:r>
          </w:p>
        </w:tc>
        <w:tc>
          <w:tcPr>
            <w:tcW w:w="1120" w:type="dxa"/>
            <w:tcMar>
              <w:top w:w="80" w:type="dxa"/>
              <w:left w:w="100" w:type="dxa"/>
              <w:bottom w:w="80" w:type="dxa"/>
              <w:right w:w="100" w:type="dxa"/>
            </w:tcMar>
          </w:tcPr>
          <w:p w:rsidR="00000000" w:rsidRDefault="00000000" w14:paraId="7E000076">
            <w:pPr>
              <w:rPr/>
            </w:pPr>
            <w:r>
              <w:rPr>
                <w:sz w:val="19"/>
                <w:szCs w:val="19"/>
              </w:rPr>
              <w:t xml:space="preserve">Infra, All</w:t>
            </w:r>
          </w:p>
        </w:tc>
      </w:tr>
      <w:tr>
        <w:trPr>
          <w:cantSplit/>
        </w:trPr>
        <w:tc>
          <w:tcPr>
            <w:tcW w:w="960" w:type="dxa"/>
            <w:tcMar>
              <w:top w:w="80" w:type="dxa"/>
              <w:left w:w="100" w:type="dxa"/>
              <w:bottom w:w="80" w:type="dxa"/>
              <w:right w:w="100" w:type="dxa"/>
            </w:tcMar>
          </w:tcPr>
          <w:p w:rsidR="00000000" w:rsidRDefault="00000000" w14:paraId="7E000077">
            <w:pPr>
              <w:rPr/>
            </w:pPr>
            <w:r>
              <w:rPr>
                <w:sz w:val="19"/>
                <w:szCs w:val="19"/>
              </w:rPr>
              <w:t xml:space="preserve">TRT</w:t>
            </w:r>
          </w:p>
        </w:tc>
        <w:tc>
          <w:tcPr>
            <w:tcW w:w="2240" w:type="dxa"/>
            <w:tcMar>
              <w:top w:w="80" w:type="dxa"/>
              <w:left w:w="100" w:type="dxa"/>
              <w:bottom w:w="80" w:type="dxa"/>
              <w:right w:w="100" w:type="dxa"/>
            </w:tcMar>
          </w:tcPr>
          <w:p w:rsidR="00000000" w:rsidRDefault="00000000" w14:paraId="7E000078">
            <w:pPr>
              <w:rPr/>
            </w:pPr>
            <w:r>
              <w:rPr>
                <w:sz w:val="19"/>
                <w:szCs w:val="19"/>
              </w:rPr>
              <w:t xml:space="preserve">Tariff Rate at Time</w:t>
            </w:r>
          </w:p>
        </w:tc>
        <w:tc>
          <w:tcPr>
            <w:tcW w:w="2720" w:type="dxa"/>
            <w:tcMar>
              <w:top w:w="80" w:type="dxa"/>
              <w:left w:w="100" w:type="dxa"/>
              <w:bottom w:w="80" w:type="dxa"/>
              <w:right w:w="100" w:type="dxa"/>
            </w:tcMar>
          </w:tcPr>
          <w:p w:rsidR="00000000" w:rsidRDefault="00000000" w14:paraId="7E000079">
            <w:pPr>
              <w:rPr/>
            </w:pPr>
            <w:r>
              <w:rPr>
                <w:sz w:val="19"/>
                <w:szCs w:val="19"/>
              </w:rPr>
              <w:t xml:space="preserve">Energy price applied to the interval, from the operator’s tariff or a price signal</w:t>
            </w:r>
          </w:p>
        </w:tc>
        <w:tc>
          <w:tcPr>
            <w:tcW w:w="1280" w:type="dxa"/>
            <w:tcMar>
              <w:top w:w="80" w:type="dxa"/>
              <w:left w:w="100" w:type="dxa"/>
              <w:bottom w:w="80" w:type="dxa"/>
              <w:right w:w="100" w:type="dxa"/>
            </w:tcMar>
          </w:tcPr>
          <w:p w:rsidR="00000000" w:rsidRDefault="00000000" w14:paraId="7E00007A">
            <w:pPr>
              <w:rPr/>
            </w:pPr>
            <w:r>
              <w:rPr>
                <w:sz w:val="19"/>
                <w:szCs w:val="19"/>
              </w:rPr>
              <w:t xml:space="preserve">$/kWh</w:t>
            </w:r>
          </w:p>
        </w:tc>
        <w:tc>
          <w:tcPr>
            <w:tcW w:w="1280" w:type="dxa"/>
            <w:tcMar>
              <w:top w:w="80" w:type="dxa"/>
              <w:left w:w="100" w:type="dxa"/>
              <w:bottom w:w="80" w:type="dxa"/>
              <w:right w:w="100" w:type="dxa"/>
            </w:tcMar>
          </w:tcPr>
          <w:p w:rsidR="00000000" w:rsidRDefault="00000000" w14:paraId="7E00007B">
            <w:pPr>
              <w:rPr/>
            </w:pPr>
            <w:r>
              <w:rPr>
                <w:sz w:val="19"/>
                <w:szCs w:val="19"/>
              </w:rPr>
              <w:t xml:space="preserve">Per interval</w:t>
            </w:r>
          </w:p>
        </w:tc>
        <w:tc>
          <w:tcPr>
            <w:tcW w:w="1120" w:type="dxa"/>
            <w:tcMar>
              <w:top w:w="80" w:type="dxa"/>
              <w:left w:w="100" w:type="dxa"/>
              <w:bottom w:w="80" w:type="dxa"/>
              <w:right w:w="100" w:type="dxa"/>
            </w:tcMar>
          </w:tcPr>
          <w:p w:rsidR="00000000" w:rsidRDefault="00000000" w14:paraId="7E00007C">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7D">
            <w:pPr>
              <w:rPr/>
            </w:pPr>
            <w:r>
              <w:rPr>
                <w:sz w:val="19"/>
                <w:szCs w:val="19"/>
              </w:rPr>
              <w:t xml:space="preserve">GSG</w:t>
            </w:r>
          </w:p>
        </w:tc>
        <w:tc>
          <w:tcPr>
            <w:tcW w:w="2240" w:type="dxa"/>
            <w:tcMar>
              <w:top w:w="80" w:type="dxa"/>
              <w:left w:w="100" w:type="dxa"/>
              <w:bottom w:w="80" w:type="dxa"/>
              <w:right w:w="100" w:type="dxa"/>
            </w:tcMar>
          </w:tcPr>
          <w:p w:rsidR="00000000" w:rsidRDefault="00000000" w14:paraId="7E00007E">
            <w:pPr>
              <w:rPr/>
            </w:pPr>
            <w:r>
              <w:rPr>
                <w:sz w:val="19"/>
                <w:szCs w:val="19"/>
              </w:rPr>
              <w:t xml:space="preserve">Grid Signal Type and Source</w:t>
            </w:r>
          </w:p>
        </w:tc>
        <w:tc>
          <w:tcPr>
            <w:tcW w:w="2720" w:type="dxa"/>
            <w:tcMar>
              <w:top w:w="80" w:type="dxa"/>
              <w:left w:w="100" w:type="dxa"/>
              <w:bottom w:w="80" w:type="dxa"/>
              <w:right w:w="100" w:type="dxa"/>
            </w:tcMar>
          </w:tcPr>
          <w:p w:rsidR="00000000" w:rsidRDefault="00000000" w14:paraId="7E00007F">
            <w:pPr>
              <w:rPr/>
            </w:pPr>
            <w:r>
              <w:rPr>
                <w:sz w:val="19"/>
                <w:szCs w:val="19"/>
              </w:rPr>
              <w:t xml:space="preserve">Which signal produced GCI (§21.2): marginal or average, and the provider (e.g., WattTime, Electricity Maps, grid operator)</w:t>
            </w:r>
          </w:p>
        </w:tc>
        <w:tc>
          <w:tcPr>
            <w:tcW w:w="1280" w:type="dxa"/>
            <w:tcMar>
              <w:top w:w="80" w:type="dxa"/>
              <w:left w:w="100" w:type="dxa"/>
              <w:bottom w:w="80" w:type="dxa"/>
              <w:right w:w="100" w:type="dxa"/>
            </w:tcMar>
          </w:tcPr>
          <w:p w:rsidR="00000000" w:rsidRDefault="00000000" w14:paraId="7E000080">
            <w:pPr>
              <w:rPr/>
            </w:pPr>
            <w:r>
              <w:rPr>
                <w:sz w:val="19"/>
                <w:szCs w:val="19"/>
              </w:rPr>
              <w:t xml:space="preserve">enum</w:t>
            </w:r>
          </w:p>
        </w:tc>
        <w:tc>
          <w:tcPr>
            <w:tcW w:w="1280" w:type="dxa"/>
            <w:tcMar>
              <w:top w:w="80" w:type="dxa"/>
              <w:left w:w="100" w:type="dxa"/>
              <w:bottom w:w="80" w:type="dxa"/>
              <w:right w:w="100" w:type="dxa"/>
            </w:tcMar>
          </w:tcPr>
          <w:p w:rsidR="00000000" w:rsidRDefault="00000000" w14:paraId="7E000081">
            <w:pPr>
              <w:rPr/>
            </w:pPr>
            <w:r>
              <w:rPr>
                <w:sz w:val="19"/>
                <w:szCs w:val="19"/>
              </w:rPr>
              <w:t xml:space="preserve">Per reading</w:t>
            </w:r>
          </w:p>
        </w:tc>
        <w:tc>
          <w:tcPr>
            <w:tcW w:w="1120" w:type="dxa"/>
            <w:tcMar>
              <w:top w:w="80" w:type="dxa"/>
              <w:left w:w="100" w:type="dxa"/>
              <w:bottom w:w="80" w:type="dxa"/>
              <w:right w:w="100" w:type="dxa"/>
            </w:tcMar>
          </w:tcPr>
          <w:p w:rsidR="00000000" w:rsidRDefault="00000000" w14:paraId="7E000082">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E000083">
            <w:pPr>
              <w:rPr/>
            </w:pPr>
            <w:r>
              <w:rPr>
                <w:sz w:val="19"/>
                <w:szCs w:val="19"/>
              </w:rPr>
              <w:t xml:space="preserve">GFW</w:t>
            </w:r>
          </w:p>
        </w:tc>
        <w:tc>
          <w:tcPr>
            <w:tcW w:w="2240" w:type="dxa"/>
            <w:tcMar>
              <w:top w:w="80" w:type="dxa"/>
              <w:left w:w="100" w:type="dxa"/>
              <w:bottom w:w="80" w:type="dxa"/>
              <w:right w:w="100" w:type="dxa"/>
            </w:tcMar>
          </w:tcPr>
          <w:p w:rsidR="00000000" w:rsidRDefault="00000000" w14:paraId="7E000084">
            <w:pPr>
              <w:rPr/>
            </w:pPr>
            <w:r>
              <w:rPr>
                <w:sz w:val="19"/>
                <w:szCs w:val="19"/>
              </w:rPr>
              <w:t xml:space="preserve">Grid Forecast Window</w:t>
            </w:r>
          </w:p>
        </w:tc>
        <w:tc>
          <w:tcPr>
            <w:tcW w:w="2720" w:type="dxa"/>
            <w:tcMar>
              <w:top w:w="80" w:type="dxa"/>
              <w:left w:w="100" w:type="dxa"/>
              <w:bottom w:w="80" w:type="dxa"/>
              <w:right w:w="100" w:type="dxa"/>
            </w:tcMar>
          </w:tcPr>
          <w:p w:rsidR="00000000" w:rsidRDefault="00000000" w14:paraId="7E000085">
            <w:pPr>
              <w:rPr/>
            </w:pPr>
            <w:r>
              <w:rPr>
                <w:sz w:val="19"/>
                <w:szCs w:val="19"/>
              </w:rPr>
              <w:t xml:space="preserve">Lowest forecast intensity and its start time within the job’s allowed window, as forecast when the scheduling decision was made</w:t>
            </w:r>
          </w:p>
        </w:tc>
        <w:tc>
          <w:tcPr>
            <w:tcW w:w="1280" w:type="dxa"/>
            <w:tcMar>
              <w:top w:w="80" w:type="dxa"/>
              <w:left w:w="100" w:type="dxa"/>
              <w:bottom w:w="80" w:type="dxa"/>
              <w:right w:w="100" w:type="dxa"/>
            </w:tcMar>
          </w:tcPr>
          <w:p w:rsidR="00000000" w:rsidRDefault="00000000" w14:paraId="7E000086">
            <w:pPr>
              <w:rPr/>
            </w:pPr>
            <w:r>
              <w:rPr>
                <w:sz w:val="19"/>
                <w:szCs w:val="19"/>
              </w:rPr>
              <w:t xml:space="preserve">gCO2e/kWh, time</w:t>
            </w:r>
          </w:p>
        </w:tc>
        <w:tc>
          <w:tcPr>
            <w:tcW w:w="1280" w:type="dxa"/>
            <w:tcMar>
              <w:top w:w="80" w:type="dxa"/>
              <w:left w:w="100" w:type="dxa"/>
              <w:bottom w:w="80" w:type="dxa"/>
              <w:right w:w="100" w:type="dxa"/>
            </w:tcMar>
          </w:tcPr>
          <w:p w:rsidR="00000000" w:rsidRDefault="00000000" w14:paraId="7E000087">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88">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89">
            <w:pPr>
              <w:rPr/>
            </w:pPr>
            <w:r>
              <w:rPr>
                <w:sz w:val="19"/>
                <w:szCs w:val="19"/>
              </w:rPr>
              <w:t xml:space="preserve">RCF</w:t>
            </w:r>
          </w:p>
        </w:tc>
        <w:tc>
          <w:tcPr>
            <w:tcW w:w="2240" w:type="dxa"/>
            <w:tcMar>
              <w:top w:w="80" w:type="dxa"/>
              <w:left w:w="100" w:type="dxa"/>
              <w:bottom w:w="80" w:type="dxa"/>
              <w:right w:w="100" w:type="dxa"/>
            </w:tcMar>
          </w:tcPr>
          <w:p w:rsidR="00000000" w:rsidRDefault="00000000" w14:paraId="7E00008A">
            <w:pPr>
              <w:rPr/>
            </w:pPr>
            <w:r>
              <w:rPr>
                <w:sz w:val="19"/>
                <w:szCs w:val="19"/>
              </w:rPr>
              <w:t xml:space="preserve">Renewable Curtailment Indicator</w:t>
            </w:r>
          </w:p>
        </w:tc>
        <w:tc>
          <w:tcPr>
            <w:tcW w:w="2720" w:type="dxa"/>
            <w:tcMar>
              <w:top w:w="80" w:type="dxa"/>
              <w:left w:w="100" w:type="dxa"/>
              <w:bottom w:w="80" w:type="dxa"/>
              <w:right w:w="100" w:type="dxa"/>
            </w:tcMar>
          </w:tcPr>
          <w:p w:rsidR="00000000" w:rsidRDefault="00000000" w14:paraId="7E00008B">
            <w:pPr>
              <w:rPr/>
            </w:pPr>
            <w:r>
              <w:rPr>
                <w:sz w:val="19"/>
                <w:szCs w:val="19"/>
              </w:rPr>
              <w:t xml:space="preserve">Renewable energy curtailed in the grid region during the interval, where the grid operator publishes it</w:t>
            </w:r>
          </w:p>
        </w:tc>
        <w:tc>
          <w:tcPr>
            <w:tcW w:w="1280" w:type="dxa"/>
            <w:tcMar>
              <w:top w:w="80" w:type="dxa"/>
              <w:left w:w="100" w:type="dxa"/>
              <w:bottom w:w="80" w:type="dxa"/>
              <w:right w:w="100" w:type="dxa"/>
            </w:tcMar>
          </w:tcPr>
          <w:p w:rsidR="00000000" w:rsidRDefault="00000000" w14:paraId="7E00008C">
            <w:pPr>
              <w:rPr/>
            </w:pPr>
            <w:r>
              <w:rPr>
                <w:sz w:val="19"/>
                <w:szCs w:val="19"/>
              </w:rPr>
              <w:t xml:space="preserve">MWh or flag</w:t>
            </w:r>
          </w:p>
        </w:tc>
        <w:tc>
          <w:tcPr>
            <w:tcW w:w="1280" w:type="dxa"/>
            <w:tcMar>
              <w:top w:w="80" w:type="dxa"/>
              <w:left w:w="100" w:type="dxa"/>
              <w:bottom w:w="80" w:type="dxa"/>
              <w:right w:w="100" w:type="dxa"/>
            </w:tcMar>
          </w:tcPr>
          <w:p w:rsidR="00000000" w:rsidRDefault="00000000" w14:paraId="7E00008D">
            <w:pPr>
              <w:rPr/>
            </w:pPr>
            <w:r>
              <w:rPr>
                <w:sz w:val="19"/>
                <w:szCs w:val="19"/>
              </w:rPr>
              <w:t xml:space="preserve">Per interval</w:t>
            </w:r>
          </w:p>
        </w:tc>
        <w:tc>
          <w:tcPr>
            <w:tcW w:w="1120" w:type="dxa"/>
            <w:tcMar>
              <w:top w:w="80" w:type="dxa"/>
              <w:left w:w="100" w:type="dxa"/>
              <w:bottom w:w="80" w:type="dxa"/>
              <w:right w:w="100" w:type="dxa"/>
            </w:tcMar>
          </w:tcPr>
          <w:p w:rsidR="00000000" w:rsidRDefault="00000000" w14:paraId="7E00008E">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8F">
            <w:pPr>
              <w:rPr/>
            </w:pPr>
            <w:r>
              <w:rPr>
                <w:sz w:val="19"/>
                <w:szCs w:val="19"/>
              </w:rPr>
              <w:t xml:space="preserve">SLK</w:t>
            </w:r>
          </w:p>
        </w:tc>
        <w:tc>
          <w:tcPr>
            <w:tcW w:w="2240" w:type="dxa"/>
            <w:tcMar>
              <w:top w:w="80" w:type="dxa"/>
              <w:left w:w="100" w:type="dxa"/>
              <w:bottom w:w="80" w:type="dxa"/>
              <w:right w:w="100" w:type="dxa"/>
            </w:tcMar>
          </w:tcPr>
          <w:p w:rsidR="00000000" w:rsidRDefault="00000000" w14:paraId="7E000090">
            <w:pPr>
              <w:rPr/>
            </w:pPr>
            <w:r>
              <w:rPr>
                <w:sz w:val="19"/>
                <w:szCs w:val="19"/>
              </w:rPr>
              <w:t xml:space="preserve">Scheduling Slack</w:t>
            </w:r>
          </w:p>
        </w:tc>
        <w:tc>
          <w:tcPr>
            <w:tcW w:w="2720" w:type="dxa"/>
            <w:tcMar>
              <w:top w:w="80" w:type="dxa"/>
              <w:left w:w="100" w:type="dxa"/>
              <w:bottom w:w="80" w:type="dxa"/>
              <w:right w:w="100" w:type="dxa"/>
            </w:tcMar>
          </w:tcPr>
          <w:p w:rsidR="00000000" w:rsidRDefault="00000000" w14:paraId="7E000091">
            <w:pPr>
              <w:rPr/>
            </w:pPr>
            <w:r>
              <w:rPr>
                <w:sz w:val="19"/>
                <w:szCs w:val="19"/>
              </w:rPr>
              <w:t xml:space="preserve">Delay the workload owner declared acceptable before the job was scheduled</w:t>
            </w:r>
          </w:p>
        </w:tc>
        <w:tc>
          <w:tcPr>
            <w:tcW w:w="1280" w:type="dxa"/>
            <w:tcMar>
              <w:top w:w="80" w:type="dxa"/>
              <w:left w:w="100" w:type="dxa"/>
              <w:bottom w:w="80" w:type="dxa"/>
              <w:right w:w="100" w:type="dxa"/>
            </w:tcMar>
          </w:tcPr>
          <w:p w:rsidR="00000000" w:rsidRDefault="00000000" w14:paraId="7E000092">
            <w:pPr>
              <w:rPr/>
            </w:pPr>
            <w:r>
              <w:rPr>
                <w:sz w:val="19"/>
                <w:szCs w:val="19"/>
              </w:rPr>
              <w:t xml:space="preserve">minutes</w:t>
            </w:r>
          </w:p>
        </w:tc>
        <w:tc>
          <w:tcPr>
            <w:tcW w:w="1280" w:type="dxa"/>
            <w:tcMar>
              <w:top w:w="80" w:type="dxa"/>
              <w:left w:w="100" w:type="dxa"/>
              <w:bottom w:w="80" w:type="dxa"/>
              <w:right w:w="100" w:type="dxa"/>
            </w:tcMar>
          </w:tcPr>
          <w:p w:rsidR="00000000" w:rsidRDefault="00000000" w14:paraId="7E000093">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94">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95">
            <w:pPr>
              <w:rPr/>
            </w:pPr>
            <w:r>
              <w:rPr>
                <w:sz w:val="19"/>
                <w:szCs w:val="19"/>
              </w:rPr>
              <w:t xml:space="preserve">D-LSS</w:t>
            </w:r>
          </w:p>
        </w:tc>
        <w:tc>
          <w:tcPr>
            <w:tcW w:w="2240" w:type="dxa"/>
            <w:tcMar>
              <w:top w:w="80" w:type="dxa"/>
              <w:left w:w="100" w:type="dxa"/>
              <w:bottom w:w="80" w:type="dxa"/>
              <w:right w:w="100" w:type="dxa"/>
            </w:tcMar>
          </w:tcPr>
          <w:p w:rsidR="00000000" w:rsidRDefault="00000000" w14:paraId="7E000096">
            <w:pPr>
              <w:rPr/>
            </w:pPr>
            <w:r>
              <w:rPr>
                <w:sz w:val="19"/>
                <w:szCs w:val="19"/>
              </w:rPr>
              <w:t xml:space="preserve">Load-Shift Carbon Savings</w:t>
            </w:r>
          </w:p>
        </w:tc>
        <w:tc>
          <w:tcPr>
            <w:tcW w:w="2720" w:type="dxa"/>
            <w:tcMar>
              <w:top w:w="80" w:type="dxa"/>
              <w:left w:w="100" w:type="dxa"/>
              <w:bottom w:w="80" w:type="dxa"/>
              <w:right w:w="100" w:type="dxa"/>
            </w:tcMar>
          </w:tcPr>
          <w:p w:rsidR="00000000" w:rsidRDefault="00000000" w14:paraId="7E000097">
            <w:pPr>
              <w:rPr/>
            </w:pPr>
            <w:r>
              <w:rPr>
                <w:sz w:val="19"/>
                <w:szCs w:val="19"/>
              </w:rPr>
              <w:t xml:space="preserve">Energy × (intensity at the requested time − intensity at the actual run time), using the same GSG for both</w:t>
            </w:r>
          </w:p>
        </w:tc>
        <w:tc>
          <w:tcPr>
            <w:tcW w:w="1280" w:type="dxa"/>
            <w:tcMar>
              <w:top w:w="80" w:type="dxa"/>
              <w:left w:w="100" w:type="dxa"/>
              <w:bottom w:w="80" w:type="dxa"/>
              <w:right w:w="100" w:type="dxa"/>
            </w:tcMar>
          </w:tcPr>
          <w:p w:rsidR="00000000" w:rsidRDefault="00000000" w14:paraId="7E000098">
            <w:pPr>
              <w:rPr/>
            </w:pPr>
            <w:r>
              <w:rPr>
                <w:sz w:val="19"/>
                <w:szCs w:val="19"/>
              </w:rPr>
              <w:t xml:space="preserve">gCO2e</w:t>
            </w:r>
          </w:p>
        </w:tc>
        <w:tc>
          <w:tcPr>
            <w:tcW w:w="1280" w:type="dxa"/>
            <w:tcMar>
              <w:top w:w="80" w:type="dxa"/>
              <w:left w:w="100" w:type="dxa"/>
              <w:bottom w:w="80" w:type="dxa"/>
              <w:right w:w="100" w:type="dxa"/>
            </w:tcMar>
          </w:tcPr>
          <w:p w:rsidR="00000000" w:rsidRDefault="00000000" w14:paraId="7E000099">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9A">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E00009B">
            <w:pPr>
              <w:rPr/>
            </w:pPr>
            <w:r>
              <w:rPr>
                <w:sz w:val="19"/>
                <w:szCs w:val="19"/>
              </w:rPr>
              <w:t xml:space="preserve">D-LSC</w:t>
            </w:r>
          </w:p>
        </w:tc>
        <w:tc>
          <w:tcPr>
            <w:tcW w:w="2240" w:type="dxa"/>
            <w:tcMar>
              <w:top w:w="80" w:type="dxa"/>
              <w:left w:w="100" w:type="dxa"/>
              <w:bottom w:w="80" w:type="dxa"/>
              <w:right w:w="100" w:type="dxa"/>
            </w:tcMar>
          </w:tcPr>
          <w:p w:rsidR="00000000" w:rsidRDefault="00000000" w14:paraId="7E00009C">
            <w:pPr>
              <w:rPr/>
            </w:pPr>
            <w:r>
              <w:rPr>
                <w:sz w:val="19"/>
                <w:szCs w:val="19"/>
              </w:rPr>
              <w:t xml:space="preserve">Load-Shift Cost Savings</w:t>
            </w:r>
          </w:p>
        </w:tc>
        <w:tc>
          <w:tcPr>
            <w:tcW w:w="2720" w:type="dxa"/>
            <w:tcMar>
              <w:top w:w="80" w:type="dxa"/>
              <w:left w:w="100" w:type="dxa"/>
              <w:bottom w:w="80" w:type="dxa"/>
              <w:right w:w="100" w:type="dxa"/>
            </w:tcMar>
          </w:tcPr>
          <w:p w:rsidR="00000000" w:rsidRDefault="00000000" w14:paraId="7E00009D">
            <w:pPr>
              <w:rPr/>
            </w:pPr>
            <w:r>
              <w:rPr>
                <w:sz w:val="19"/>
                <w:szCs w:val="19"/>
              </w:rPr>
              <w:t xml:space="preserve">Energy × (TRT at the requested time − TRT at the actual run time)</w:t>
            </w:r>
          </w:p>
        </w:tc>
        <w:tc>
          <w:tcPr>
            <w:tcW w:w="1280" w:type="dxa"/>
            <w:tcMar>
              <w:top w:w="80" w:type="dxa"/>
              <w:left w:w="100" w:type="dxa"/>
              <w:bottom w:w="80" w:type="dxa"/>
              <w:right w:w="100" w:type="dxa"/>
            </w:tcMar>
          </w:tcPr>
          <w:p w:rsidR="00000000" w:rsidRDefault="00000000" w14:paraId="7E00009E">
            <w:pPr>
              <w:rPr/>
            </w:pPr>
            <w:r>
              <w:rPr>
                <w:sz w:val="19"/>
                <w:szCs w:val="19"/>
              </w:rPr>
              <w:t xml:space="preserve">$</w:t>
            </w:r>
          </w:p>
        </w:tc>
        <w:tc>
          <w:tcPr>
            <w:tcW w:w="1280" w:type="dxa"/>
            <w:tcMar>
              <w:top w:w="80" w:type="dxa"/>
              <w:left w:w="100" w:type="dxa"/>
              <w:bottom w:w="80" w:type="dxa"/>
              <w:right w:w="100" w:type="dxa"/>
            </w:tcMar>
          </w:tcPr>
          <w:p w:rsidR="00000000" w:rsidRDefault="00000000" w14:paraId="7E00009F">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A0">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E0000A1">
            <w:pPr>
              <w:rPr/>
            </w:pPr>
            <w:r>
              <w:rPr>
                <w:sz w:val="19"/>
                <w:szCs w:val="19"/>
              </w:rPr>
              <w:t xml:space="preserve">D-CRU</w:t>
            </w:r>
          </w:p>
        </w:tc>
        <w:tc>
          <w:tcPr>
            <w:tcW w:w="2240" w:type="dxa"/>
            <w:tcMar>
              <w:top w:w="80" w:type="dxa"/>
              <w:left w:w="100" w:type="dxa"/>
              <w:bottom w:w="80" w:type="dxa"/>
              <w:right w:w="100" w:type="dxa"/>
            </w:tcMar>
          </w:tcPr>
          <w:p w:rsidR="00000000" w:rsidRDefault="00000000" w14:paraId="7E0000A2">
            <w:pPr>
              <w:rPr/>
            </w:pPr>
            <w:r>
              <w:rPr>
                <w:sz w:val="19"/>
                <w:szCs w:val="19"/>
              </w:rPr>
              <w:t xml:space="preserve">Curtailment Utilization</w:t>
            </w:r>
          </w:p>
        </w:tc>
        <w:tc>
          <w:tcPr>
            <w:tcW w:w="2720" w:type="dxa"/>
            <w:tcMar>
              <w:top w:w="80" w:type="dxa"/>
              <w:left w:w="100" w:type="dxa"/>
              <w:bottom w:w="80" w:type="dxa"/>
              <w:right w:w="100" w:type="dxa"/>
            </w:tcMar>
          </w:tcPr>
          <w:p w:rsidR="00000000" w:rsidRDefault="00000000" w14:paraId="7E0000A3">
            <w:pPr>
              <w:rPr/>
            </w:pPr>
            <w:r>
              <w:rPr>
                <w:sz w:val="19"/>
                <w:szCs w:val="19"/>
              </w:rPr>
              <w:t xml:space="preserve">Share of shifted energy consumed during intervals with RCF &gt; 0</w:t>
            </w:r>
          </w:p>
        </w:tc>
        <w:tc>
          <w:tcPr>
            <w:tcW w:w="1280" w:type="dxa"/>
            <w:tcMar>
              <w:top w:w="80" w:type="dxa"/>
              <w:left w:w="100" w:type="dxa"/>
              <w:bottom w:w="80" w:type="dxa"/>
              <w:right w:w="100" w:type="dxa"/>
            </w:tcMar>
          </w:tcPr>
          <w:p w:rsidR="00000000" w:rsidRDefault="00000000" w14:paraId="7E0000A4">
            <w:pPr>
              <w:rPr/>
            </w:pPr>
            <w:r>
              <w:rPr>
                <w:sz w:val="19"/>
                <w:szCs w:val="19"/>
              </w:rPr>
              <w:t xml:space="preserve">%</w:t>
            </w:r>
          </w:p>
        </w:tc>
        <w:tc>
          <w:tcPr>
            <w:tcW w:w="1280" w:type="dxa"/>
            <w:tcMar>
              <w:top w:w="80" w:type="dxa"/>
              <w:left w:w="100" w:type="dxa"/>
              <w:bottom w:w="80" w:type="dxa"/>
              <w:right w:w="100" w:type="dxa"/>
            </w:tcMar>
          </w:tcPr>
          <w:p w:rsidR="00000000" w:rsidRDefault="00000000" w14:paraId="7E0000A5">
            <w:pPr>
              <w:rPr/>
            </w:pPr>
            <w:r>
              <w:rPr>
                <w:sz w:val="19"/>
                <w:szCs w:val="19"/>
              </w:rPr>
              <w:t xml:space="preserve">Monthly</w:t>
            </w:r>
          </w:p>
        </w:tc>
        <w:tc>
          <w:tcPr>
            <w:tcW w:w="1120" w:type="dxa"/>
            <w:tcMar>
              <w:top w:w="80" w:type="dxa"/>
              <w:left w:w="100" w:type="dxa"/>
              <w:bottom w:w="80" w:type="dxa"/>
              <w:right w:w="100" w:type="dxa"/>
            </w:tcMar>
          </w:tcPr>
          <w:p w:rsidR="00000000" w:rsidRDefault="00000000" w14:paraId="7E0000A6">
            <w:pPr>
              <w:rPr/>
            </w:pPr>
            <w:r>
              <w:rPr>
                <w:sz w:val="19"/>
                <w:szCs w:val="19"/>
              </w:rPr>
              <w:t xml:space="preserve">Modeled</w:t>
            </w:r>
          </w:p>
        </w:tc>
      </w:tr>
    </w:tbl>
    <w:p w:rsidR="00000000" w:rsidRDefault="00000000" w14:paraId="7E0000A7">
      <w:pPr>
        <w:spacing w:after="120"/>
        <w:rPr/>
      </w:pPr>
    </w:p>
    <w:p w:rsidR="00000000" w:rsidRDefault="00000000" w14:paraId="7E0000A8">
      <w:pPr>
        <w:pStyle w:val="Heading3"/>
        <w:spacing w:after="100" w:before="200" w:lineRule="auto"/>
        <w:rPr/>
      </w:pPr>
      <w:r>
        <w:rPr>
          <w:b w:val="1"/>
          <w:bCs w:val="1"/>
          <w:color w:val="333333"/>
          <w:sz w:val="21"/>
          <w:szCs w:val="21"/>
        </w:rPr>
        <w:t xml:space="preserve">21.7.2 Method</w:t>
      </w:r>
    </w:p>
    <w:p w:rsidR="00000000" w:rsidRDefault="00000000" w14:paraId="7E0000A9">
      <w:pPr>
        <w:numPr>
          <w:ilvl w:val="0"/>
          <w:numId w:val="1"/>
        </w:numPr>
        <w:spacing w:after="60" w:before="0" w:line="240" w:lineRule="auto"/>
        <w:ind w:left="720" w:right="0" w:hanging="360"/>
        <w:rPr/>
      </w:pPr>
      <w:r>
        <w:rPr>
          <w:b w:val="1"/>
          <w:bCs w:val="1"/>
          <w:sz w:val="21"/>
          <w:szCs w:val="21"/>
        </w:rPr>
        <w:t xml:space="preserve">Declared before, measured after.</w:t>
      </w:r>
      <w:r>
        <w:rPr>
          <w:sz w:val="21"/>
          <w:szCs w:val="21"/>
        </w:rPr>
        <w:t xml:space="preserve"> Savings count only for jobs with SLK declared before scheduling, and the baseline is the requested start time. This prevents hindsight claims.</w:t>
      </w:r>
    </w:p>
    <w:p w:rsidR="00000000" w:rsidRDefault="00000000" w14:paraId="7E0000AA">
      <w:pPr>
        <w:numPr>
          <w:ilvl w:val="0"/>
          <w:numId w:val="1"/>
        </w:numPr>
        <w:spacing w:after="60" w:before="0" w:line="240" w:lineRule="auto"/>
        <w:ind w:left="720" w:right="0" w:hanging="360"/>
        <w:rPr/>
      </w:pPr>
      <w:r>
        <w:rPr>
          <w:b w:val="1"/>
          <w:bCs w:val="1"/>
          <w:sz w:val="21"/>
          <w:szCs w:val="21"/>
        </w:rPr>
        <w:t xml:space="preserve">Decision signal versus reporting signal.</w:t>
      </w:r>
      <w:r>
        <w:rPr>
          <w:sz w:val="21"/>
          <w:szCs w:val="21"/>
        </w:rPr>
        <w:t xml:space="preserve"> Marginal signals are recommended for scheduling decisions and average signals for attributional inventory reporting, consistent with GHG Protocol Scope 2. GSG is recorded on every value, and D-LSS always uses the same signal type for baseline and actual.</w:t>
      </w:r>
    </w:p>
    <w:p w:rsidR="00000000" w:rsidRDefault="00000000" w14:paraId="7E0000AB">
      <w:pPr>
        <w:numPr>
          <w:ilvl w:val="0"/>
          <w:numId w:val="1"/>
        </w:numPr>
        <w:spacing w:after="60" w:before="0" w:line="240" w:lineRule="auto"/>
        <w:ind w:left="720" w:right="0" w:hanging="360"/>
        <w:rPr/>
      </w:pPr>
      <w:r>
        <w:rPr>
          <w:b w:val="1"/>
          <w:bCs w:val="1"/>
          <w:sz w:val="21"/>
          <w:szCs w:val="21"/>
        </w:rPr>
        <w:t xml:space="preserve">Forecast integrity.</w:t>
      </w:r>
      <w:r>
        <w:rPr>
          <w:sz w:val="21"/>
          <w:szCs w:val="21"/>
        </w:rPr>
        <w:t xml:space="preserve"> GFW stores the forecast available at decision time, so a schedule is judged on what could have been known, not on later actuals.</w:t>
      </w:r>
    </w:p>
    <w:p w:rsidR="00000000" w:rsidRDefault="00000000" w14:paraId="7E0000AC">
      <w:pPr>
        <w:numPr>
          <w:ilvl w:val="0"/>
          <w:numId w:val="1"/>
        </w:numPr>
        <w:spacing w:after="60" w:before="0" w:line="240" w:lineRule="auto"/>
        <w:ind w:left="720" w:right="0" w:hanging="360"/>
        <w:rPr/>
      </w:pPr>
      <w:r>
        <w:rPr>
          <w:b w:val="1"/>
          <w:bCs w:val="1"/>
          <w:sz w:val="21"/>
          <w:szCs w:val="21"/>
        </w:rPr>
        <w:t xml:space="preserve">Explicit cost-carbon policy.</w:t>
      </w:r>
      <w:r>
        <w:rPr>
          <w:sz w:val="21"/>
          <w:szCs w:val="21"/>
        </w:rPr>
        <w:t xml:space="preserve"> The cheapest hour is not always the cleanest. Each workload declares a policy (carbon-first, cost-first, or weighted), and dashboards show D-LSS and D-LSC side by side.</w:t>
      </w:r>
    </w:p>
    <w:p w:rsidR="00000000" w:rsidRDefault="00000000" w14:paraId="7E0000AD">
      <w:pPr>
        <w:numPr>
          <w:ilvl w:val="0"/>
          <w:numId w:val="1"/>
        </w:numPr>
        <w:spacing w:after="60" w:before="0" w:line="240" w:lineRule="auto"/>
        <w:ind w:left="720" w:right="0" w:hanging="360"/>
        <w:rPr/>
      </w:pPr>
      <w:r>
        <w:rPr>
          <w:b w:val="1"/>
          <w:bCs w:val="1"/>
          <w:sz w:val="21"/>
          <w:szCs w:val="21"/>
        </w:rPr>
        <w:t xml:space="preserve">Curtailment.</w:t>
      </w:r>
      <w:r>
        <w:rPr>
          <w:sz w:val="21"/>
          <w:szCs w:val="21"/>
        </w:rPr>
        <w:t xml:space="preserve"> Shifting into curtailment intervals is reported separately (D-CRU) because it uses renewable energy that would otherwise be wasted.</w:t>
      </w:r>
    </w:p>
    <w:p w:rsidR="00000000" w:rsidRDefault="00000000" w14:paraId="7E0000AE">
      <w:pPr>
        <w:numPr>
          <w:ilvl w:val="0"/>
          <w:numId w:val="1"/>
        </w:numPr>
        <w:spacing w:after="60" w:before="0" w:line="240" w:lineRule="auto"/>
        <w:ind w:left="720" w:right="0" w:hanging="360"/>
        <w:rPr/>
      </w:pPr>
      <w:r>
        <w:rPr>
          <w:b w:val="1"/>
          <w:bCs w:val="1"/>
          <w:sz w:val="21"/>
          <w:szCs w:val="21"/>
        </w:rPr>
        <w:t xml:space="preserve">Scoring.</w:t>
      </w:r>
      <w:r>
        <w:rPr>
          <w:sz w:val="21"/>
          <w:szCs w:val="21"/>
        </w:rPr>
        <w:t xml:space="preserve"> D-LSS and D-CRU feed the carbon timing sub-score (D-CTS, §21.3), and shifting opportunities appear as recommendations (§21.5).</w:t>
      </w:r>
    </w:p>
    <w:p w:rsidR="00000000" w:rsidRDefault="00000000" w14:paraId="7E0000AF">
      <w:pPr>
        <w:pStyle w:val="Heading3"/>
        <w:spacing w:after="100" w:before="200" w:lineRule="auto"/>
        <w:rPr/>
      </w:pPr>
      <w:r>
        <w:rPr>
          <w:b w:val="1"/>
          <w:bCs w:val="1"/>
          <w:color w:val="333333"/>
          <w:sz w:val="21"/>
          <w:szCs w:val="21"/>
        </w:rPr>
        <w:t xml:space="preserve">21.7.3 Harmonization</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0B0">
            <w:pPr>
              <w:rPr/>
            </w:pPr>
            <w:r>
              <w:rPr>
                <w:b w:val="1"/>
                <w:bCs w:val="1"/>
                <w:color w:val="ffffff"/>
                <w:sz w:val="19"/>
                <w:szCs w:val="19"/>
              </w:rPr>
              <w:t xml:space="preserve">Concern</w:t>
            </w:r>
          </w:p>
        </w:tc>
        <w:tc>
          <w:tcPr>
            <w:tcW w:w="3400" w:type="dxa"/>
            <w:shd w:val="clear" w:color="auto" w:fill="1e7a4c"/>
            <w:tcMar>
              <w:top w:w="80" w:type="dxa"/>
              <w:left w:w="100" w:type="dxa"/>
              <w:bottom w:w="80" w:type="dxa"/>
              <w:right w:w="100" w:type="dxa"/>
            </w:tcMar>
          </w:tcPr>
          <w:p w:rsidR="00000000" w:rsidRDefault="00000000" w14:paraId="7E0000B1">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0B2">
            <w:pPr>
              <w:rPr/>
            </w:pPr>
            <w:r>
              <w:rPr>
                <w:b w:val="1"/>
                <w:bCs w:val="1"/>
                <w:color w:val="ffffff"/>
                <w:sz w:val="19"/>
                <w:szCs w:val="19"/>
              </w:rPr>
              <w:t xml:space="preserve">Stardust fields</w:t>
            </w:r>
          </w:p>
        </w:tc>
      </w:tr>
      <w:tr>
        <w:trPr>
          <w:cantSplit/>
        </w:trPr>
        <w:tc>
          <w:tcPr>
            <w:tcW w:w="2600" w:type="dxa"/>
            <w:tcMar>
              <w:top w:w="80" w:type="dxa"/>
              <w:left w:w="100" w:type="dxa"/>
              <w:bottom w:w="80" w:type="dxa"/>
              <w:right w:w="100" w:type="dxa"/>
            </w:tcMar>
          </w:tcPr>
          <w:p w:rsidR="00000000" w:rsidRDefault="00000000" w14:paraId="7E0000B3">
            <w:pPr>
              <w:rPr/>
            </w:pPr>
            <w:r>
              <w:rPr>
                <w:sz w:val="19"/>
                <w:szCs w:val="19"/>
              </w:rPr>
              <w:t xml:space="preserve">Grid carbon intensity and forecasts</w:t>
            </w:r>
          </w:p>
        </w:tc>
        <w:tc>
          <w:tcPr>
            <w:tcW w:w="3400" w:type="dxa"/>
            <w:tcMar>
              <w:top w:w="80" w:type="dxa"/>
              <w:left w:w="100" w:type="dxa"/>
              <w:bottom w:w="80" w:type="dxa"/>
              <w:right w:w="100" w:type="dxa"/>
            </w:tcMar>
          </w:tcPr>
          <w:p w:rsidR="00000000" w:rsidRDefault="00000000" w14:paraId="7E0000B4">
            <w:pPr>
              <w:rPr/>
            </w:pPr>
            <w:r>
              <w:rPr>
                <w:sz w:val="19"/>
                <w:szCs w:val="19"/>
              </w:rPr>
              <w:t xml:space="preserve">WattTime API (marginal); Electricity Maps API (average); GSF Carbon Aware SDK as the common interface</w:t>
            </w:r>
          </w:p>
        </w:tc>
        <w:tc>
          <w:tcPr>
            <w:tcW w:w="3600" w:type="dxa"/>
            <w:tcMar>
              <w:top w:w="80" w:type="dxa"/>
              <w:left w:w="100" w:type="dxa"/>
              <w:bottom w:w="80" w:type="dxa"/>
              <w:right w:w="100" w:type="dxa"/>
            </w:tcMar>
          </w:tcPr>
          <w:p w:rsidR="00000000" w:rsidRDefault="00000000" w14:paraId="7E0000B5">
            <w:pPr>
              <w:rPr/>
            </w:pPr>
            <w:r>
              <w:rPr>
                <w:sz w:val="19"/>
                <w:szCs w:val="19"/>
              </w:rPr>
              <w:t xml:space="preserve">GCI, GSG, GFW</w:t>
            </w:r>
          </w:p>
        </w:tc>
      </w:tr>
      <w:tr>
        <w:trPr>
          <w:cantSplit/>
        </w:trPr>
        <w:tc>
          <w:tcPr>
            <w:tcW w:w="2600" w:type="dxa"/>
            <w:tcMar>
              <w:top w:w="80" w:type="dxa"/>
              <w:left w:w="100" w:type="dxa"/>
              <w:bottom w:w="80" w:type="dxa"/>
              <w:right w:w="100" w:type="dxa"/>
            </w:tcMar>
          </w:tcPr>
          <w:p w:rsidR="00000000" w:rsidRDefault="00000000" w14:paraId="7E0000B6">
            <w:pPr>
              <w:rPr/>
            </w:pPr>
            <w:r>
              <w:rPr>
                <w:sz w:val="19"/>
                <w:szCs w:val="19"/>
              </w:rPr>
              <w:t xml:space="preserve">Time-of-use and dynamic prices</w:t>
            </w:r>
          </w:p>
        </w:tc>
        <w:tc>
          <w:tcPr>
            <w:tcW w:w="3400" w:type="dxa"/>
            <w:tcMar>
              <w:top w:w="80" w:type="dxa"/>
              <w:left w:w="100" w:type="dxa"/>
              <w:bottom w:w="80" w:type="dxa"/>
              <w:right w:w="100" w:type="dxa"/>
            </w:tcMar>
          </w:tcPr>
          <w:p w:rsidR="00000000" w:rsidRDefault="00000000" w14:paraId="7E0000B7">
            <w:pPr>
              <w:rPr/>
            </w:pPr>
            <w:r>
              <w:rPr>
                <w:sz w:val="19"/>
                <w:szCs w:val="19"/>
              </w:rPr>
              <w:t xml:space="preserve">OpenADR 3.0 price events; OpenEI Utility Rate Database for US tariff structures; Green Button for interval meter data</w:t>
            </w:r>
          </w:p>
        </w:tc>
        <w:tc>
          <w:tcPr>
            <w:tcW w:w="3600" w:type="dxa"/>
            <w:tcMar>
              <w:top w:w="80" w:type="dxa"/>
              <w:left w:w="100" w:type="dxa"/>
              <w:bottom w:w="80" w:type="dxa"/>
              <w:right w:w="100" w:type="dxa"/>
            </w:tcMar>
          </w:tcPr>
          <w:p w:rsidR="00000000" w:rsidRDefault="00000000" w14:paraId="7E0000B8">
            <w:pPr>
              <w:rPr/>
            </w:pPr>
            <w:r>
              <w:rPr>
                <w:sz w:val="19"/>
                <w:szCs w:val="19"/>
              </w:rPr>
              <w:t xml:space="preserve">TOU, TRT</w:t>
            </w:r>
          </w:p>
        </w:tc>
      </w:tr>
      <w:tr>
        <w:trPr>
          <w:cantSplit/>
        </w:trPr>
        <w:tc>
          <w:tcPr>
            <w:tcW w:w="2600" w:type="dxa"/>
            <w:tcMar>
              <w:top w:w="80" w:type="dxa"/>
              <w:left w:w="100" w:type="dxa"/>
              <w:bottom w:w="80" w:type="dxa"/>
              <w:right w:w="100" w:type="dxa"/>
            </w:tcMar>
          </w:tcPr>
          <w:p w:rsidR="00000000" w:rsidRDefault="00000000" w14:paraId="7E0000B9">
            <w:pPr>
              <w:rPr/>
            </w:pPr>
            <w:r>
              <w:rPr>
                <w:sz w:val="19"/>
                <w:szCs w:val="19"/>
              </w:rPr>
              <w:t xml:space="preserve">Hourly clean-energy matching</w:t>
            </w:r>
          </w:p>
        </w:tc>
        <w:tc>
          <w:tcPr>
            <w:tcW w:w="3400" w:type="dxa"/>
            <w:tcMar>
              <w:top w:w="80" w:type="dxa"/>
              <w:left w:w="100" w:type="dxa"/>
              <w:bottom w:w="80" w:type="dxa"/>
              <w:right w:w="100" w:type="dxa"/>
            </w:tcMar>
          </w:tcPr>
          <w:p w:rsidR="00000000" w:rsidRDefault="00000000" w14:paraId="7E0000BA">
            <w:pPr>
              <w:rPr/>
            </w:pPr>
            <w:r>
              <w:rPr>
                <w:sz w:val="19"/>
                <w:szCs w:val="19"/>
              </w:rPr>
              <w:t xml:space="preserve">EnergyTag granular certificates (§22.2)</w:t>
            </w:r>
          </w:p>
        </w:tc>
        <w:tc>
          <w:tcPr>
            <w:tcW w:w="3600" w:type="dxa"/>
            <w:tcMar>
              <w:top w:w="80" w:type="dxa"/>
              <w:left w:w="100" w:type="dxa"/>
              <w:bottom w:w="80" w:type="dxa"/>
              <w:right w:w="100" w:type="dxa"/>
            </w:tcMar>
          </w:tcPr>
          <w:p w:rsidR="00000000" w:rsidRDefault="00000000" w14:paraId="7E0000BB">
            <w:pPr>
              <w:rPr/>
            </w:pPr>
            <w:r>
              <w:rPr>
                <w:sz w:val="19"/>
                <w:szCs w:val="19"/>
              </w:rPr>
              <w:t xml:space="preserve">Links D-LSS to hourly matching</w:t>
            </w:r>
          </w:p>
        </w:tc>
      </w:tr>
      <w:tr>
        <w:trPr>
          <w:cantSplit/>
        </w:trPr>
        <w:tc>
          <w:tcPr>
            <w:tcW w:w="2600" w:type="dxa"/>
            <w:tcMar>
              <w:top w:w="80" w:type="dxa"/>
              <w:left w:w="100" w:type="dxa"/>
              <w:bottom w:w="80" w:type="dxa"/>
              <w:right w:w="100" w:type="dxa"/>
            </w:tcMar>
          </w:tcPr>
          <w:p w:rsidR="00000000" w:rsidRDefault="00000000" w14:paraId="7E0000BC">
            <w:pPr>
              <w:rPr/>
            </w:pPr>
            <w:r>
              <w:rPr>
                <w:sz w:val="19"/>
                <w:szCs w:val="19"/>
              </w:rPr>
              <w:t xml:space="preserve">Carbon accounting</w:t>
            </w:r>
          </w:p>
        </w:tc>
        <w:tc>
          <w:tcPr>
            <w:tcW w:w="3400" w:type="dxa"/>
            <w:tcMar>
              <w:top w:w="80" w:type="dxa"/>
              <w:left w:w="100" w:type="dxa"/>
              <w:bottom w:w="80" w:type="dxa"/>
              <w:right w:w="100" w:type="dxa"/>
            </w:tcMar>
          </w:tcPr>
          <w:p w:rsidR="00000000" w:rsidRDefault="00000000" w14:paraId="7E0000BD">
            <w:pPr>
              <w:rPr/>
            </w:pPr>
            <w:r>
              <w:rPr>
                <w:sz w:val="19"/>
                <w:szCs w:val="19"/>
              </w:rPr>
              <w:t xml:space="preserve">GSF SCI (ISO/IEC 21031); GHG Protocol Scope 2</w:t>
            </w:r>
          </w:p>
        </w:tc>
        <w:tc>
          <w:tcPr>
            <w:tcW w:w="3600" w:type="dxa"/>
            <w:tcMar>
              <w:top w:w="80" w:type="dxa"/>
              <w:left w:w="100" w:type="dxa"/>
              <w:bottom w:w="80" w:type="dxa"/>
              <w:right w:w="100" w:type="dxa"/>
            </w:tcMar>
          </w:tcPr>
          <w:p w:rsidR="00000000" w:rsidRDefault="00000000" w14:paraId="7E0000BE">
            <w:pPr>
              <w:rPr/>
            </w:pPr>
            <w:r>
              <w:rPr>
                <w:sz w:val="19"/>
                <w:szCs w:val="19"/>
              </w:rPr>
              <w:t xml:space="preserve">Reporting basis for D-LSS</w:t>
            </w:r>
          </w:p>
        </w:tc>
      </w:tr>
      <w:tr>
        <w:trPr>
          <w:cantSplit/>
        </w:trPr>
        <w:tc>
          <w:tcPr>
            <w:tcW w:w="2600" w:type="dxa"/>
            <w:tcMar>
              <w:top w:w="80" w:type="dxa"/>
              <w:left w:w="100" w:type="dxa"/>
              <w:bottom w:w="80" w:type="dxa"/>
              <w:right w:w="100" w:type="dxa"/>
            </w:tcMar>
          </w:tcPr>
          <w:p w:rsidR="00000000" w:rsidRDefault="00000000" w14:paraId="7E0000BF">
            <w:pPr>
              <w:rPr/>
            </w:pPr>
            <w:r>
              <w:rPr>
                <w:sz w:val="19"/>
                <w:szCs w:val="19"/>
              </w:rPr>
              <w:t xml:space="preserve">Hardware and node energy</w:t>
            </w:r>
          </w:p>
        </w:tc>
        <w:tc>
          <w:tcPr>
            <w:tcW w:w="3400" w:type="dxa"/>
            <w:tcMar>
              <w:top w:w="80" w:type="dxa"/>
              <w:left w:w="100" w:type="dxa"/>
              <w:bottom w:w="80" w:type="dxa"/>
              <w:right w:w="100" w:type="dxa"/>
            </w:tcMar>
          </w:tcPr>
          <w:p w:rsidR="00000000" w:rsidRDefault="00000000" w14:paraId="7E0000C0">
            <w:pPr>
              <w:rPr/>
            </w:pPr>
            <w:r>
              <w:rPr>
                <w:sz w:val="19"/>
                <w:szCs w:val="19"/>
              </w:rPr>
              <w:t xml:space="preserve">OTel hw.* metrics; Kepler; NVIDIA DCGM</w:t>
            </w:r>
          </w:p>
        </w:tc>
        <w:tc>
          <w:tcPr>
            <w:tcW w:w="3600" w:type="dxa"/>
            <w:tcMar>
              <w:top w:w="80" w:type="dxa"/>
              <w:left w:w="100" w:type="dxa"/>
              <w:bottom w:w="80" w:type="dxa"/>
              <w:right w:w="100" w:type="dxa"/>
            </w:tcMar>
          </w:tcPr>
          <w:p w:rsidR="00000000" w:rsidRDefault="00000000" w14:paraId="7E0000C1">
            <w:pPr>
              <w:rPr/>
            </w:pPr>
            <w:r>
              <w:rPr>
                <w:sz w:val="19"/>
                <w:szCs w:val="19"/>
              </w:rPr>
              <w:t xml:space="preserve">Energy input for D-LSS and D-LSC</w:t>
            </w:r>
          </w:p>
        </w:tc>
      </w:tr>
    </w:tbl>
    <w:p w:rsidR="00000000" w:rsidRDefault="00000000" w14:paraId="7E0000C2">
      <w:pPr>
        <w:spacing w:after="120"/>
        <w:rPr/>
      </w:pPr>
    </w:p>
    <w:p w:rsidR="00000000" w:rsidRDefault="00000000" w14:paraId="7D00000E">
      <w:pPr>
        <w:pStyle w:val="Heading1"/>
        <w:spacing w:after="160" w:before="360" w:lineRule="auto"/>
        <w:rPr/>
      </w:pPr>
      <w:r>
        <w:rPr>
          <w:b w:val="1"/>
          <w:bCs w:val="1"/>
          <w:color w:val="0f4a2e"/>
          <w:sz w:val="30"/>
          <w:szCs w:val="30"/>
        </w:rPr>
        <w:t xml:space="preserve">22. Multi-Attribute Impact Credits: Renewable Energy, Water, Heat Recovery, and Recycling</w:t>
      </w:r>
    </w:p>
    <w:p w:rsidR="00000000" w:rsidRDefault="00000000" w14:paraId="7D00000F">
      <w:pPr>
        <w:spacing w:after="140" w:lineRule="auto"/>
        <w:rPr/>
      </w:pPr>
      <w:r>
        <w:rPr>
          <w:sz w:val="21"/>
          <w:szCs w:val="21"/>
        </w:rPr>
        <w:t xml:space="preserve">Carbon is one dimension of impact. Stardust measures a Subscriber’s footprint across carbon, electricity, water, heat and materials, and Providers that generate renewable electricity, restore, recycle or remediate water, recover waste heat, or recycle materials produce the positive counterpart. This section extends the Provider/Subscriber model (§10) so each footprint dimension is matched with the recognized credit instrument for that dimension, and specifies how Stardust connects to the registries and markets where those credits are issued, traded and retired.</w:t>
      </w:r>
    </w:p>
    <w:p w:rsidR="00000000" w:rsidRDefault="00000000" w14:paraId="7D000010">
      <w:pPr>
        <w:pStyle w:val="Heading2"/>
        <w:spacing w:after="120" w:before="280" w:lineRule="auto"/>
        <w:rPr/>
      </w:pPr>
      <w:r>
        <w:rPr>
          <w:b w:val="1"/>
          <w:bCs w:val="1"/>
          <w:color w:val="1e7a4c"/>
          <w:sz w:val="24"/>
          <w:szCs w:val="24"/>
        </w:rPr>
        <w:t xml:space="preserve">22.1 Design Principles</w:t>
      </w:r>
    </w:p>
    <w:p w:rsidR="00000000" w:rsidRDefault="00000000" w14:paraId="7D000011">
      <w:pPr>
        <w:numPr>
          <w:ilvl w:val="0"/>
          <w:numId w:val="1"/>
        </w:numPr>
        <w:spacing w:after="60" w:before="0" w:line="240" w:lineRule="auto"/>
        <w:ind w:left="720" w:right="0" w:hanging="360"/>
        <w:rPr/>
      </w:pPr>
      <w:r>
        <w:rPr>
          <w:b w:val="1"/>
          <w:bCs w:val="1"/>
          <w:sz w:val="21"/>
          <w:szCs w:val="21"/>
        </w:rPr>
        <w:t xml:space="preserve">Like for like.</w:t>
      </w:r>
      <w:r>
        <w:rPr>
          <w:sz w:val="21"/>
          <w:szCs w:val="21"/>
        </w:rPr>
        <w:t xml:space="preserve"> Each footprint dimension is matched only with credits of the same dimension. A water credit never cancels carbon, and a REC is a Scope 2 electricity claim, not a carbon offset.</w:t>
      </w:r>
    </w:p>
    <w:p w:rsidR="00000000" w:rsidRDefault="00000000" w14:paraId="7D000012">
      <w:pPr>
        <w:numPr>
          <w:ilvl w:val="0"/>
          <w:numId w:val="1"/>
        </w:numPr>
        <w:spacing w:after="60" w:before="0" w:line="240" w:lineRule="auto"/>
        <w:ind w:left="720" w:right="0" w:hanging="360"/>
        <w:rPr/>
      </w:pPr>
      <w:r>
        <w:rPr>
          <w:b w:val="1"/>
          <w:bCs w:val="1"/>
          <w:sz w:val="21"/>
          <w:szCs w:val="21"/>
        </w:rPr>
        <w:t xml:space="preserve">Register, don’t issue.</w:t>
      </w:r>
      <w:r>
        <w:rPr>
          <w:sz w:val="21"/>
          <w:szCs w:val="21"/>
        </w:rPr>
        <w:t xml:space="preserve"> Stardust supplies measurement and MRV data; recognized programs and registries verify and issue. Stardust never mints its own credits.</w:t>
      </w:r>
    </w:p>
    <w:p w:rsidR="00000000" w:rsidRDefault="00000000" w14:paraId="7D000013">
      <w:pPr>
        <w:numPr>
          <w:ilvl w:val="0"/>
          <w:numId w:val="1"/>
        </w:numPr>
        <w:spacing w:after="60" w:before="0" w:line="240" w:lineRule="auto"/>
        <w:ind w:left="720" w:right="0" w:hanging="360"/>
        <w:rPr/>
      </w:pPr>
      <w:r>
        <w:rPr>
          <w:b w:val="1"/>
          <w:bCs w:val="1"/>
          <w:sz w:val="21"/>
          <w:szCs w:val="21"/>
        </w:rPr>
        <w:t xml:space="preserve">One benefit, one claim.</w:t>
      </w:r>
      <w:r>
        <w:rPr>
          <w:sz w:val="21"/>
          <w:szCs w:val="21"/>
        </w:rPr>
        <w:t xml:space="preserve"> Each serial is retired once, for one beneficiary and one claim period. The same benefit cannot be sold as two instruments (for example, one MWh as both a REC and a carbon credit) unless the program explicitly allows it.</w:t>
      </w:r>
    </w:p>
    <w:p w:rsidR="00000000" w:rsidRDefault="00000000" w14:paraId="7D000014">
      <w:pPr>
        <w:numPr>
          <w:ilvl w:val="0"/>
          <w:numId w:val="1"/>
        </w:numPr>
        <w:spacing w:after="60" w:before="0" w:line="240" w:lineRule="auto"/>
        <w:ind w:left="720" w:right="0" w:hanging="360"/>
        <w:rPr/>
      </w:pPr>
      <w:r>
        <w:rPr>
          <w:b w:val="1"/>
          <w:bCs w:val="1"/>
          <w:sz w:val="21"/>
          <w:szCs w:val="21"/>
        </w:rPr>
        <w:t xml:space="preserve">Match in time and place.</w:t>
      </w:r>
      <w:r>
        <w:rPr>
          <w:sz w:val="21"/>
          <w:szCs w:val="21"/>
        </w:rPr>
        <w:t xml:space="preserve"> Electricity is matched within a market boundary and, where possible, by the hour; water within the same or a stressed watershed; heat to a named local recipient.</w:t>
      </w:r>
    </w:p>
    <w:p w:rsidR="00000000" w:rsidRDefault="00000000" w14:paraId="7D000015">
      <w:pPr>
        <w:numPr>
          <w:ilvl w:val="0"/>
          <w:numId w:val="1"/>
        </w:numPr>
        <w:spacing w:after="60" w:before="0" w:line="240" w:lineRule="auto"/>
        <w:ind w:left="720" w:right="0" w:hanging="360"/>
        <w:rPr/>
      </w:pPr>
      <w:r>
        <w:rPr>
          <w:b w:val="1"/>
          <w:bCs w:val="1"/>
          <w:sz w:val="21"/>
          <w:szCs w:val="21"/>
        </w:rPr>
        <w:t xml:space="preserve">Same confidence discipline.</w:t>
      </w:r>
      <w:r>
        <w:rPr>
          <w:sz w:val="21"/>
          <w:szCs w:val="21"/>
        </w:rPr>
        <w:t xml:space="preserve"> The Provider confidence tiers in §10.2.1 apply to every category.</w:t>
      </w:r>
    </w:p>
    <w:p w:rsidR="00000000" w:rsidRDefault="00000000" w14:paraId="7D000016">
      <w:pPr>
        <w:pStyle w:val="Heading2"/>
        <w:spacing w:after="120" w:before="280" w:lineRule="auto"/>
        <w:rPr/>
      </w:pPr>
      <w:r>
        <w:rPr>
          <w:b w:val="1"/>
          <w:bCs w:val="1"/>
          <w:color w:val="1e7a4c"/>
          <w:sz w:val="24"/>
          <w:szCs w:val="24"/>
        </w:rPr>
        <w:t xml:space="preserve">22.2 Footprint-to-Credit Mapping</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00"/>
        <w:gridCol w:w="1600"/>
        <w:gridCol w:w="1600"/>
        <w:gridCol w:w="2900"/>
        <w:gridCol w:w="1000"/>
        <w:gridCol w:w="1400"/>
      </w:tblGrid>
      <w:tr>
        <w:trPr>
          <w:tblHeader/>
        </w:trPr>
        <w:tc>
          <w:tcPr>
            <w:tcW w:w="1100" w:type="dxa"/>
            <w:shd w:val="clear" w:color="auto" w:fill="1e7a4c"/>
            <w:tcMar>
              <w:top w:w="80" w:type="dxa"/>
              <w:left w:w="100" w:type="dxa"/>
              <w:bottom w:w="80" w:type="dxa"/>
              <w:right w:w="100" w:type="dxa"/>
            </w:tcMar>
          </w:tcPr>
          <w:p w:rsidR="00000000" w:rsidRDefault="00000000" w14:paraId="7D000017">
            <w:pPr>
              <w:rPr/>
            </w:pPr>
            <w:r>
              <w:rPr>
                <w:b w:val="1"/>
                <w:bCs w:val="1"/>
                <w:color w:val="ffffff"/>
                <w:sz w:val="19"/>
                <w:szCs w:val="19"/>
              </w:rPr>
              <w:t xml:space="preserve">Dimension</w:t>
            </w:r>
          </w:p>
        </w:tc>
        <w:tc>
          <w:tcPr>
            <w:tcW w:w="1600" w:type="dxa"/>
            <w:shd w:val="clear" w:color="auto" w:fill="1e7a4c"/>
            <w:tcMar>
              <w:top w:w="80" w:type="dxa"/>
              <w:left w:w="100" w:type="dxa"/>
              <w:bottom w:w="80" w:type="dxa"/>
              <w:right w:w="100" w:type="dxa"/>
            </w:tcMar>
          </w:tcPr>
          <w:p w:rsidR="00000000" w:rsidRDefault="00000000" w14:paraId="7D000018">
            <w:pPr>
              <w:rPr/>
            </w:pPr>
            <w:r>
              <w:rPr>
                <w:b w:val="1"/>
                <w:bCs w:val="1"/>
                <w:color w:val="ffffff"/>
                <w:sz w:val="19"/>
                <w:szCs w:val="19"/>
              </w:rPr>
              <w:t xml:space="preserve">Subscriber footprint</w:t>
            </w:r>
          </w:p>
        </w:tc>
        <w:tc>
          <w:tcPr>
            <w:tcW w:w="1600" w:type="dxa"/>
            <w:shd w:val="clear" w:color="auto" w:fill="1e7a4c"/>
            <w:tcMar>
              <w:top w:w="80" w:type="dxa"/>
              <w:left w:w="100" w:type="dxa"/>
              <w:bottom w:w="80" w:type="dxa"/>
              <w:right w:w="100" w:type="dxa"/>
            </w:tcMar>
          </w:tcPr>
          <w:p w:rsidR="00000000" w:rsidRDefault="00000000" w14:paraId="7D000019">
            <w:pPr>
              <w:rPr/>
            </w:pPr>
            <w:r>
              <w:rPr>
                <w:b w:val="1"/>
                <w:bCs w:val="1"/>
                <w:color w:val="ffffff"/>
                <w:sz w:val="19"/>
                <w:szCs w:val="19"/>
              </w:rPr>
              <w:t xml:space="preserve">Provider benefit</w:t>
            </w:r>
          </w:p>
        </w:tc>
        <w:tc>
          <w:tcPr>
            <w:tcW w:w="2900" w:type="dxa"/>
            <w:shd w:val="clear" w:color="auto" w:fill="1e7a4c"/>
            <w:tcMar>
              <w:top w:w="80" w:type="dxa"/>
              <w:left w:w="100" w:type="dxa"/>
              <w:bottom w:w="80" w:type="dxa"/>
              <w:right w:w="100" w:type="dxa"/>
            </w:tcMar>
          </w:tcPr>
          <w:p w:rsidR="00000000" w:rsidRDefault="00000000" w14:paraId="7D00001A">
            <w:pPr>
              <w:rPr/>
            </w:pPr>
            <w:r>
              <w:rPr>
                <w:b w:val="1"/>
                <w:bCs w:val="1"/>
                <w:color w:val="ffffff"/>
                <w:sz w:val="19"/>
                <w:szCs w:val="19"/>
              </w:rPr>
              <w:t xml:space="preserve">Credit instruments and programs</w:t>
            </w:r>
          </w:p>
        </w:tc>
        <w:tc>
          <w:tcPr>
            <w:tcW w:w="1000" w:type="dxa"/>
            <w:shd w:val="clear" w:color="auto" w:fill="1e7a4c"/>
            <w:tcMar>
              <w:top w:w="80" w:type="dxa"/>
              <w:left w:w="100" w:type="dxa"/>
              <w:bottom w:w="80" w:type="dxa"/>
              <w:right w:w="100" w:type="dxa"/>
            </w:tcMar>
          </w:tcPr>
          <w:p w:rsidR="00000000" w:rsidRDefault="00000000" w14:paraId="7D00001B">
            <w:pPr>
              <w:rPr/>
            </w:pPr>
            <w:r>
              <w:rPr>
                <w:b w:val="1"/>
                <w:bCs w:val="1"/>
                <w:color w:val="ffffff"/>
                <w:sz w:val="19"/>
                <w:szCs w:val="19"/>
              </w:rPr>
              <w:t xml:space="preserve">Unit</w:t>
            </w:r>
          </w:p>
        </w:tc>
        <w:tc>
          <w:tcPr>
            <w:tcW w:w="1400" w:type="dxa"/>
            <w:shd w:val="clear" w:color="auto" w:fill="1e7a4c"/>
            <w:tcMar>
              <w:top w:w="80" w:type="dxa"/>
              <w:left w:w="100" w:type="dxa"/>
              <w:bottom w:w="80" w:type="dxa"/>
              <w:right w:w="100" w:type="dxa"/>
            </w:tcMar>
          </w:tcPr>
          <w:p w:rsidR="00000000" w:rsidRDefault="00000000" w14:paraId="7D00001C">
            <w:pPr>
              <w:rPr/>
            </w:pPr>
            <w:r>
              <w:rPr>
                <w:b w:val="1"/>
                <w:bCs w:val="1"/>
                <w:color w:val="ffffff"/>
                <w:sz w:val="19"/>
                <w:szCs w:val="19"/>
              </w:rPr>
              <w:t xml:space="preserve">Maturity</w:t>
            </w:r>
          </w:p>
        </w:tc>
      </w:tr>
      <w:tr>
        <w:trPr>
          <w:cantSplit/>
        </w:trPr>
        <w:tc>
          <w:tcPr>
            <w:tcW w:w="1100" w:type="dxa"/>
            <w:tcMar>
              <w:top w:w="80" w:type="dxa"/>
              <w:left w:w="100" w:type="dxa"/>
              <w:bottom w:w="80" w:type="dxa"/>
              <w:right w:w="100" w:type="dxa"/>
            </w:tcMar>
          </w:tcPr>
          <w:p w:rsidR="00000000" w:rsidRDefault="00000000" w14:paraId="7D00001D">
            <w:pPr>
              <w:rPr/>
            </w:pPr>
            <w:r>
              <w:rPr>
                <w:sz w:val="19"/>
                <w:szCs w:val="19"/>
              </w:rPr>
              <w:t xml:space="preserve">Carbon</w:t>
            </w:r>
          </w:p>
        </w:tc>
        <w:tc>
          <w:tcPr>
            <w:tcW w:w="1600" w:type="dxa"/>
            <w:tcMar>
              <w:top w:w="80" w:type="dxa"/>
              <w:left w:w="100" w:type="dxa"/>
              <w:bottom w:w="80" w:type="dxa"/>
              <w:right w:w="100" w:type="dxa"/>
            </w:tcMar>
          </w:tcPr>
          <w:p w:rsidR="00000000" w:rsidRDefault="00000000" w14:paraId="7D00001E">
            <w:pPr>
              <w:rPr/>
            </w:pPr>
            <w:r>
              <w:rPr>
                <w:sz w:val="19"/>
                <w:szCs w:val="19"/>
              </w:rPr>
              <w:t xml:space="preserve">CO2e, full lifecycle (§8.8)</w:t>
            </w:r>
          </w:p>
        </w:tc>
        <w:tc>
          <w:tcPr>
            <w:tcW w:w="1600" w:type="dxa"/>
            <w:tcMar>
              <w:top w:w="80" w:type="dxa"/>
              <w:left w:w="100" w:type="dxa"/>
              <w:bottom w:w="80" w:type="dxa"/>
              <w:right w:w="100" w:type="dxa"/>
            </w:tcMar>
          </w:tcPr>
          <w:p w:rsidR="00000000" w:rsidRDefault="00000000" w14:paraId="7D00001F">
            <w:pPr>
              <w:rPr/>
            </w:pPr>
            <w:r>
              <w:rPr>
                <w:sz w:val="19"/>
                <w:szCs w:val="19"/>
              </w:rPr>
              <w:t xml:space="preserve">Removal or avoidance of greenhouse gases</w:t>
            </w:r>
          </w:p>
        </w:tc>
        <w:tc>
          <w:tcPr>
            <w:tcW w:w="2900" w:type="dxa"/>
            <w:tcMar>
              <w:top w:w="80" w:type="dxa"/>
              <w:left w:w="100" w:type="dxa"/>
              <w:bottom w:w="80" w:type="dxa"/>
              <w:right w:w="100" w:type="dxa"/>
            </w:tcMar>
          </w:tcPr>
          <w:p w:rsidR="00000000" w:rsidRDefault="00000000" w14:paraId="7D000020">
            <w:pPr>
              <w:rPr/>
            </w:pPr>
            <w:r>
              <w:rPr>
                <w:sz w:val="19"/>
                <w:szCs w:val="19"/>
              </w:rPr>
              <w:t xml:space="preserve">Carbon credits: Verra VCS, Gold Standard, ACR, CAR; Puro.earth and others for engineered removals</w:t>
            </w:r>
          </w:p>
        </w:tc>
        <w:tc>
          <w:tcPr>
            <w:tcW w:w="1000" w:type="dxa"/>
            <w:tcMar>
              <w:top w:w="80" w:type="dxa"/>
              <w:left w:w="100" w:type="dxa"/>
              <w:bottom w:w="80" w:type="dxa"/>
              <w:right w:w="100" w:type="dxa"/>
            </w:tcMar>
          </w:tcPr>
          <w:p w:rsidR="00000000" w:rsidRDefault="00000000" w14:paraId="7D000021">
            <w:pPr>
              <w:rPr/>
            </w:pPr>
            <w:r>
              <w:rPr>
                <w:sz w:val="19"/>
                <w:szCs w:val="19"/>
              </w:rPr>
              <w:t xml:space="preserve">tCO2e</w:t>
            </w:r>
          </w:p>
        </w:tc>
        <w:tc>
          <w:tcPr>
            <w:tcW w:w="1400" w:type="dxa"/>
            <w:tcMar>
              <w:top w:w="80" w:type="dxa"/>
              <w:left w:w="100" w:type="dxa"/>
              <w:bottom w:w="80" w:type="dxa"/>
              <w:right w:w="100" w:type="dxa"/>
            </w:tcMar>
          </w:tcPr>
          <w:p w:rsidR="00000000" w:rsidRDefault="00000000" w14:paraId="7D000022">
            <w:pPr>
              <w:rPr/>
            </w:pPr>
            <w:r>
              <w:rPr>
                <w:sz w:val="19"/>
                <w:szCs w:val="19"/>
              </w:rPr>
              <w:t xml:space="preserve">Mature</w:t>
            </w:r>
          </w:p>
        </w:tc>
      </w:tr>
      <w:tr>
        <w:trPr>
          <w:cantSplit/>
        </w:trPr>
        <w:tc>
          <w:tcPr>
            <w:tcW w:w="1100" w:type="dxa"/>
            <w:tcMar>
              <w:top w:w="80" w:type="dxa"/>
              <w:left w:w="100" w:type="dxa"/>
              <w:bottom w:w="80" w:type="dxa"/>
              <w:right w:w="100" w:type="dxa"/>
            </w:tcMar>
          </w:tcPr>
          <w:p w:rsidR="00000000" w:rsidRDefault="00000000" w14:paraId="7D000023">
            <w:pPr>
              <w:rPr/>
            </w:pPr>
            <w:r>
              <w:rPr>
                <w:sz w:val="19"/>
                <w:szCs w:val="19"/>
              </w:rPr>
              <w:t xml:space="preserve">Electricity</w:t>
            </w:r>
          </w:p>
        </w:tc>
        <w:tc>
          <w:tcPr>
            <w:tcW w:w="1600" w:type="dxa"/>
            <w:tcMar>
              <w:top w:w="80" w:type="dxa"/>
              <w:left w:w="100" w:type="dxa"/>
              <w:bottom w:w="80" w:type="dxa"/>
              <w:right w:w="100" w:type="dxa"/>
            </w:tcMar>
          </w:tcPr>
          <w:p w:rsidR="00000000" w:rsidRDefault="00000000" w14:paraId="7D000024">
            <w:pPr>
              <w:rPr/>
            </w:pPr>
            <w:r>
              <w:rPr>
                <w:sz w:val="19"/>
                <w:szCs w:val="19"/>
              </w:rPr>
              <w:t xml:space="preserve">kWh consumed, by hour and grid region</w:t>
            </w:r>
          </w:p>
        </w:tc>
        <w:tc>
          <w:tcPr>
            <w:tcW w:w="1600" w:type="dxa"/>
            <w:tcMar>
              <w:top w:w="80" w:type="dxa"/>
              <w:left w:w="100" w:type="dxa"/>
              <w:bottom w:w="80" w:type="dxa"/>
              <w:right w:w="100" w:type="dxa"/>
            </w:tcMar>
          </w:tcPr>
          <w:p w:rsidR="00000000" w:rsidRDefault="00000000" w14:paraId="7D000025">
            <w:pPr>
              <w:rPr/>
            </w:pPr>
            <w:r>
              <w:rPr>
                <w:sz w:val="19"/>
                <w:szCs w:val="19"/>
              </w:rPr>
              <w:t xml:space="preserve">Renewable electricity generation</w:t>
            </w:r>
          </w:p>
        </w:tc>
        <w:tc>
          <w:tcPr>
            <w:tcW w:w="2900" w:type="dxa"/>
            <w:tcMar>
              <w:top w:w="80" w:type="dxa"/>
              <w:left w:w="100" w:type="dxa"/>
              <w:bottom w:w="80" w:type="dxa"/>
              <w:right w:w="100" w:type="dxa"/>
            </w:tcMar>
          </w:tcPr>
          <w:p w:rsidR="00000000" w:rsidRDefault="00000000" w14:paraId="7D000026">
            <w:pPr>
              <w:rPr/>
            </w:pPr>
            <w:r>
              <w:rPr>
                <w:sz w:val="19"/>
                <w:szCs w:val="19"/>
              </w:rPr>
              <w:t xml:space="preserve">Energy Attribute Certificates: RECs (US regional tracking systems such as M-RETS, PJM-GATS, WREGIS), Guarantees of Origin (EU), I-RECs (elsewhere); Granular Certificates (EnergyTag) for hourly matching</w:t>
            </w:r>
          </w:p>
        </w:tc>
        <w:tc>
          <w:tcPr>
            <w:tcW w:w="1000" w:type="dxa"/>
            <w:tcMar>
              <w:top w:w="80" w:type="dxa"/>
              <w:left w:w="100" w:type="dxa"/>
              <w:bottom w:w="80" w:type="dxa"/>
              <w:right w:w="100" w:type="dxa"/>
            </w:tcMar>
          </w:tcPr>
          <w:p w:rsidR="00000000" w:rsidRDefault="00000000" w14:paraId="7D000027">
            <w:pPr>
              <w:rPr/>
            </w:pPr>
            <w:r>
              <w:rPr>
                <w:sz w:val="19"/>
                <w:szCs w:val="19"/>
              </w:rPr>
              <w:t xml:space="preserve">MWh</w:t>
            </w:r>
          </w:p>
        </w:tc>
        <w:tc>
          <w:tcPr>
            <w:tcW w:w="1400" w:type="dxa"/>
            <w:tcMar>
              <w:top w:w="80" w:type="dxa"/>
              <w:left w:w="100" w:type="dxa"/>
              <w:bottom w:w="80" w:type="dxa"/>
              <w:right w:w="100" w:type="dxa"/>
            </w:tcMar>
          </w:tcPr>
          <w:p w:rsidR="00000000" w:rsidRDefault="00000000" w14:paraId="7D000028">
            <w:pPr>
              <w:rPr/>
            </w:pPr>
            <w:r>
              <w:rPr>
                <w:sz w:val="19"/>
                <w:szCs w:val="19"/>
              </w:rPr>
              <w:t xml:space="preserve">Mature (annual); emerging (hourly)</w:t>
            </w:r>
          </w:p>
        </w:tc>
      </w:tr>
      <w:tr>
        <w:trPr>
          <w:cantSplit/>
        </w:trPr>
        <w:tc>
          <w:tcPr>
            <w:tcW w:w="1100" w:type="dxa"/>
            <w:tcMar>
              <w:top w:w="80" w:type="dxa"/>
              <w:left w:w="100" w:type="dxa"/>
              <w:bottom w:w="80" w:type="dxa"/>
              <w:right w:w="100" w:type="dxa"/>
            </w:tcMar>
          </w:tcPr>
          <w:p w:rsidR="00000000" w:rsidRDefault="00000000" w14:paraId="7D000029">
            <w:pPr>
              <w:rPr/>
            </w:pPr>
            <w:r>
              <w:rPr>
                <w:sz w:val="19"/>
                <w:szCs w:val="19"/>
              </w:rPr>
              <w:t xml:space="preserve">Water</w:t>
            </w:r>
          </w:p>
        </w:tc>
        <w:tc>
          <w:tcPr>
            <w:tcW w:w="1600" w:type="dxa"/>
            <w:tcMar>
              <w:top w:w="80" w:type="dxa"/>
              <w:left w:w="100" w:type="dxa"/>
              <w:bottom w:w="80" w:type="dxa"/>
              <w:right w:w="100" w:type="dxa"/>
            </w:tcMar>
          </w:tcPr>
          <w:p w:rsidR="00000000" w:rsidRDefault="00000000" w14:paraId="7D00002A">
            <w:pPr>
              <w:rPr/>
            </w:pPr>
            <w:r>
              <w:rPr>
                <w:sz w:val="19"/>
                <w:szCs w:val="19"/>
              </w:rPr>
              <w:t xml:space="preserve">Liters consumed (WUE, §4.3)</w:t>
            </w:r>
          </w:p>
        </w:tc>
        <w:tc>
          <w:tcPr>
            <w:tcW w:w="1600" w:type="dxa"/>
            <w:tcMar>
              <w:top w:w="80" w:type="dxa"/>
              <w:left w:w="100" w:type="dxa"/>
              <w:bottom w:w="80" w:type="dxa"/>
              <w:right w:w="100" w:type="dxa"/>
            </w:tcMar>
          </w:tcPr>
          <w:p w:rsidR="00000000" w:rsidRDefault="00000000" w14:paraId="7D00002B">
            <w:pPr>
              <w:rPr/>
            </w:pPr>
            <w:r>
              <w:rPr>
                <w:sz w:val="19"/>
                <w:szCs w:val="19"/>
              </w:rPr>
              <w:t xml:space="preserve">Water restored to watersheds, recycled, or remediated</w:t>
            </w:r>
          </w:p>
        </w:tc>
        <w:tc>
          <w:tcPr>
            <w:tcW w:w="2900" w:type="dxa"/>
            <w:tcMar>
              <w:top w:w="80" w:type="dxa"/>
              <w:left w:w="100" w:type="dxa"/>
              <w:bottom w:w="80" w:type="dxa"/>
              <w:right w:w="100" w:type="dxa"/>
            </w:tcMar>
          </w:tcPr>
          <w:p w:rsidR="00000000" w:rsidRDefault="00000000" w14:paraId="7D00002C">
            <w:pPr>
              <w:rPr/>
            </w:pPr>
            <w:r>
              <w:rPr>
                <w:sz w:val="19"/>
                <w:szCs w:val="19"/>
              </w:rPr>
              <w:t xml:space="preserve">Water Restoration Certificates (BEF, 1 certificate = 1,000 gallons); volumetric benefits accounted under WRI Volumetric Water Benefit Accounting</w:t>
            </w:r>
          </w:p>
        </w:tc>
        <w:tc>
          <w:tcPr>
            <w:tcW w:w="1000" w:type="dxa"/>
            <w:tcMar>
              <w:top w:w="80" w:type="dxa"/>
              <w:left w:w="100" w:type="dxa"/>
              <w:bottom w:w="80" w:type="dxa"/>
              <w:right w:w="100" w:type="dxa"/>
            </w:tcMar>
          </w:tcPr>
          <w:p w:rsidR="00000000" w:rsidRDefault="00000000" w14:paraId="7D00002D">
            <w:pPr>
              <w:rPr/>
            </w:pPr>
            <w:r>
              <w:rPr>
                <w:sz w:val="19"/>
                <w:szCs w:val="19"/>
              </w:rPr>
              <w:t xml:space="preserve">1,000 gal / m3</w:t>
            </w:r>
          </w:p>
        </w:tc>
        <w:tc>
          <w:tcPr>
            <w:tcW w:w="1400" w:type="dxa"/>
            <w:tcMar>
              <w:top w:w="80" w:type="dxa"/>
              <w:left w:w="100" w:type="dxa"/>
              <w:bottom w:w="80" w:type="dxa"/>
              <w:right w:w="100" w:type="dxa"/>
            </w:tcMar>
          </w:tcPr>
          <w:p w:rsidR="00000000" w:rsidRDefault="00000000" w14:paraId="7D00002E">
            <w:pPr>
              <w:rPr/>
            </w:pPr>
            <w:r>
              <w:rPr>
                <w:sz w:val="19"/>
                <w:szCs w:val="19"/>
              </w:rPr>
              <w:t xml:space="preserve">Emerging</w:t>
            </w:r>
          </w:p>
        </w:tc>
      </w:tr>
      <w:tr>
        <w:trPr>
          <w:cantSplit/>
        </w:trPr>
        <w:tc>
          <w:tcPr>
            <w:tcW w:w="1100" w:type="dxa"/>
            <w:tcMar>
              <w:top w:w="80" w:type="dxa"/>
              <w:left w:w="100" w:type="dxa"/>
              <w:bottom w:w="80" w:type="dxa"/>
              <w:right w:w="100" w:type="dxa"/>
            </w:tcMar>
          </w:tcPr>
          <w:p w:rsidR="00000000" w:rsidRDefault="00000000" w14:paraId="7D00002F">
            <w:pPr>
              <w:rPr/>
            </w:pPr>
            <w:r>
              <w:rPr>
                <w:sz w:val="19"/>
                <w:szCs w:val="19"/>
              </w:rPr>
              <w:t xml:space="preserve">Heat</w:t>
            </w:r>
          </w:p>
        </w:tc>
        <w:tc>
          <w:tcPr>
            <w:tcW w:w="1600" w:type="dxa"/>
            <w:tcMar>
              <w:top w:w="80" w:type="dxa"/>
              <w:left w:w="100" w:type="dxa"/>
              <w:bottom w:w="80" w:type="dxa"/>
              <w:right w:w="100" w:type="dxa"/>
            </w:tcMar>
          </w:tcPr>
          <w:p w:rsidR="00000000" w:rsidRDefault="00000000" w14:paraId="7D000030">
            <w:pPr>
              <w:rPr/>
            </w:pPr>
            <w:r>
              <w:rPr>
                <w:sz w:val="19"/>
                <w:szCs w:val="19"/>
              </w:rPr>
              <w:t xml:space="preserve">Waste heat rejected (kWh thermal)</w:t>
            </w:r>
          </w:p>
        </w:tc>
        <w:tc>
          <w:tcPr>
            <w:tcW w:w="1600" w:type="dxa"/>
            <w:tcMar>
              <w:top w:w="80" w:type="dxa"/>
              <w:left w:w="100" w:type="dxa"/>
              <w:bottom w:w="80" w:type="dxa"/>
              <w:right w:w="100" w:type="dxa"/>
            </w:tcMar>
          </w:tcPr>
          <w:p w:rsidR="00000000" w:rsidRDefault="00000000" w14:paraId="7D000031">
            <w:pPr>
              <w:rPr/>
            </w:pPr>
            <w:r>
              <w:rPr>
                <w:sz w:val="19"/>
                <w:szCs w:val="19"/>
              </w:rPr>
              <w:t xml:space="preserve">Waste heat delivered for reuse outside the facility</w:t>
            </w:r>
          </w:p>
        </w:tc>
        <w:tc>
          <w:tcPr>
            <w:tcW w:w="2900" w:type="dxa"/>
            <w:tcMar>
              <w:top w:w="80" w:type="dxa"/>
              <w:left w:w="100" w:type="dxa"/>
              <w:bottom w:w="80" w:type="dxa"/>
              <w:right w:w="100" w:type="dxa"/>
            </w:tcMar>
          </w:tcPr>
          <w:p w:rsidR="00000000" w:rsidRDefault="00000000" w14:paraId="7D000032">
            <w:pPr>
              <w:rPr/>
            </w:pPr>
            <w:r>
              <w:rPr>
                <w:sz w:val="19"/>
                <w:szCs w:val="19"/>
              </w:rPr>
              <w:t xml:space="preserve">Energy-efficiency (white) certificates where they exist, e.g., France CEE, Italy TEE; carbon credits for displaced fossil heating under waste-energy-recovery methodologies; ERF (ISO/IEC 30134-6) as the measurement basis</w:t>
            </w:r>
          </w:p>
        </w:tc>
        <w:tc>
          <w:tcPr>
            <w:tcW w:w="1000" w:type="dxa"/>
            <w:tcMar>
              <w:top w:w="80" w:type="dxa"/>
              <w:left w:w="100" w:type="dxa"/>
              <w:bottom w:w="80" w:type="dxa"/>
              <w:right w:w="100" w:type="dxa"/>
            </w:tcMar>
          </w:tcPr>
          <w:p w:rsidR="00000000" w:rsidRDefault="00000000" w14:paraId="7D000033">
            <w:pPr>
              <w:rPr/>
            </w:pPr>
            <w:r>
              <w:rPr>
                <w:sz w:val="19"/>
                <w:szCs w:val="19"/>
              </w:rPr>
              <w:t xml:space="preserve">MWh-th / tCO2e</w:t>
            </w:r>
          </w:p>
        </w:tc>
        <w:tc>
          <w:tcPr>
            <w:tcW w:w="1400" w:type="dxa"/>
            <w:tcMar>
              <w:top w:w="80" w:type="dxa"/>
              <w:left w:w="100" w:type="dxa"/>
              <w:bottom w:w="80" w:type="dxa"/>
              <w:right w:w="100" w:type="dxa"/>
            </w:tcMar>
          </w:tcPr>
          <w:p w:rsidR="00000000" w:rsidRDefault="00000000" w14:paraId="7D000034">
            <w:pPr>
              <w:rPr/>
            </w:pPr>
            <w:r>
              <w:rPr>
                <w:sz w:val="19"/>
                <w:szCs w:val="19"/>
              </w:rPr>
              <w:t xml:space="preserve">Emerging; jurisdiction-specific</w:t>
            </w:r>
          </w:p>
        </w:tc>
      </w:tr>
      <w:tr>
        <w:trPr>
          <w:cantSplit/>
        </w:trPr>
        <w:tc>
          <w:tcPr>
            <w:tcW w:w="1100" w:type="dxa"/>
            <w:tcMar>
              <w:top w:w="80" w:type="dxa"/>
              <w:left w:w="100" w:type="dxa"/>
              <w:bottom w:w="80" w:type="dxa"/>
              <w:right w:w="100" w:type="dxa"/>
            </w:tcMar>
          </w:tcPr>
          <w:p w:rsidR="00000000" w:rsidRDefault="00000000" w14:paraId="7D000035">
            <w:pPr>
              <w:rPr/>
            </w:pPr>
            <w:r>
              <w:rPr>
                <w:sz w:val="19"/>
                <w:szCs w:val="19"/>
              </w:rPr>
              <w:t xml:space="preserve">Materials</w:t>
            </w:r>
          </w:p>
        </w:tc>
        <w:tc>
          <w:tcPr>
            <w:tcW w:w="1600" w:type="dxa"/>
            <w:tcMar>
              <w:top w:w="80" w:type="dxa"/>
              <w:left w:w="100" w:type="dxa"/>
              <w:bottom w:w="80" w:type="dxa"/>
              <w:right w:w="100" w:type="dxa"/>
            </w:tcMar>
          </w:tcPr>
          <w:p w:rsidR="00000000" w:rsidRDefault="00000000" w14:paraId="7D000036">
            <w:pPr>
              <w:rPr/>
            </w:pPr>
            <w:r>
              <w:rPr>
                <w:sz w:val="19"/>
                <w:szCs w:val="19"/>
              </w:rPr>
              <w:t xml:space="preserve">Embodied hardware (§8.8), e-waste kg</w:t>
            </w:r>
          </w:p>
        </w:tc>
        <w:tc>
          <w:tcPr>
            <w:tcW w:w="1600" w:type="dxa"/>
            <w:tcMar>
              <w:top w:w="80" w:type="dxa"/>
              <w:left w:w="100" w:type="dxa"/>
              <w:bottom w:w="80" w:type="dxa"/>
              <w:right w:w="100" w:type="dxa"/>
            </w:tcMar>
          </w:tcPr>
          <w:p w:rsidR="00000000" w:rsidRDefault="00000000" w14:paraId="7D000037">
            <w:pPr>
              <w:rPr/>
            </w:pPr>
            <w:r>
              <w:rPr>
                <w:sz w:val="19"/>
                <w:szCs w:val="19"/>
              </w:rPr>
              <w:t xml:space="preserve">Recycling and recovery of materials</w:t>
            </w:r>
          </w:p>
        </w:tc>
        <w:tc>
          <w:tcPr>
            <w:tcW w:w="2900" w:type="dxa"/>
            <w:tcMar>
              <w:top w:w="80" w:type="dxa"/>
              <w:left w:w="100" w:type="dxa"/>
              <w:bottom w:w="80" w:type="dxa"/>
              <w:right w:w="100" w:type="dxa"/>
            </w:tcMar>
          </w:tcPr>
          <w:p w:rsidR="00000000" w:rsidRDefault="00000000" w14:paraId="7D000038">
            <w:pPr>
              <w:rPr/>
            </w:pPr>
            <w:r>
              <w:rPr>
                <w:sz w:val="19"/>
                <w:szCs w:val="19"/>
              </w:rPr>
              <w:t xml:space="preserve">Plastic credits (Verra Plastic Waste Reduction Standard); e-waste recovery attested by certified recyclers (R2, e-Stewards); no mature e-waste credit market yet</w:t>
            </w:r>
          </w:p>
        </w:tc>
        <w:tc>
          <w:tcPr>
            <w:tcW w:w="1000" w:type="dxa"/>
            <w:tcMar>
              <w:top w:w="80" w:type="dxa"/>
              <w:left w:w="100" w:type="dxa"/>
              <w:bottom w:w="80" w:type="dxa"/>
              <w:right w:w="100" w:type="dxa"/>
            </w:tcMar>
          </w:tcPr>
          <w:p w:rsidR="00000000" w:rsidRDefault="00000000" w14:paraId="7D000039">
            <w:pPr>
              <w:rPr/>
            </w:pPr>
            <w:r>
              <w:rPr>
                <w:sz w:val="19"/>
                <w:szCs w:val="19"/>
              </w:rPr>
              <w:t xml:space="preserve">kg / t</w:t>
            </w:r>
          </w:p>
        </w:tc>
        <w:tc>
          <w:tcPr>
            <w:tcW w:w="1400" w:type="dxa"/>
            <w:tcMar>
              <w:top w:w="80" w:type="dxa"/>
              <w:left w:w="100" w:type="dxa"/>
              <w:bottom w:w="80" w:type="dxa"/>
              <w:right w:w="100" w:type="dxa"/>
            </w:tcMar>
          </w:tcPr>
          <w:p w:rsidR="00000000" w:rsidRDefault="00000000" w14:paraId="7D00003A">
            <w:pPr>
              <w:rPr/>
            </w:pPr>
            <w:r>
              <w:rPr>
                <w:sz w:val="19"/>
                <w:szCs w:val="19"/>
              </w:rPr>
              <w:t xml:space="preserve">Emerging</w:t>
            </w:r>
          </w:p>
        </w:tc>
      </w:tr>
    </w:tbl>
    <w:p w:rsidR="00000000" w:rsidRDefault="00000000" w14:paraId="7D00003B">
      <w:pPr>
        <w:spacing w:after="120"/>
        <w:rPr/>
      </w:pPr>
    </w:p>
    <w:p w:rsidR="00000000" w:rsidRDefault="00000000" w14:paraId="7D00003C">
      <w:pPr>
        <w:pStyle w:val="Heading2"/>
        <w:spacing w:after="120" w:before="280" w:lineRule="auto"/>
        <w:rPr/>
      </w:pPr>
      <w:r>
        <w:rPr>
          <w:b w:val="1"/>
          <w:bCs w:val="1"/>
          <w:color w:val="1e7a4c"/>
          <w:sz w:val="24"/>
          <w:szCs w:val="24"/>
        </w:rPr>
        <w:t xml:space="preserve">22.3 Provider Categories and the Client/Provider Model</w:t>
      </w:r>
    </w:p>
    <w:p w:rsidR="00000000" w:rsidRDefault="00000000" w14:paraId="7D00003D">
      <w:pPr>
        <w:spacing w:after="140" w:lineRule="auto"/>
        <w:rPr/>
      </w:pPr>
      <w:r>
        <w:rPr>
          <w:sz w:val="21"/>
          <w:szCs w:val="21"/>
        </w:rPr>
        <w:t xml:space="preserve">Four Provider categories join the carbon capture types in §20.1:</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800"/>
        <w:gridCol w:w="5840"/>
      </w:tblGrid>
      <w:tr>
        <w:trPr>
          <w:tblHeader/>
        </w:trPr>
        <w:tc>
          <w:tcPr>
            <w:tcW w:w="960" w:type="dxa"/>
            <w:shd w:val="clear" w:color="auto" w:fill="1e7a4c"/>
            <w:tcMar>
              <w:top w:w="80" w:type="dxa"/>
              <w:left w:w="100" w:type="dxa"/>
              <w:bottom w:w="80" w:type="dxa"/>
              <w:right w:w="100" w:type="dxa"/>
            </w:tcMar>
          </w:tcPr>
          <w:p w:rsidR="00000000" w:rsidRDefault="00000000" w14:paraId="7D00003E">
            <w:pPr>
              <w:rPr/>
            </w:pPr>
            <w:r>
              <w:rPr>
                <w:b w:val="1"/>
                <w:bCs w:val="1"/>
                <w:color w:val="ffffff"/>
                <w:sz w:val="19"/>
                <w:szCs w:val="19"/>
              </w:rPr>
              <w:t xml:space="preserve">Code</w:t>
            </w:r>
          </w:p>
        </w:tc>
        <w:tc>
          <w:tcPr>
            <w:tcW w:w="2800" w:type="dxa"/>
            <w:shd w:val="clear" w:color="auto" w:fill="1e7a4c"/>
            <w:tcMar>
              <w:top w:w="80" w:type="dxa"/>
              <w:left w:w="100" w:type="dxa"/>
              <w:bottom w:w="80" w:type="dxa"/>
              <w:right w:w="100" w:type="dxa"/>
            </w:tcMar>
          </w:tcPr>
          <w:p w:rsidR="00000000" w:rsidRDefault="00000000" w14:paraId="7D00003F">
            <w:pPr>
              <w:rPr/>
            </w:pPr>
            <w:r>
              <w:rPr>
                <w:b w:val="1"/>
                <w:bCs w:val="1"/>
                <w:color w:val="ffffff"/>
                <w:sz w:val="19"/>
                <w:szCs w:val="19"/>
              </w:rPr>
              <w:t xml:space="preserve">Provider Category</w:t>
            </w:r>
          </w:p>
        </w:tc>
        <w:tc>
          <w:tcPr>
            <w:tcW w:w="5840" w:type="dxa"/>
            <w:shd w:val="clear" w:color="auto" w:fill="1e7a4c"/>
            <w:tcMar>
              <w:top w:w="80" w:type="dxa"/>
              <w:left w:w="100" w:type="dxa"/>
              <w:bottom w:w="80" w:type="dxa"/>
              <w:right w:w="100" w:type="dxa"/>
            </w:tcMar>
          </w:tcPr>
          <w:p w:rsidR="00000000" w:rsidRDefault="00000000" w14:paraId="7D000040">
            <w:pPr>
              <w:rPr/>
            </w:pPr>
            <w:r>
              <w:rPr>
                <w:b w:val="1"/>
                <w:bCs w:val="1"/>
                <w:color w:val="ffffff"/>
                <w:sz w:val="19"/>
                <w:szCs w:val="19"/>
              </w:rPr>
              <w:t xml:space="preserve">Examples</w:t>
            </w:r>
          </w:p>
        </w:tc>
      </w:tr>
      <w:tr>
        <w:trPr>
          <w:cantSplit/>
        </w:trPr>
        <w:tc>
          <w:tcPr>
            <w:tcW w:w="960" w:type="dxa"/>
            <w:tcMar>
              <w:top w:w="80" w:type="dxa"/>
              <w:left w:w="100" w:type="dxa"/>
              <w:bottom w:w="80" w:type="dxa"/>
              <w:right w:w="100" w:type="dxa"/>
            </w:tcMar>
          </w:tcPr>
          <w:p w:rsidR="00000000" w:rsidRDefault="00000000" w14:paraId="7D000041">
            <w:pPr>
              <w:rPr/>
            </w:pPr>
            <w:r>
              <w:rPr>
                <w:sz w:val="19"/>
                <w:szCs w:val="19"/>
              </w:rPr>
              <w:t xml:space="preserve">REN</w:t>
            </w:r>
          </w:p>
        </w:tc>
        <w:tc>
          <w:tcPr>
            <w:tcW w:w="2800" w:type="dxa"/>
            <w:tcMar>
              <w:top w:w="80" w:type="dxa"/>
              <w:left w:w="100" w:type="dxa"/>
              <w:bottom w:w="80" w:type="dxa"/>
              <w:right w:w="100" w:type="dxa"/>
            </w:tcMar>
          </w:tcPr>
          <w:p w:rsidR="00000000" w:rsidRDefault="00000000" w14:paraId="7D000042">
            <w:pPr>
              <w:rPr/>
            </w:pPr>
            <w:r>
              <w:rPr>
                <w:sz w:val="19"/>
                <w:szCs w:val="19"/>
              </w:rPr>
              <w:t xml:space="preserve">Renewable Energy Generator</w:t>
            </w:r>
          </w:p>
        </w:tc>
        <w:tc>
          <w:tcPr>
            <w:tcW w:w="5840" w:type="dxa"/>
            <w:tcMar>
              <w:top w:w="80" w:type="dxa"/>
              <w:left w:w="100" w:type="dxa"/>
              <w:bottom w:w="80" w:type="dxa"/>
              <w:right w:w="100" w:type="dxa"/>
            </w:tcMar>
          </w:tcPr>
          <w:p w:rsidR="00000000" w:rsidRDefault="00000000" w14:paraId="7D000043">
            <w:pPr>
              <w:rPr/>
            </w:pPr>
            <w:r>
              <w:rPr>
                <w:sz w:val="19"/>
                <w:szCs w:val="19"/>
              </w:rPr>
              <w:t xml:space="preserve">Solar, wind, hydro, geothermal and storage operators producing metered renewable electricity</w:t>
            </w:r>
          </w:p>
        </w:tc>
      </w:tr>
      <w:tr>
        <w:trPr>
          <w:cantSplit/>
        </w:trPr>
        <w:tc>
          <w:tcPr>
            <w:tcW w:w="960" w:type="dxa"/>
            <w:tcMar>
              <w:top w:w="80" w:type="dxa"/>
              <w:left w:w="100" w:type="dxa"/>
              <w:bottom w:w="80" w:type="dxa"/>
              <w:right w:w="100" w:type="dxa"/>
            </w:tcMar>
          </w:tcPr>
          <w:p w:rsidR="00000000" w:rsidRDefault="00000000" w14:paraId="7D000044">
            <w:pPr>
              <w:rPr/>
            </w:pPr>
            <w:r>
              <w:rPr>
                <w:sz w:val="19"/>
                <w:szCs w:val="19"/>
              </w:rPr>
              <w:t xml:space="preserve">WRR</w:t>
            </w:r>
          </w:p>
        </w:tc>
        <w:tc>
          <w:tcPr>
            <w:tcW w:w="2800" w:type="dxa"/>
            <w:tcMar>
              <w:top w:w="80" w:type="dxa"/>
              <w:left w:w="100" w:type="dxa"/>
              <w:bottom w:w="80" w:type="dxa"/>
              <w:right w:w="100" w:type="dxa"/>
            </w:tcMar>
          </w:tcPr>
          <w:p w:rsidR="00000000" w:rsidRDefault="00000000" w14:paraId="7D000045">
            <w:pPr>
              <w:rPr/>
            </w:pPr>
            <w:r>
              <w:rPr>
                <w:sz w:val="19"/>
                <w:szCs w:val="19"/>
              </w:rPr>
              <w:t xml:space="preserve">Water Restoration and Recycling</w:t>
            </w:r>
          </w:p>
        </w:tc>
        <w:tc>
          <w:tcPr>
            <w:tcW w:w="5840" w:type="dxa"/>
            <w:tcMar>
              <w:top w:w="80" w:type="dxa"/>
              <w:left w:w="100" w:type="dxa"/>
              <w:bottom w:w="80" w:type="dxa"/>
              <w:right w:w="100" w:type="dxa"/>
            </w:tcMar>
          </w:tcPr>
          <w:p w:rsidR="00000000" w:rsidRDefault="00000000" w14:paraId="7D000046">
            <w:pPr>
              <w:rPr/>
            </w:pPr>
            <w:r>
              <w:rPr>
                <w:sz w:val="19"/>
                <w:szCs w:val="19"/>
              </w:rPr>
              <w:t xml:space="preserve">Flow restoration, wastewater recycling and reuse, and water remediation projects</w:t>
            </w:r>
          </w:p>
        </w:tc>
      </w:tr>
      <w:tr>
        <w:trPr>
          <w:cantSplit/>
        </w:trPr>
        <w:tc>
          <w:tcPr>
            <w:tcW w:w="960" w:type="dxa"/>
            <w:tcMar>
              <w:top w:w="80" w:type="dxa"/>
              <w:left w:w="100" w:type="dxa"/>
              <w:bottom w:w="80" w:type="dxa"/>
              <w:right w:w="100" w:type="dxa"/>
            </w:tcMar>
          </w:tcPr>
          <w:p w:rsidR="00000000" w:rsidRDefault="00000000" w14:paraId="7D000047">
            <w:pPr>
              <w:rPr/>
            </w:pPr>
            <w:r>
              <w:rPr>
                <w:sz w:val="19"/>
                <w:szCs w:val="19"/>
              </w:rPr>
              <w:t xml:space="preserve">HRC</w:t>
            </w:r>
          </w:p>
        </w:tc>
        <w:tc>
          <w:tcPr>
            <w:tcW w:w="2800" w:type="dxa"/>
            <w:tcMar>
              <w:top w:w="80" w:type="dxa"/>
              <w:left w:w="100" w:type="dxa"/>
              <w:bottom w:w="80" w:type="dxa"/>
              <w:right w:w="100" w:type="dxa"/>
            </w:tcMar>
          </w:tcPr>
          <w:p w:rsidR="00000000" w:rsidRDefault="00000000" w14:paraId="7D000048">
            <w:pPr>
              <w:rPr/>
            </w:pPr>
            <w:r>
              <w:rPr>
                <w:sz w:val="19"/>
                <w:szCs w:val="19"/>
              </w:rPr>
              <w:t xml:space="preserve">Heat Recovery</w:t>
            </w:r>
          </w:p>
        </w:tc>
        <w:tc>
          <w:tcPr>
            <w:tcW w:w="5840" w:type="dxa"/>
            <w:tcMar>
              <w:top w:w="80" w:type="dxa"/>
              <w:left w:w="100" w:type="dxa"/>
              <w:bottom w:w="80" w:type="dxa"/>
              <w:right w:w="100" w:type="dxa"/>
            </w:tcMar>
          </w:tcPr>
          <w:p w:rsidR="00000000" w:rsidRDefault="00000000" w14:paraId="7D000049">
            <w:pPr>
              <w:rPr/>
            </w:pPr>
            <w:r>
              <w:rPr>
                <w:sz w:val="19"/>
                <w:szCs w:val="19"/>
              </w:rPr>
              <w:t xml:space="preserve">Facilities exporting waste heat to district heating, greenhouses, or industry, including data centers</w:t>
            </w:r>
          </w:p>
        </w:tc>
      </w:tr>
      <w:tr>
        <w:trPr>
          <w:cantSplit/>
        </w:trPr>
        <w:tc>
          <w:tcPr>
            <w:tcW w:w="960" w:type="dxa"/>
            <w:tcMar>
              <w:top w:w="80" w:type="dxa"/>
              <w:left w:w="100" w:type="dxa"/>
              <w:bottom w:w="80" w:type="dxa"/>
              <w:right w:w="100" w:type="dxa"/>
            </w:tcMar>
          </w:tcPr>
          <w:p w:rsidR="00000000" w:rsidRDefault="00000000" w14:paraId="7D00004A">
            <w:pPr>
              <w:rPr/>
            </w:pPr>
            <w:r>
              <w:rPr>
                <w:sz w:val="19"/>
                <w:szCs w:val="19"/>
              </w:rPr>
              <w:t xml:space="preserve">RCY</w:t>
            </w:r>
          </w:p>
        </w:tc>
        <w:tc>
          <w:tcPr>
            <w:tcW w:w="2800" w:type="dxa"/>
            <w:tcMar>
              <w:top w:w="80" w:type="dxa"/>
              <w:left w:w="100" w:type="dxa"/>
              <w:bottom w:w="80" w:type="dxa"/>
              <w:right w:w="100" w:type="dxa"/>
            </w:tcMar>
          </w:tcPr>
          <w:p w:rsidR="00000000" w:rsidRDefault="00000000" w14:paraId="7D00004B">
            <w:pPr>
              <w:rPr/>
            </w:pPr>
            <w:r>
              <w:rPr>
                <w:sz w:val="19"/>
                <w:szCs w:val="19"/>
              </w:rPr>
              <w:t xml:space="preserve">Materials Recycling</w:t>
            </w:r>
          </w:p>
        </w:tc>
        <w:tc>
          <w:tcPr>
            <w:tcW w:w="5840" w:type="dxa"/>
            <w:tcMar>
              <w:top w:w="80" w:type="dxa"/>
              <w:left w:w="100" w:type="dxa"/>
              <w:bottom w:w="80" w:type="dxa"/>
              <w:right w:w="100" w:type="dxa"/>
            </w:tcMar>
          </w:tcPr>
          <w:p w:rsidR="00000000" w:rsidRDefault="00000000" w14:paraId="7D00004C">
            <w:pPr>
              <w:rPr/>
            </w:pPr>
            <w:r>
              <w:rPr>
                <w:sz w:val="19"/>
                <w:szCs w:val="19"/>
              </w:rPr>
              <w:t xml:space="preserve">Certified recyclers of electronics, plastics, and data-center hardware</w:t>
            </w:r>
          </w:p>
        </w:tc>
      </w:tr>
    </w:tbl>
    <w:p w:rsidR="00000000" w:rsidRDefault="00000000" w14:paraId="7D00004D">
      <w:pPr>
        <w:spacing w:after="120"/>
        <w:rPr/>
      </w:pPr>
    </w:p>
    <w:p w:rsidR="00000000" w:rsidRDefault="00000000" w14:paraId="7D00004E">
      <w:pPr>
        <w:numPr>
          <w:ilvl w:val="0"/>
          <w:numId w:val="1"/>
        </w:numPr>
        <w:spacing w:after="60" w:before="0" w:line="240" w:lineRule="auto"/>
        <w:ind w:left="720" w:right="0" w:hanging="360"/>
        <w:rPr/>
      </w:pPr>
      <w:r>
        <w:rPr>
          <w:b w:val="1"/>
          <w:bCs w:val="1"/>
          <w:sz w:val="21"/>
          <w:szCs w:val="21"/>
        </w:rPr>
        <w:t xml:space="preserve">Prosumers.</w:t>
      </w:r>
      <w:r>
        <w:rPr>
          <w:sz w:val="21"/>
          <w:szCs w:val="21"/>
        </w:rPr>
        <w:t xml:space="preserve"> A data-center operator can be both a Subscriber (consuming electricity and water) and a Provider (exporting heat, generating on-site solar, or recycling water). It registers in each role through the same SDK. The broker removes any benefit sold as credits from the operator’s own claims, so exported heat sold to others cannot also reduce the operator’s reported footprint.</w:t>
      </w:r>
    </w:p>
    <w:p w:rsidR="00000000" w:rsidRDefault="00000000" w14:paraId="7D00004F">
      <w:pPr>
        <w:numPr>
          <w:ilvl w:val="0"/>
          <w:numId w:val="1"/>
        </w:numPr>
        <w:spacing w:after="60" w:before="0" w:line="240" w:lineRule="auto"/>
        <w:ind w:left="720" w:right="0" w:hanging="360"/>
        <w:rPr/>
      </w:pPr>
      <w:r>
        <w:rPr>
          <w:b w:val="1"/>
          <w:bCs w:val="1"/>
          <w:sz w:val="21"/>
          <w:szCs w:val="21"/>
        </w:rPr>
        <w:t xml:space="preserve">Example flows.</w:t>
      </w:r>
      <w:r>
        <w:rPr>
          <w:sz w:val="21"/>
          <w:szCs w:val="21"/>
        </w:rPr>
        <w:t xml:space="preserve"> A solar farm’s metered generation is issued as RECs in its regional registry, and a Subscriber retires RECs matched to its metered kWh. A water recycling project’s restored volume is certified as water restoration certificates and retired against a Subscriber’s liters. A data center exporting heat to a district network reports HEX and ERF; where a white-certificate or carbon program applies, the resulting credits are sold to Subscribers or used for the operator’s own compliance, but not both.</w:t>
      </w:r>
    </w:p>
    <w:p w:rsidR="00000000" w:rsidRDefault="00000000" w14:paraId="7D000050">
      <w:pPr>
        <w:pStyle w:val="Heading2"/>
        <w:spacing w:after="120" w:before="280" w:lineRule="auto"/>
        <w:rPr/>
      </w:pPr>
      <w:r>
        <w:rPr>
          <w:b w:val="1"/>
          <w:bCs w:val="1"/>
          <w:color w:val="1e7a4c"/>
          <w:sz w:val="24"/>
          <w:szCs w:val="24"/>
        </w:rPr>
        <w:t xml:space="preserve">22.4 Provider Telemetry Fields</w:t>
      </w:r>
    </w:p>
    <w:p w:rsidR="00000000" w:rsidRDefault="00000000" w14:paraId="7D000051">
      <w:pPr>
        <w:spacing w:after="140" w:lineRule="auto"/>
        <w:rPr/>
      </w:pPr>
      <w:r>
        <w:rPr>
          <w:sz w:val="21"/>
          <w:szCs w:val="21"/>
        </w:rPr>
        <w:t xml:space="preserve">Fields follow the coding convention in §20 (no prefix for raw telemetry, “D-” for derived).</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D000052">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D000053">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D000054">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D000055">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D000056">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D000057">
            <w:pPr>
              <w:rPr/>
            </w:pPr>
            <w:r>
              <w:rPr>
                <w:b w:val="1"/>
                <w:bCs w:val="1"/>
                <w:color w:val="ffffff"/>
                <w:sz w:val="19"/>
                <w:szCs w:val="19"/>
              </w:rPr>
              <w:t xml:space="preserve">Category</w:t>
            </w:r>
          </w:p>
        </w:tc>
      </w:tr>
      <w:tr>
        <w:trPr>
          <w:cantSplit/>
        </w:trPr>
        <w:tc>
          <w:tcPr>
            <w:tcW w:w="960" w:type="dxa"/>
            <w:tcMar>
              <w:top w:w="80" w:type="dxa"/>
              <w:left w:w="100" w:type="dxa"/>
              <w:bottom w:w="80" w:type="dxa"/>
              <w:right w:w="100" w:type="dxa"/>
            </w:tcMar>
          </w:tcPr>
          <w:p w:rsidR="00000000" w:rsidRDefault="00000000" w14:paraId="7D000058">
            <w:pPr>
              <w:rPr/>
            </w:pPr>
            <w:r>
              <w:rPr>
                <w:sz w:val="19"/>
                <w:szCs w:val="19"/>
              </w:rPr>
              <w:t xml:space="preserve">GEN</w:t>
            </w:r>
          </w:p>
        </w:tc>
        <w:tc>
          <w:tcPr>
            <w:tcW w:w="2240" w:type="dxa"/>
            <w:tcMar>
              <w:top w:w="80" w:type="dxa"/>
              <w:left w:w="100" w:type="dxa"/>
              <w:bottom w:w="80" w:type="dxa"/>
              <w:right w:w="100" w:type="dxa"/>
            </w:tcMar>
          </w:tcPr>
          <w:p w:rsidR="00000000" w:rsidRDefault="00000000" w14:paraId="7D000059">
            <w:pPr>
              <w:rPr/>
            </w:pPr>
            <w:r>
              <w:rPr>
                <w:sz w:val="19"/>
                <w:szCs w:val="19"/>
              </w:rPr>
              <w:t xml:space="preserve">Net Generation</w:t>
            </w:r>
          </w:p>
        </w:tc>
        <w:tc>
          <w:tcPr>
            <w:tcW w:w="2720" w:type="dxa"/>
            <w:tcMar>
              <w:top w:w="80" w:type="dxa"/>
              <w:left w:w="100" w:type="dxa"/>
              <w:bottom w:w="80" w:type="dxa"/>
              <w:right w:w="100" w:type="dxa"/>
            </w:tcMar>
          </w:tcPr>
          <w:p w:rsidR="00000000" w:rsidRDefault="00000000" w14:paraId="7D00005A">
            <w:pPr>
              <w:rPr/>
            </w:pPr>
            <w:r>
              <w:rPr>
                <w:sz w:val="19"/>
                <w:szCs w:val="19"/>
              </w:rPr>
              <w:t xml:space="preserve">Metered net renewable generation per interval</w:t>
            </w:r>
          </w:p>
        </w:tc>
        <w:tc>
          <w:tcPr>
            <w:tcW w:w="1280" w:type="dxa"/>
            <w:tcMar>
              <w:top w:w="80" w:type="dxa"/>
              <w:left w:w="100" w:type="dxa"/>
              <w:bottom w:w="80" w:type="dxa"/>
              <w:right w:w="100" w:type="dxa"/>
            </w:tcMar>
          </w:tcPr>
          <w:p w:rsidR="00000000" w:rsidRDefault="00000000" w14:paraId="7D00005B">
            <w:pPr>
              <w:rPr/>
            </w:pPr>
            <w:r>
              <w:rPr>
                <w:sz w:val="19"/>
                <w:szCs w:val="19"/>
              </w:rPr>
              <w:t xml:space="preserve">MWh</w:t>
            </w:r>
          </w:p>
        </w:tc>
        <w:tc>
          <w:tcPr>
            <w:tcW w:w="1280" w:type="dxa"/>
            <w:tcMar>
              <w:top w:w="80" w:type="dxa"/>
              <w:left w:w="100" w:type="dxa"/>
              <w:bottom w:w="80" w:type="dxa"/>
              <w:right w:w="100" w:type="dxa"/>
            </w:tcMar>
          </w:tcPr>
          <w:p w:rsidR="00000000" w:rsidRDefault="00000000" w14:paraId="7D00005C">
            <w:pPr>
              <w:rPr/>
            </w:pPr>
            <w:r>
              <w:rPr>
                <w:sz w:val="19"/>
                <w:szCs w:val="19"/>
              </w:rPr>
              <w:t xml:space="preserve">15 min–hourly</w:t>
            </w:r>
          </w:p>
        </w:tc>
        <w:tc>
          <w:tcPr>
            <w:tcW w:w="1120" w:type="dxa"/>
            <w:tcMar>
              <w:top w:w="80" w:type="dxa"/>
              <w:left w:w="100" w:type="dxa"/>
              <w:bottom w:w="80" w:type="dxa"/>
              <w:right w:w="100" w:type="dxa"/>
            </w:tcMar>
          </w:tcPr>
          <w:p w:rsidR="00000000" w:rsidRDefault="00000000" w14:paraId="7D00005D">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5E">
            <w:pPr>
              <w:rPr/>
            </w:pPr>
            <w:r>
              <w:rPr>
                <w:sz w:val="19"/>
                <w:szCs w:val="19"/>
              </w:rPr>
              <w:t xml:space="preserve">SRC</w:t>
            </w:r>
          </w:p>
        </w:tc>
        <w:tc>
          <w:tcPr>
            <w:tcW w:w="2240" w:type="dxa"/>
            <w:tcMar>
              <w:top w:w="80" w:type="dxa"/>
              <w:left w:w="100" w:type="dxa"/>
              <w:bottom w:w="80" w:type="dxa"/>
              <w:right w:w="100" w:type="dxa"/>
            </w:tcMar>
          </w:tcPr>
          <w:p w:rsidR="00000000" w:rsidRDefault="00000000" w14:paraId="7D00005F">
            <w:pPr>
              <w:rPr/>
            </w:pPr>
            <w:r>
              <w:rPr>
                <w:sz w:val="19"/>
                <w:szCs w:val="19"/>
              </w:rPr>
              <w:t xml:space="preserve">Source Type</w:t>
            </w:r>
          </w:p>
        </w:tc>
        <w:tc>
          <w:tcPr>
            <w:tcW w:w="2720" w:type="dxa"/>
            <w:tcMar>
              <w:top w:w="80" w:type="dxa"/>
              <w:left w:w="100" w:type="dxa"/>
              <w:bottom w:w="80" w:type="dxa"/>
              <w:right w:w="100" w:type="dxa"/>
            </w:tcMar>
          </w:tcPr>
          <w:p w:rsidR="00000000" w:rsidRDefault="00000000" w14:paraId="7D000060">
            <w:pPr>
              <w:rPr/>
            </w:pPr>
            <w:r>
              <w:rPr>
                <w:sz w:val="19"/>
                <w:szCs w:val="19"/>
              </w:rPr>
              <w:t xml:space="preserve">Solar, wind, hydro, geothermal, or storage discharge</w:t>
            </w:r>
          </w:p>
        </w:tc>
        <w:tc>
          <w:tcPr>
            <w:tcW w:w="1280" w:type="dxa"/>
            <w:tcMar>
              <w:top w:w="80" w:type="dxa"/>
              <w:left w:w="100" w:type="dxa"/>
              <w:bottom w:w="80" w:type="dxa"/>
              <w:right w:w="100" w:type="dxa"/>
            </w:tcMar>
          </w:tcPr>
          <w:p w:rsidR="00000000" w:rsidRDefault="00000000" w14:paraId="7D000061">
            <w:pPr>
              <w:rPr/>
            </w:pPr>
            <w:r>
              <w:rPr>
                <w:sz w:val="19"/>
                <w:szCs w:val="19"/>
              </w:rPr>
              <w:t xml:space="preserve">enum</w:t>
            </w:r>
          </w:p>
        </w:tc>
        <w:tc>
          <w:tcPr>
            <w:tcW w:w="1280" w:type="dxa"/>
            <w:tcMar>
              <w:top w:w="80" w:type="dxa"/>
              <w:left w:w="100" w:type="dxa"/>
              <w:bottom w:w="80" w:type="dxa"/>
              <w:right w:w="100" w:type="dxa"/>
            </w:tcMar>
          </w:tcPr>
          <w:p w:rsidR="00000000" w:rsidRDefault="00000000" w14:paraId="7D000062">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3">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4">
            <w:pPr>
              <w:rPr/>
            </w:pPr>
            <w:r>
              <w:rPr>
                <w:sz w:val="19"/>
                <w:szCs w:val="19"/>
              </w:rPr>
              <w:t xml:space="preserve">GLN</w:t>
            </w:r>
          </w:p>
        </w:tc>
        <w:tc>
          <w:tcPr>
            <w:tcW w:w="2240" w:type="dxa"/>
            <w:tcMar>
              <w:top w:w="80" w:type="dxa"/>
              <w:left w:w="100" w:type="dxa"/>
              <w:bottom w:w="80" w:type="dxa"/>
              <w:right w:w="100" w:type="dxa"/>
            </w:tcMar>
          </w:tcPr>
          <w:p w:rsidR="00000000" w:rsidRDefault="00000000" w14:paraId="7D000065">
            <w:pPr>
              <w:rPr/>
            </w:pPr>
            <w:r>
              <w:rPr>
                <w:sz w:val="19"/>
                <w:szCs w:val="19"/>
              </w:rPr>
              <w:t xml:space="preserve">Grid Location</w:t>
            </w:r>
          </w:p>
        </w:tc>
        <w:tc>
          <w:tcPr>
            <w:tcW w:w="2720" w:type="dxa"/>
            <w:tcMar>
              <w:top w:w="80" w:type="dxa"/>
              <w:left w:w="100" w:type="dxa"/>
              <w:bottom w:w="80" w:type="dxa"/>
              <w:right w:w="100" w:type="dxa"/>
            </w:tcMar>
          </w:tcPr>
          <w:p w:rsidR="00000000" w:rsidRDefault="00000000" w14:paraId="7D000066">
            <w:pPr>
              <w:rPr/>
            </w:pPr>
            <w:r>
              <w:rPr>
                <w:sz w:val="19"/>
                <w:szCs w:val="19"/>
              </w:rPr>
              <w:t xml:space="preserve">Balancing area or market zone of the generator, for deliverability matching</w:t>
            </w:r>
          </w:p>
        </w:tc>
        <w:tc>
          <w:tcPr>
            <w:tcW w:w="1280" w:type="dxa"/>
            <w:tcMar>
              <w:top w:w="80" w:type="dxa"/>
              <w:left w:w="100" w:type="dxa"/>
              <w:bottom w:w="80" w:type="dxa"/>
              <w:right w:w="100" w:type="dxa"/>
            </w:tcMar>
          </w:tcPr>
          <w:p w:rsidR="00000000" w:rsidRDefault="00000000" w14:paraId="7D000067">
            <w:pPr>
              <w:rPr/>
            </w:pPr>
            <w:r>
              <w:rPr>
                <w:sz w:val="19"/>
                <w:szCs w:val="19"/>
              </w:rPr>
              <w:t xml:space="preserve">code</w:t>
            </w:r>
          </w:p>
        </w:tc>
        <w:tc>
          <w:tcPr>
            <w:tcW w:w="1280" w:type="dxa"/>
            <w:tcMar>
              <w:top w:w="80" w:type="dxa"/>
              <w:left w:w="100" w:type="dxa"/>
              <w:bottom w:w="80" w:type="dxa"/>
              <w:right w:w="100" w:type="dxa"/>
            </w:tcMar>
          </w:tcPr>
          <w:p w:rsidR="00000000" w:rsidRDefault="00000000" w14:paraId="7D00006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9">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A">
            <w:pPr>
              <w:rPr/>
            </w:pPr>
            <w:r>
              <w:rPr>
                <w:sz w:val="19"/>
                <w:szCs w:val="19"/>
              </w:rPr>
              <w:t xml:space="preserve">CTL</w:t>
            </w:r>
          </w:p>
        </w:tc>
        <w:tc>
          <w:tcPr>
            <w:tcW w:w="2240" w:type="dxa"/>
            <w:tcMar>
              <w:top w:w="80" w:type="dxa"/>
              <w:left w:w="100" w:type="dxa"/>
              <w:bottom w:w="80" w:type="dxa"/>
              <w:right w:w="100" w:type="dxa"/>
            </w:tcMar>
          </w:tcPr>
          <w:p w:rsidR="00000000" w:rsidRDefault="00000000" w14:paraId="7D00006B">
            <w:pPr>
              <w:rPr/>
            </w:pPr>
            <w:r>
              <w:rPr>
                <w:sz w:val="19"/>
                <w:szCs w:val="19"/>
              </w:rPr>
              <w:t xml:space="preserve">Curtailment</w:t>
            </w:r>
          </w:p>
        </w:tc>
        <w:tc>
          <w:tcPr>
            <w:tcW w:w="2720" w:type="dxa"/>
            <w:tcMar>
              <w:top w:w="80" w:type="dxa"/>
              <w:left w:w="100" w:type="dxa"/>
              <w:bottom w:w="80" w:type="dxa"/>
              <w:right w:w="100" w:type="dxa"/>
            </w:tcMar>
          </w:tcPr>
          <w:p w:rsidR="00000000" w:rsidRDefault="00000000" w14:paraId="7D00006C">
            <w:pPr>
              <w:rPr/>
            </w:pPr>
            <w:r>
              <w:rPr>
                <w:sz w:val="19"/>
                <w:szCs w:val="19"/>
              </w:rPr>
              <w:t xml:space="preserve">Generation curtailed during the interval</w:t>
            </w:r>
          </w:p>
        </w:tc>
        <w:tc>
          <w:tcPr>
            <w:tcW w:w="1280" w:type="dxa"/>
            <w:tcMar>
              <w:top w:w="80" w:type="dxa"/>
              <w:left w:w="100" w:type="dxa"/>
              <w:bottom w:w="80" w:type="dxa"/>
              <w:right w:w="100" w:type="dxa"/>
            </w:tcMar>
          </w:tcPr>
          <w:p w:rsidR="00000000" w:rsidRDefault="00000000" w14:paraId="7D00006D">
            <w:pPr>
              <w:rPr/>
            </w:pPr>
            <w:r>
              <w:rPr>
                <w:sz w:val="19"/>
                <w:szCs w:val="19"/>
              </w:rPr>
              <w:t xml:space="preserve">MWh</w:t>
            </w:r>
          </w:p>
        </w:tc>
        <w:tc>
          <w:tcPr>
            <w:tcW w:w="1280" w:type="dxa"/>
            <w:tcMar>
              <w:top w:w="80" w:type="dxa"/>
              <w:left w:w="100" w:type="dxa"/>
              <w:bottom w:w="80" w:type="dxa"/>
              <w:right w:w="100" w:type="dxa"/>
            </w:tcMar>
          </w:tcPr>
          <w:p w:rsidR="00000000" w:rsidRDefault="00000000" w14:paraId="7D00006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6F">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0">
            <w:pPr>
              <w:rPr/>
            </w:pPr>
            <w:r>
              <w:rPr>
                <w:sz w:val="19"/>
                <w:szCs w:val="19"/>
              </w:rPr>
              <w:t xml:space="preserve">EAC</w:t>
            </w:r>
          </w:p>
        </w:tc>
        <w:tc>
          <w:tcPr>
            <w:tcW w:w="2240" w:type="dxa"/>
            <w:tcMar>
              <w:top w:w="80" w:type="dxa"/>
              <w:left w:w="100" w:type="dxa"/>
              <w:bottom w:w="80" w:type="dxa"/>
              <w:right w:w="100" w:type="dxa"/>
            </w:tcMar>
          </w:tcPr>
          <w:p w:rsidR="00000000" w:rsidRDefault="00000000" w14:paraId="7D000071">
            <w:pPr>
              <w:rPr/>
            </w:pPr>
            <w:r>
              <w:rPr>
                <w:sz w:val="19"/>
                <w:szCs w:val="19"/>
              </w:rPr>
              <w:t xml:space="preserve">Certificate Serial Range</w:t>
            </w:r>
          </w:p>
        </w:tc>
        <w:tc>
          <w:tcPr>
            <w:tcW w:w="2720" w:type="dxa"/>
            <w:tcMar>
              <w:top w:w="80" w:type="dxa"/>
              <w:left w:w="100" w:type="dxa"/>
              <w:bottom w:w="80" w:type="dxa"/>
              <w:right w:w="100" w:type="dxa"/>
            </w:tcMar>
          </w:tcPr>
          <w:p w:rsidR="00000000" w:rsidRDefault="00000000" w14:paraId="7D000072">
            <w:pPr>
              <w:rPr/>
            </w:pPr>
            <w:r>
              <w:rPr>
                <w:sz w:val="19"/>
                <w:szCs w:val="19"/>
              </w:rPr>
              <w:t xml:space="preserve">Serial numbers of certificates issued for the interval</w:t>
            </w:r>
          </w:p>
        </w:tc>
        <w:tc>
          <w:tcPr>
            <w:tcW w:w="1280" w:type="dxa"/>
            <w:tcMar>
              <w:top w:w="80" w:type="dxa"/>
              <w:left w:w="100" w:type="dxa"/>
              <w:bottom w:w="80" w:type="dxa"/>
              <w:right w:w="100" w:type="dxa"/>
            </w:tcMar>
          </w:tcPr>
          <w:p w:rsidR="00000000" w:rsidRDefault="00000000" w14:paraId="7D000073">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74">
            <w:pPr>
              <w:rPr/>
            </w:pPr>
            <w:r>
              <w:rPr>
                <w:sz w:val="19"/>
                <w:szCs w:val="19"/>
              </w:rPr>
              <w:t xml:space="preserve">Per issuance</w:t>
            </w:r>
          </w:p>
        </w:tc>
        <w:tc>
          <w:tcPr>
            <w:tcW w:w="1120" w:type="dxa"/>
            <w:tcMar>
              <w:top w:w="80" w:type="dxa"/>
              <w:left w:w="100" w:type="dxa"/>
              <w:bottom w:w="80" w:type="dxa"/>
              <w:right w:w="100" w:type="dxa"/>
            </w:tcMar>
          </w:tcPr>
          <w:p w:rsidR="00000000" w:rsidRDefault="00000000" w14:paraId="7D000075">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6">
            <w:pPr>
              <w:rPr/>
            </w:pPr>
            <w:r>
              <w:rPr>
                <w:sz w:val="19"/>
                <w:szCs w:val="19"/>
              </w:rPr>
              <w:t xml:space="preserve">VTR</w:t>
            </w:r>
          </w:p>
        </w:tc>
        <w:tc>
          <w:tcPr>
            <w:tcW w:w="2240" w:type="dxa"/>
            <w:tcMar>
              <w:top w:w="80" w:type="dxa"/>
              <w:left w:w="100" w:type="dxa"/>
              <w:bottom w:w="80" w:type="dxa"/>
              <w:right w:w="100" w:type="dxa"/>
            </w:tcMar>
          </w:tcPr>
          <w:p w:rsidR="00000000" w:rsidRDefault="00000000" w14:paraId="7D000077">
            <w:pPr>
              <w:rPr/>
            </w:pPr>
            <w:r>
              <w:rPr>
                <w:sz w:val="19"/>
                <w:szCs w:val="19"/>
              </w:rPr>
              <w:t xml:space="preserve">Volume Treated or Recycled</w:t>
            </w:r>
          </w:p>
        </w:tc>
        <w:tc>
          <w:tcPr>
            <w:tcW w:w="2720" w:type="dxa"/>
            <w:tcMar>
              <w:top w:w="80" w:type="dxa"/>
              <w:left w:w="100" w:type="dxa"/>
              <w:bottom w:w="80" w:type="dxa"/>
              <w:right w:w="100" w:type="dxa"/>
            </w:tcMar>
          </w:tcPr>
          <w:p w:rsidR="00000000" w:rsidRDefault="00000000" w14:paraId="7D000078">
            <w:pPr>
              <w:rPr/>
            </w:pPr>
            <w:r>
              <w:rPr>
                <w:sz w:val="19"/>
                <w:szCs w:val="19"/>
              </w:rPr>
              <w:t xml:space="preserve">Water treated, recycled, or remediated for reuse</w:t>
            </w:r>
          </w:p>
        </w:tc>
        <w:tc>
          <w:tcPr>
            <w:tcW w:w="1280" w:type="dxa"/>
            <w:tcMar>
              <w:top w:w="80" w:type="dxa"/>
              <w:left w:w="100" w:type="dxa"/>
              <w:bottom w:w="80" w:type="dxa"/>
              <w:right w:w="100" w:type="dxa"/>
            </w:tcMar>
          </w:tcPr>
          <w:p w:rsidR="00000000" w:rsidRDefault="00000000" w14:paraId="7D000079">
            <w:pPr>
              <w:rPr/>
            </w:pPr>
            <w:r>
              <w:rPr>
                <w:sz w:val="19"/>
                <w:szCs w:val="19"/>
              </w:rPr>
              <w:t xml:space="preserve">m3</w:t>
            </w:r>
          </w:p>
        </w:tc>
        <w:tc>
          <w:tcPr>
            <w:tcW w:w="1280" w:type="dxa"/>
            <w:tcMar>
              <w:top w:w="80" w:type="dxa"/>
              <w:left w:w="100" w:type="dxa"/>
              <w:bottom w:w="80" w:type="dxa"/>
              <w:right w:w="100" w:type="dxa"/>
            </w:tcMar>
          </w:tcPr>
          <w:p w:rsidR="00000000" w:rsidRDefault="00000000" w14:paraId="7D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7B">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7C">
            <w:pPr>
              <w:rPr/>
            </w:pPr>
            <w:r>
              <w:rPr>
                <w:sz w:val="19"/>
                <w:szCs w:val="19"/>
              </w:rPr>
              <w:t xml:space="preserve">VRT</w:t>
            </w:r>
          </w:p>
        </w:tc>
        <w:tc>
          <w:tcPr>
            <w:tcW w:w="2240" w:type="dxa"/>
            <w:tcMar>
              <w:top w:w="80" w:type="dxa"/>
              <w:left w:w="100" w:type="dxa"/>
              <w:bottom w:w="80" w:type="dxa"/>
              <w:right w:w="100" w:type="dxa"/>
            </w:tcMar>
          </w:tcPr>
          <w:p w:rsidR="00000000" w:rsidRDefault="00000000" w14:paraId="7D00007D">
            <w:pPr>
              <w:rPr/>
            </w:pPr>
            <w:r>
              <w:rPr>
                <w:sz w:val="19"/>
                <w:szCs w:val="19"/>
              </w:rPr>
              <w:t xml:space="preserve">Volume Returned</w:t>
            </w:r>
          </w:p>
        </w:tc>
        <w:tc>
          <w:tcPr>
            <w:tcW w:w="2720" w:type="dxa"/>
            <w:tcMar>
              <w:top w:w="80" w:type="dxa"/>
              <w:left w:w="100" w:type="dxa"/>
              <w:bottom w:w="80" w:type="dxa"/>
              <w:right w:w="100" w:type="dxa"/>
            </w:tcMar>
          </w:tcPr>
          <w:p w:rsidR="00000000" w:rsidRDefault="00000000" w14:paraId="7D00007E">
            <w:pPr>
              <w:rPr/>
            </w:pPr>
            <w:r>
              <w:rPr>
                <w:sz w:val="19"/>
                <w:szCs w:val="19"/>
              </w:rPr>
              <w:t xml:space="preserve">Water returned to the source watershed at or above required quality</w:t>
            </w:r>
          </w:p>
        </w:tc>
        <w:tc>
          <w:tcPr>
            <w:tcW w:w="1280" w:type="dxa"/>
            <w:tcMar>
              <w:top w:w="80" w:type="dxa"/>
              <w:left w:w="100" w:type="dxa"/>
              <w:bottom w:w="80" w:type="dxa"/>
              <w:right w:w="100" w:type="dxa"/>
            </w:tcMar>
          </w:tcPr>
          <w:p w:rsidR="00000000" w:rsidRDefault="00000000" w14:paraId="7D00007F">
            <w:pPr>
              <w:rPr/>
            </w:pPr>
            <w:r>
              <w:rPr>
                <w:sz w:val="19"/>
                <w:szCs w:val="19"/>
              </w:rPr>
              <w:t xml:space="preserve">m3</w:t>
            </w:r>
          </w:p>
        </w:tc>
        <w:tc>
          <w:tcPr>
            <w:tcW w:w="1280" w:type="dxa"/>
            <w:tcMar>
              <w:top w:w="80" w:type="dxa"/>
              <w:left w:w="100" w:type="dxa"/>
              <w:bottom w:w="80" w:type="dxa"/>
              <w:right w:w="100" w:type="dxa"/>
            </w:tcMar>
          </w:tcPr>
          <w:p w:rsidR="00000000" w:rsidRDefault="00000000" w14:paraId="7D000080">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1">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2">
            <w:pPr>
              <w:rPr/>
            </w:pPr>
            <w:r>
              <w:rPr>
                <w:sz w:val="19"/>
                <w:szCs w:val="19"/>
              </w:rPr>
              <w:t xml:space="preserve">WQI</w:t>
            </w:r>
          </w:p>
        </w:tc>
        <w:tc>
          <w:tcPr>
            <w:tcW w:w="2240" w:type="dxa"/>
            <w:tcMar>
              <w:top w:w="80" w:type="dxa"/>
              <w:left w:w="100" w:type="dxa"/>
              <w:bottom w:w="80" w:type="dxa"/>
              <w:right w:w="100" w:type="dxa"/>
            </w:tcMar>
          </w:tcPr>
          <w:p w:rsidR="00000000" w:rsidRDefault="00000000" w14:paraId="7D000083">
            <w:pPr>
              <w:rPr/>
            </w:pPr>
            <w:r>
              <w:rPr>
                <w:sz w:val="19"/>
                <w:szCs w:val="19"/>
              </w:rPr>
              <w:t xml:space="preserve">Water Quality Indicators</w:t>
            </w:r>
          </w:p>
        </w:tc>
        <w:tc>
          <w:tcPr>
            <w:tcW w:w="2720" w:type="dxa"/>
            <w:tcMar>
              <w:top w:w="80" w:type="dxa"/>
              <w:left w:w="100" w:type="dxa"/>
              <w:bottom w:w="80" w:type="dxa"/>
              <w:right w:w="100" w:type="dxa"/>
            </w:tcMar>
          </w:tcPr>
          <w:p w:rsidR="00000000" w:rsidRDefault="00000000" w14:paraId="7D000084">
            <w:pPr>
              <w:rPr/>
            </w:pPr>
            <w:r>
              <w:rPr>
                <w:sz w:val="19"/>
                <w:szCs w:val="19"/>
              </w:rPr>
              <w:t xml:space="preserve">Key quality parameters of returned or reused water</w:t>
            </w:r>
          </w:p>
        </w:tc>
        <w:tc>
          <w:tcPr>
            <w:tcW w:w="1280" w:type="dxa"/>
            <w:tcMar>
              <w:top w:w="80" w:type="dxa"/>
              <w:left w:w="100" w:type="dxa"/>
              <w:bottom w:w="80" w:type="dxa"/>
              <w:right w:w="100" w:type="dxa"/>
            </w:tcMar>
          </w:tcPr>
          <w:p w:rsidR="00000000" w:rsidRDefault="00000000" w14:paraId="7D000085">
            <w:pPr>
              <w:rPr/>
            </w:pPr>
            <w:r>
              <w:rPr>
                <w:sz w:val="19"/>
                <w:szCs w:val="19"/>
              </w:rPr>
              <w:t xml:space="preserve">mg/L, NTU</w:t>
            </w:r>
          </w:p>
        </w:tc>
        <w:tc>
          <w:tcPr>
            <w:tcW w:w="1280" w:type="dxa"/>
            <w:tcMar>
              <w:top w:w="80" w:type="dxa"/>
              <w:left w:w="100" w:type="dxa"/>
              <w:bottom w:w="80" w:type="dxa"/>
              <w:right w:w="100" w:type="dxa"/>
            </w:tcMar>
          </w:tcPr>
          <w:p w:rsidR="00000000" w:rsidRDefault="00000000" w14:paraId="7D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7">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8">
            <w:pPr>
              <w:rPr/>
            </w:pPr>
            <w:r>
              <w:rPr>
                <w:sz w:val="19"/>
                <w:szCs w:val="19"/>
              </w:rPr>
              <w:t xml:space="preserve">WSI</w:t>
            </w:r>
          </w:p>
        </w:tc>
        <w:tc>
          <w:tcPr>
            <w:tcW w:w="2240" w:type="dxa"/>
            <w:tcMar>
              <w:top w:w="80" w:type="dxa"/>
              <w:left w:w="100" w:type="dxa"/>
              <w:bottom w:w="80" w:type="dxa"/>
              <w:right w:w="100" w:type="dxa"/>
            </w:tcMar>
          </w:tcPr>
          <w:p w:rsidR="00000000" w:rsidRDefault="00000000" w14:paraId="7D000089">
            <w:pPr>
              <w:rPr/>
            </w:pPr>
            <w:r>
              <w:rPr>
                <w:sz w:val="19"/>
                <w:szCs w:val="19"/>
              </w:rPr>
              <w:t xml:space="preserve">Watershed ID</w:t>
            </w:r>
          </w:p>
        </w:tc>
        <w:tc>
          <w:tcPr>
            <w:tcW w:w="2720" w:type="dxa"/>
            <w:tcMar>
              <w:top w:w="80" w:type="dxa"/>
              <w:left w:w="100" w:type="dxa"/>
              <w:bottom w:w="80" w:type="dxa"/>
              <w:right w:w="100" w:type="dxa"/>
            </w:tcMar>
          </w:tcPr>
          <w:p w:rsidR="00000000" w:rsidRDefault="00000000" w14:paraId="7D00008A">
            <w:pPr>
              <w:rPr/>
            </w:pPr>
            <w:r>
              <w:rPr>
                <w:sz w:val="19"/>
                <w:szCs w:val="19"/>
              </w:rPr>
              <w:t xml:space="preserve">Basin or watershed identifier for place-based matching</w:t>
            </w:r>
          </w:p>
        </w:tc>
        <w:tc>
          <w:tcPr>
            <w:tcW w:w="1280" w:type="dxa"/>
            <w:tcMar>
              <w:top w:w="80" w:type="dxa"/>
              <w:left w:w="100" w:type="dxa"/>
              <w:bottom w:w="80" w:type="dxa"/>
              <w:right w:w="100" w:type="dxa"/>
            </w:tcMar>
          </w:tcPr>
          <w:p w:rsidR="00000000" w:rsidRDefault="00000000" w14:paraId="7D00008B">
            <w:pPr>
              <w:rPr/>
            </w:pPr>
            <w:r>
              <w:rPr>
                <w:sz w:val="19"/>
                <w:szCs w:val="19"/>
              </w:rPr>
              <w:t xml:space="preserve">code</w:t>
            </w:r>
          </w:p>
        </w:tc>
        <w:tc>
          <w:tcPr>
            <w:tcW w:w="1280" w:type="dxa"/>
            <w:tcMar>
              <w:top w:w="80" w:type="dxa"/>
              <w:left w:w="100" w:type="dxa"/>
              <w:bottom w:w="80" w:type="dxa"/>
              <w:right w:w="100" w:type="dxa"/>
            </w:tcMar>
          </w:tcPr>
          <w:p w:rsidR="00000000" w:rsidRDefault="00000000" w14:paraId="7D00008C">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8D">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E">
            <w:pPr>
              <w:rPr/>
            </w:pPr>
            <w:r>
              <w:rPr>
                <w:sz w:val="19"/>
                <w:szCs w:val="19"/>
              </w:rPr>
              <w:t xml:space="preserve">WSX</w:t>
            </w:r>
          </w:p>
        </w:tc>
        <w:tc>
          <w:tcPr>
            <w:tcW w:w="2240" w:type="dxa"/>
            <w:tcMar>
              <w:top w:w="80" w:type="dxa"/>
              <w:left w:w="100" w:type="dxa"/>
              <w:bottom w:w="80" w:type="dxa"/>
              <w:right w:w="100" w:type="dxa"/>
            </w:tcMar>
          </w:tcPr>
          <w:p w:rsidR="00000000" w:rsidRDefault="00000000" w14:paraId="7D00008F">
            <w:pPr>
              <w:rPr/>
            </w:pPr>
            <w:r>
              <w:rPr>
                <w:sz w:val="19"/>
                <w:szCs w:val="19"/>
              </w:rPr>
              <w:t xml:space="preserve">Baseline Water Stress</w:t>
            </w:r>
          </w:p>
        </w:tc>
        <w:tc>
          <w:tcPr>
            <w:tcW w:w="2720" w:type="dxa"/>
            <w:tcMar>
              <w:top w:w="80" w:type="dxa"/>
              <w:left w:w="100" w:type="dxa"/>
              <w:bottom w:w="80" w:type="dxa"/>
              <w:right w:w="100" w:type="dxa"/>
            </w:tcMar>
          </w:tcPr>
          <w:p w:rsidR="00000000" w:rsidRDefault="00000000" w14:paraId="7D000090">
            <w:pPr>
              <w:rPr/>
            </w:pPr>
            <w:r>
              <w:rPr>
                <w:sz w:val="19"/>
                <w:szCs w:val="19"/>
              </w:rPr>
              <w:t xml:space="preserve">Water stress rating of the watershed (e.g., WRI Aqueduct)</w:t>
            </w:r>
          </w:p>
        </w:tc>
        <w:tc>
          <w:tcPr>
            <w:tcW w:w="1280" w:type="dxa"/>
            <w:tcMar>
              <w:top w:w="80" w:type="dxa"/>
              <w:left w:w="100" w:type="dxa"/>
              <w:bottom w:w="80" w:type="dxa"/>
              <w:right w:w="100" w:type="dxa"/>
            </w:tcMar>
          </w:tcPr>
          <w:p w:rsidR="00000000" w:rsidRDefault="00000000" w14:paraId="7D000091">
            <w:pPr>
              <w:rPr/>
            </w:pPr>
            <w:r>
              <w:rPr>
                <w:sz w:val="19"/>
                <w:szCs w:val="19"/>
              </w:rPr>
              <w:t xml:space="preserve">index</w:t>
            </w:r>
          </w:p>
        </w:tc>
        <w:tc>
          <w:tcPr>
            <w:tcW w:w="1280" w:type="dxa"/>
            <w:tcMar>
              <w:top w:w="80" w:type="dxa"/>
              <w:left w:w="100" w:type="dxa"/>
              <w:bottom w:w="80" w:type="dxa"/>
              <w:right w:w="100" w:type="dxa"/>
            </w:tcMar>
          </w:tcPr>
          <w:p w:rsidR="00000000" w:rsidRDefault="00000000" w14:paraId="7D000092">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93">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94">
            <w:pPr>
              <w:rPr/>
            </w:pPr>
            <w:r>
              <w:rPr>
                <w:sz w:val="19"/>
                <w:szCs w:val="19"/>
              </w:rPr>
              <w:t xml:space="preserve">HEX</w:t>
            </w:r>
          </w:p>
        </w:tc>
        <w:tc>
          <w:tcPr>
            <w:tcW w:w="2240" w:type="dxa"/>
            <w:tcMar>
              <w:top w:w="80" w:type="dxa"/>
              <w:left w:w="100" w:type="dxa"/>
              <w:bottom w:w="80" w:type="dxa"/>
              <w:right w:w="100" w:type="dxa"/>
            </w:tcMar>
          </w:tcPr>
          <w:p w:rsidR="00000000" w:rsidRDefault="00000000" w14:paraId="7D000095">
            <w:pPr>
              <w:rPr/>
            </w:pPr>
            <w:r>
              <w:rPr>
                <w:sz w:val="19"/>
                <w:szCs w:val="19"/>
              </w:rPr>
              <w:t xml:space="preserve">Heat Exported</w:t>
            </w:r>
          </w:p>
        </w:tc>
        <w:tc>
          <w:tcPr>
            <w:tcW w:w="2720" w:type="dxa"/>
            <w:tcMar>
              <w:top w:w="80" w:type="dxa"/>
              <w:left w:w="100" w:type="dxa"/>
              <w:bottom w:w="80" w:type="dxa"/>
              <w:right w:w="100" w:type="dxa"/>
            </w:tcMar>
          </w:tcPr>
          <w:p w:rsidR="00000000" w:rsidRDefault="00000000" w14:paraId="7D000096">
            <w:pPr>
              <w:rPr/>
            </w:pPr>
            <w:r>
              <w:rPr>
                <w:sz w:val="19"/>
                <w:szCs w:val="19"/>
              </w:rPr>
              <w:t xml:space="preserve">Thermal energy delivered to an external user</w:t>
            </w:r>
          </w:p>
        </w:tc>
        <w:tc>
          <w:tcPr>
            <w:tcW w:w="1280" w:type="dxa"/>
            <w:tcMar>
              <w:top w:w="80" w:type="dxa"/>
              <w:left w:w="100" w:type="dxa"/>
              <w:bottom w:w="80" w:type="dxa"/>
              <w:right w:w="100" w:type="dxa"/>
            </w:tcMar>
          </w:tcPr>
          <w:p w:rsidR="00000000" w:rsidRDefault="00000000" w14:paraId="7D000097">
            <w:pPr>
              <w:rPr/>
            </w:pPr>
            <w:r>
              <w:rPr>
                <w:sz w:val="19"/>
                <w:szCs w:val="19"/>
              </w:rPr>
              <w:t xml:space="preserve">MWh-th</w:t>
            </w:r>
          </w:p>
        </w:tc>
        <w:tc>
          <w:tcPr>
            <w:tcW w:w="1280" w:type="dxa"/>
            <w:tcMar>
              <w:top w:w="80" w:type="dxa"/>
              <w:left w:w="100" w:type="dxa"/>
              <w:bottom w:w="80" w:type="dxa"/>
              <w:right w:w="100" w:type="dxa"/>
            </w:tcMar>
          </w:tcPr>
          <w:p w:rsidR="00000000" w:rsidRDefault="00000000" w14:paraId="7D000098">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9">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9A">
            <w:pPr>
              <w:rPr/>
            </w:pPr>
            <w:r>
              <w:rPr>
                <w:sz w:val="19"/>
                <w:szCs w:val="19"/>
              </w:rPr>
              <w:t xml:space="preserve">HST</w:t>
            </w:r>
          </w:p>
        </w:tc>
        <w:tc>
          <w:tcPr>
            <w:tcW w:w="2240" w:type="dxa"/>
            <w:tcMar>
              <w:top w:w="80" w:type="dxa"/>
              <w:left w:w="100" w:type="dxa"/>
              <w:bottom w:w="80" w:type="dxa"/>
              <w:right w:w="100" w:type="dxa"/>
            </w:tcMar>
          </w:tcPr>
          <w:p w:rsidR="00000000" w:rsidRDefault="00000000" w14:paraId="7D00009B">
            <w:pPr>
              <w:rPr/>
            </w:pPr>
            <w:r>
              <w:rPr>
                <w:sz w:val="19"/>
                <w:szCs w:val="19"/>
              </w:rPr>
              <w:t xml:space="preserve">Supply Temperature</w:t>
            </w:r>
          </w:p>
        </w:tc>
        <w:tc>
          <w:tcPr>
            <w:tcW w:w="2720" w:type="dxa"/>
            <w:tcMar>
              <w:top w:w="80" w:type="dxa"/>
              <w:left w:w="100" w:type="dxa"/>
              <w:bottom w:w="80" w:type="dxa"/>
              <w:right w:w="100" w:type="dxa"/>
            </w:tcMar>
          </w:tcPr>
          <w:p w:rsidR="00000000" w:rsidRDefault="00000000" w14:paraId="7D00009C">
            <w:pPr>
              <w:rPr/>
            </w:pPr>
            <w:r>
              <w:rPr>
                <w:sz w:val="19"/>
                <w:szCs w:val="19"/>
              </w:rPr>
              <w:t xml:space="preserve">Temperature of exported heat</w:t>
            </w:r>
          </w:p>
        </w:tc>
        <w:tc>
          <w:tcPr>
            <w:tcW w:w="1280" w:type="dxa"/>
            <w:tcMar>
              <w:top w:w="80" w:type="dxa"/>
              <w:left w:w="100" w:type="dxa"/>
              <w:bottom w:w="80" w:type="dxa"/>
              <w:right w:w="100" w:type="dxa"/>
            </w:tcMar>
          </w:tcPr>
          <w:p w:rsidR="00000000" w:rsidRDefault="00000000" w14:paraId="7D00009D">
            <w:pPr>
              <w:rPr/>
            </w:pPr>
            <w:r>
              <w:rPr>
                <w:sz w:val="19"/>
                <w:szCs w:val="19"/>
              </w:rPr>
              <w:t xml:space="preserve">°C</w:t>
            </w:r>
          </w:p>
        </w:tc>
        <w:tc>
          <w:tcPr>
            <w:tcW w:w="1280" w:type="dxa"/>
            <w:tcMar>
              <w:top w:w="80" w:type="dxa"/>
              <w:left w:w="100" w:type="dxa"/>
              <w:bottom w:w="80" w:type="dxa"/>
              <w:right w:w="100" w:type="dxa"/>
            </w:tcMar>
          </w:tcPr>
          <w:p w:rsidR="00000000" w:rsidRDefault="00000000" w14:paraId="7D00009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0">
            <w:pPr>
              <w:rPr/>
            </w:pPr>
            <w:r>
              <w:rPr>
                <w:sz w:val="19"/>
                <w:szCs w:val="19"/>
              </w:rPr>
              <w:t xml:space="preserve">HRP</w:t>
            </w:r>
          </w:p>
        </w:tc>
        <w:tc>
          <w:tcPr>
            <w:tcW w:w="2240" w:type="dxa"/>
            <w:tcMar>
              <w:top w:w="80" w:type="dxa"/>
              <w:left w:w="100" w:type="dxa"/>
              <w:bottom w:w="80" w:type="dxa"/>
              <w:right w:w="100" w:type="dxa"/>
            </w:tcMar>
          </w:tcPr>
          <w:p w:rsidR="00000000" w:rsidRDefault="00000000" w14:paraId="7D0000A1">
            <w:pPr>
              <w:rPr/>
            </w:pPr>
            <w:r>
              <w:rPr>
                <w:sz w:val="19"/>
                <w:szCs w:val="19"/>
              </w:rPr>
              <w:t xml:space="preserve">Heat Recipient</w:t>
            </w:r>
          </w:p>
        </w:tc>
        <w:tc>
          <w:tcPr>
            <w:tcW w:w="2720" w:type="dxa"/>
            <w:tcMar>
              <w:top w:w="80" w:type="dxa"/>
              <w:left w:w="100" w:type="dxa"/>
              <w:bottom w:w="80" w:type="dxa"/>
              <w:right w:w="100" w:type="dxa"/>
            </w:tcMar>
          </w:tcPr>
          <w:p w:rsidR="00000000" w:rsidRDefault="00000000" w14:paraId="7D0000A2">
            <w:pPr>
              <w:rPr/>
            </w:pPr>
            <w:r>
              <w:rPr>
                <w:sz w:val="19"/>
                <w:szCs w:val="19"/>
              </w:rPr>
              <w:t xml:space="preserve">District heating, greenhouse, industry, or buildings</w:t>
            </w:r>
          </w:p>
        </w:tc>
        <w:tc>
          <w:tcPr>
            <w:tcW w:w="1280" w:type="dxa"/>
            <w:tcMar>
              <w:top w:w="80" w:type="dxa"/>
              <w:left w:w="100" w:type="dxa"/>
              <w:bottom w:w="80" w:type="dxa"/>
              <w:right w:w="100" w:type="dxa"/>
            </w:tcMar>
          </w:tcPr>
          <w:p w:rsidR="00000000" w:rsidRDefault="00000000" w14:paraId="7D0000A3">
            <w:pPr>
              <w:rPr/>
            </w:pPr>
            <w:r>
              <w:rPr>
                <w:sz w:val="19"/>
                <w:szCs w:val="19"/>
              </w:rPr>
              <w:t xml:space="preserve">enum</w:t>
            </w:r>
          </w:p>
        </w:tc>
        <w:tc>
          <w:tcPr>
            <w:tcW w:w="1280" w:type="dxa"/>
            <w:tcMar>
              <w:top w:w="80" w:type="dxa"/>
              <w:left w:w="100" w:type="dxa"/>
              <w:bottom w:w="80" w:type="dxa"/>
              <w:right w:w="100" w:type="dxa"/>
            </w:tcMar>
          </w:tcPr>
          <w:p w:rsidR="00000000" w:rsidRDefault="00000000" w14:paraId="7D0000A4">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A5">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6">
            <w:pPr>
              <w:rPr/>
            </w:pPr>
            <w:r>
              <w:rPr>
                <w:sz w:val="19"/>
                <w:szCs w:val="19"/>
              </w:rPr>
              <w:t xml:space="preserve">ERF</w:t>
            </w:r>
          </w:p>
        </w:tc>
        <w:tc>
          <w:tcPr>
            <w:tcW w:w="2240" w:type="dxa"/>
            <w:tcMar>
              <w:top w:w="80" w:type="dxa"/>
              <w:left w:w="100" w:type="dxa"/>
              <w:bottom w:w="80" w:type="dxa"/>
              <w:right w:w="100" w:type="dxa"/>
            </w:tcMar>
          </w:tcPr>
          <w:p w:rsidR="00000000" w:rsidRDefault="00000000" w14:paraId="7D0000A7">
            <w:pPr>
              <w:rPr/>
            </w:pPr>
            <w:r>
              <w:rPr>
                <w:sz w:val="19"/>
                <w:szCs w:val="19"/>
              </w:rPr>
              <w:t xml:space="preserve">Energy Reuse Factor</w:t>
            </w:r>
          </w:p>
        </w:tc>
        <w:tc>
          <w:tcPr>
            <w:tcW w:w="2720" w:type="dxa"/>
            <w:tcMar>
              <w:top w:w="80" w:type="dxa"/>
              <w:left w:w="100" w:type="dxa"/>
              <w:bottom w:w="80" w:type="dxa"/>
              <w:right w:w="100" w:type="dxa"/>
            </w:tcMar>
          </w:tcPr>
          <w:p w:rsidR="00000000" w:rsidRDefault="00000000" w14:paraId="7D0000A8">
            <w:pPr>
              <w:rPr/>
            </w:pPr>
            <w:r>
              <w:rPr>
                <w:sz w:val="19"/>
                <w:szCs w:val="19"/>
              </w:rPr>
              <w:t xml:space="preserve">Reused energy divided by total facility energy (ISO/IEC 30134-6)</w:t>
            </w:r>
          </w:p>
        </w:tc>
        <w:tc>
          <w:tcPr>
            <w:tcW w:w="1280" w:type="dxa"/>
            <w:tcMar>
              <w:top w:w="80" w:type="dxa"/>
              <w:left w:w="100" w:type="dxa"/>
              <w:bottom w:w="80" w:type="dxa"/>
              <w:right w:w="100" w:type="dxa"/>
            </w:tcMar>
          </w:tcPr>
          <w:p w:rsidR="00000000" w:rsidRDefault="00000000" w14:paraId="7D0000A9">
            <w:pPr>
              <w:rPr/>
            </w:pPr>
            <w:r>
              <w:rPr>
                <w:sz w:val="19"/>
                <w:szCs w:val="19"/>
              </w:rPr>
              <w:t xml:space="preserve">ratio 0–1</w:t>
            </w:r>
          </w:p>
        </w:tc>
        <w:tc>
          <w:tcPr>
            <w:tcW w:w="1280" w:type="dxa"/>
            <w:tcMar>
              <w:top w:w="80" w:type="dxa"/>
              <w:left w:w="100" w:type="dxa"/>
              <w:bottom w:w="80" w:type="dxa"/>
              <w:right w:w="100" w:type="dxa"/>
            </w:tcMar>
          </w:tcPr>
          <w:p w:rsidR="00000000" w:rsidRDefault="00000000" w14:paraId="7D0000AA">
            <w:pPr>
              <w:rPr/>
            </w:pPr>
            <w:r>
              <w:rPr>
                <w:sz w:val="19"/>
                <w:szCs w:val="19"/>
              </w:rPr>
              <w:t xml:space="preserve">Annual / monthly</w:t>
            </w:r>
          </w:p>
        </w:tc>
        <w:tc>
          <w:tcPr>
            <w:tcW w:w="1120" w:type="dxa"/>
            <w:tcMar>
              <w:top w:w="80" w:type="dxa"/>
              <w:left w:w="100" w:type="dxa"/>
              <w:bottom w:w="80" w:type="dxa"/>
              <w:right w:w="100" w:type="dxa"/>
            </w:tcMar>
          </w:tcPr>
          <w:p w:rsidR="00000000" w:rsidRDefault="00000000" w14:paraId="7D0000AB">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C">
            <w:pPr>
              <w:rPr/>
            </w:pPr>
            <w:r>
              <w:rPr>
                <w:sz w:val="19"/>
                <w:szCs w:val="19"/>
              </w:rPr>
              <w:t xml:space="preserve">DFB</w:t>
            </w:r>
          </w:p>
        </w:tc>
        <w:tc>
          <w:tcPr>
            <w:tcW w:w="2240" w:type="dxa"/>
            <w:tcMar>
              <w:top w:w="80" w:type="dxa"/>
              <w:left w:w="100" w:type="dxa"/>
              <w:bottom w:w="80" w:type="dxa"/>
              <w:right w:w="100" w:type="dxa"/>
            </w:tcMar>
          </w:tcPr>
          <w:p w:rsidR="00000000" w:rsidRDefault="00000000" w14:paraId="7D0000AD">
            <w:pPr>
              <w:rPr/>
            </w:pPr>
            <w:r>
              <w:rPr>
                <w:sz w:val="19"/>
                <w:szCs w:val="19"/>
              </w:rPr>
              <w:t xml:space="preserve">Displaced Fuel Baseline</w:t>
            </w:r>
          </w:p>
        </w:tc>
        <w:tc>
          <w:tcPr>
            <w:tcW w:w="2720" w:type="dxa"/>
            <w:tcMar>
              <w:top w:w="80" w:type="dxa"/>
              <w:left w:w="100" w:type="dxa"/>
              <w:bottom w:w="80" w:type="dxa"/>
              <w:right w:w="100" w:type="dxa"/>
            </w:tcMar>
          </w:tcPr>
          <w:p w:rsidR="00000000" w:rsidRDefault="00000000" w14:paraId="7D0000AE">
            <w:pPr>
              <w:rPr/>
            </w:pPr>
            <w:r>
              <w:rPr>
                <w:sz w:val="19"/>
                <w:szCs w:val="19"/>
              </w:rPr>
              <w:t xml:space="preserve">Fuel or heat source the exported heat replaces</w:t>
            </w:r>
          </w:p>
        </w:tc>
        <w:tc>
          <w:tcPr>
            <w:tcW w:w="1280" w:type="dxa"/>
            <w:tcMar>
              <w:top w:w="80" w:type="dxa"/>
              <w:left w:w="100" w:type="dxa"/>
              <w:bottom w:w="80" w:type="dxa"/>
              <w:right w:w="100" w:type="dxa"/>
            </w:tcMar>
          </w:tcPr>
          <w:p w:rsidR="00000000" w:rsidRDefault="00000000" w14:paraId="7D0000AF">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0">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B1">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B2">
            <w:pPr>
              <w:rPr/>
            </w:pPr>
            <w:r>
              <w:rPr>
                <w:sz w:val="19"/>
                <w:szCs w:val="19"/>
              </w:rPr>
              <w:t xml:space="preserve">MRC</w:t>
            </w:r>
          </w:p>
        </w:tc>
        <w:tc>
          <w:tcPr>
            <w:tcW w:w="2240" w:type="dxa"/>
            <w:tcMar>
              <w:top w:w="80" w:type="dxa"/>
              <w:left w:w="100" w:type="dxa"/>
              <w:bottom w:w="80" w:type="dxa"/>
              <w:right w:w="100" w:type="dxa"/>
            </w:tcMar>
          </w:tcPr>
          <w:p w:rsidR="00000000" w:rsidRDefault="00000000" w14:paraId="7D0000B3">
            <w:pPr>
              <w:rPr/>
            </w:pPr>
            <w:r>
              <w:rPr>
                <w:sz w:val="19"/>
                <w:szCs w:val="19"/>
              </w:rPr>
              <w:t xml:space="preserve">Mass Recovered</w:t>
            </w:r>
          </w:p>
        </w:tc>
        <w:tc>
          <w:tcPr>
            <w:tcW w:w="2720" w:type="dxa"/>
            <w:tcMar>
              <w:top w:w="80" w:type="dxa"/>
              <w:left w:w="100" w:type="dxa"/>
              <w:bottom w:w="80" w:type="dxa"/>
              <w:right w:w="100" w:type="dxa"/>
            </w:tcMar>
          </w:tcPr>
          <w:p w:rsidR="00000000" w:rsidRDefault="00000000" w14:paraId="7D0000B4">
            <w:pPr>
              <w:rPr/>
            </w:pPr>
            <w:r>
              <w:rPr>
                <w:sz w:val="19"/>
                <w:szCs w:val="19"/>
              </w:rPr>
              <w:t xml:space="preserve">Mass of material recovered for reuse or recycling</w:t>
            </w:r>
          </w:p>
        </w:tc>
        <w:tc>
          <w:tcPr>
            <w:tcW w:w="1280" w:type="dxa"/>
            <w:tcMar>
              <w:top w:w="80" w:type="dxa"/>
              <w:left w:w="100" w:type="dxa"/>
              <w:bottom w:w="80" w:type="dxa"/>
              <w:right w:w="100" w:type="dxa"/>
            </w:tcMar>
          </w:tcPr>
          <w:p w:rsidR="00000000" w:rsidRDefault="00000000" w14:paraId="7D0000B5">
            <w:pPr>
              <w:rPr/>
            </w:pPr>
            <w:r>
              <w:rPr>
                <w:sz w:val="19"/>
                <w:szCs w:val="19"/>
              </w:rPr>
              <w:t xml:space="preserve">kg</w:t>
            </w:r>
          </w:p>
        </w:tc>
        <w:tc>
          <w:tcPr>
            <w:tcW w:w="1280" w:type="dxa"/>
            <w:tcMar>
              <w:top w:w="80" w:type="dxa"/>
              <w:left w:w="100" w:type="dxa"/>
              <w:bottom w:w="80" w:type="dxa"/>
              <w:right w:w="100" w:type="dxa"/>
            </w:tcMar>
          </w:tcPr>
          <w:p w:rsidR="00000000" w:rsidRDefault="00000000" w14:paraId="7D0000B6">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7">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8">
            <w:pPr>
              <w:rPr/>
            </w:pPr>
            <w:r>
              <w:rPr>
                <w:sz w:val="19"/>
                <w:szCs w:val="19"/>
              </w:rPr>
              <w:t xml:space="preserve">MTY</w:t>
            </w:r>
          </w:p>
        </w:tc>
        <w:tc>
          <w:tcPr>
            <w:tcW w:w="2240" w:type="dxa"/>
            <w:tcMar>
              <w:top w:w="80" w:type="dxa"/>
              <w:left w:w="100" w:type="dxa"/>
              <w:bottom w:w="80" w:type="dxa"/>
              <w:right w:w="100" w:type="dxa"/>
            </w:tcMar>
          </w:tcPr>
          <w:p w:rsidR="00000000" w:rsidRDefault="00000000" w14:paraId="7D0000B9">
            <w:pPr>
              <w:rPr/>
            </w:pPr>
            <w:r>
              <w:rPr>
                <w:sz w:val="19"/>
                <w:szCs w:val="19"/>
              </w:rPr>
              <w:t xml:space="preserve">Material Type</w:t>
            </w:r>
          </w:p>
        </w:tc>
        <w:tc>
          <w:tcPr>
            <w:tcW w:w="2720" w:type="dxa"/>
            <w:tcMar>
              <w:top w:w="80" w:type="dxa"/>
              <w:left w:w="100" w:type="dxa"/>
              <w:bottom w:w="80" w:type="dxa"/>
              <w:right w:w="100" w:type="dxa"/>
            </w:tcMar>
          </w:tcPr>
          <w:p w:rsidR="00000000" w:rsidRDefault="00000000" w14:paraId="7D0000BA">
            <w:pPr>
              <w:rPr/>
            </w:pPr>
            <w:r>
              <w:rPr>
                <w:sz w:val="19"/>
                <w:szCs w:val="19"/>
              </w:rPr>
              <w:t xml:space="preserve">Plastic, metals, electronics, batteries, other</w:t>
            </w:r>
          </w:p>
        </w:tc>
        <w:tc>
          <w:tcPr>
            <w:tcW w:w="1280" w:type="dxa"/>
            <w:tcMar>
              <w:top w:w="80" w:type="dxa"/>
              <w:left w:w="100" w:type="dxa"/>
              <w:bottom w:w="80" w:type="dxa"/>
              <w:right w:w="100" w:type="dxa"/>
            </w:tcMar>
          </w:tcPr>
          <w:p w:rsidR="00000000" w:rsidRDefault="00000000" w14:paraId="7D0000BB">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C">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D">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E">
            <w:pPr>
              <w:rPr/>
            </w:pPr>
            <w:r>
              <w:rPr>
                <w:sz w:val="19"/>
                <w:szCs w:val="19"/>
              </w:rPr>
              <w:t xml:space="preserve">COC</w:t>
            </w:r>
          </w:p>
        </w:tc>
        <w:tc>
          <w:tcPr>
            <w:tcW w:w="2240" w:type="dxa"/>
            <w:tcMar>
              <w:top w:w="80" w:type="dxa"/>
              <w:left w:w="100" w:type="dxa"/>
              <w:bottom w:w="80" w:type="dxa"/>
              <w:right w:w="100" w:type="dxa"/>
            </w:tcMar>
          </w:tcPr>
          <w:p w:rsidR="00000000" w:rsidRDefault="00000000" w14:paraId="7D0000BF">
            <w:pPr>
              <w:rPr/>
            </w:pPr>
            <w:r>
              <w:rPr>
                <w:sz w:val="19"/>
                <w:szCs w:val="19"/>
              </w:rPr>
              <w:t xml:space="preserve">Chain-of-Custody ID</w:t>
            </w:r>
          </w:p>
        </w:tc>
        <w:tc>
          <w:tcPr>
            <w:tcW w:w="2720" w:type="dxa"/>
            <w:tcMar>
              <w:top w:w="80" w:type="dxa"/>
              <w:left w:w="100" w:type="dxa"/>
              <w:bottom w:w="80" w:type="dxa"/>
              <w:right w:w="100" w:type="dxa"/>
            </w:tcMar>
          </w:tcPr>
          <w:p w:rsidR="00000000" w:rsidRDefault="00000000" w14:paraId="7D0000C0">
            <w:pPr>
              <w:rPr/>
            </w:pPr>
            <w:r>
              <w:rPr>
                <w:sz w:val="19"/>
                <w:szCs w:val="19"/>
              </w:rPr>
              <w:t xml:space="preserve">Reference tracing material from source to recycler</w:t>
            </w:r>
          </w:p>
        </w:tc>
        <w:tc>
          <w:tcPr>
            <w:tcW w:w="1280" w:type="dxa"/>
            <w:tcMar>
              <w:top w:w="80" w:type="dxa"/>
              <w:left w:w="100" w:type="dxa"/>
              <w:bottom w:w="80" w:type="dxa"/>
              <w:right w:w="100" w:type="dxa"/>
            </w:tcMar>
          </w:tcPr>
          <w:p w:rsidR="00000000" w:rsidRDefault="00000000" w14:paraId="7D0000C1">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C2">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C3">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4">
            <w:pPr>
              <w:rPr/>
            </w:pPr>
            <w:r>
              <w:rPr>
                <w:sz w:val="19"/>
                <w:szCs w:val="19"/>
              </w:rPr>
              <w:t xml:space="preserve">RCS</w:t>
            </w:r>
          </w:p>
        </w:tc>
        <w:tc>
          <w:tcPr>
            <w:tcW w:w="2240" w:type="dxa"/>
            <w:tcMar>
              <w:top w:w="80" w:type="dxa"/>
              <w:left w:w="100" w:type="dxa"/>
              <w:bottom w:w="80" w:type="dxa"/>
              <w:right w:w="100" w:type="dxa"/>
            </w:tcMar>
          </w:tcPr>
          <w:p w:rsidR="00000000" w:rsidRDefault="00000000" w14:paraId="7D0000C5">
            <w:pPr>
              <w:rPr/>
            </w:pPr>
            <w:r>
              <w:rPr>
                <w:sz w:val="19"/>
                <w:szCs w:val="19"/>
              </w:rPr>
              <w:t xml:space="preserve">Recycler Certification</w:t>
            </w:r>
          </w:p>
        </w:tc>
        <w:tc>
          <w:tcPr>
            <w:tcW w:w="2720" w:type="dxa"/>
            <w:tcMar>
              <w:top w:w="80" w:type="dxa"/>
              <w:left w:w="100" w:type="dxa"/>
              <w:bottom w:w="80" w:type="dxa"/>
              <w:right w:w="100" w:type="dxa"/>
            </w:tcMar>
          </w:tcPr>
          <w:p w:rsidR="00000000" w:rsidRDefault="00000000" w14:paraId="7D0000C6">
            <w:pPr>
              <w:rPr/>
            </w:pPr>
            <w:r>
              <w:rPr>
                <w:sz w:val="19"/>
                <w:szCs w:val="19"/>
              </w:rPr>
              <w:t xml:space="preserve">R2, e-Stewards, or equivalent</w:t>
            </w:r>
          </w:p>
        </w:tc>
        <w:tc>
          <w:tcPr>
            <w:tcW w:w="1280" w:type="dxa"/>
            <w:tcMar>
              <w:top w:w="80" w:type="dxa"/>
              <w:left w:w="100" w:type="dxa"/>
              <w:bottom w:w="80" w:type="dxa"/>
              <w:right w:w="100" w:type="dxa"/>
            </w:tcMar>
          </w:tcPr>
          <w:p w:rsidR="00000000" w:rsidRDefault="00000000" w14:paraId="7D0000C7">
            <w:pPr>
              <w:rPr/>
            </w:pPr>
            <w:r>
              <w:rPr>
                <w:sz w:val="19"/>
                <w:szCs w:val="19"/>
              </w:rPr>
              <w:t xml:space="preserve">enum</w:t>
            </w:r>
          </w:p>
        </w:tc>
        <w:tc>
          <w:tcPr>
            <w:tcW w:w="1280" w:type="dxa"/>
            <w:tcMar>
              <w:top w:w="80" w:type="dxa"/>
              <w:left w:w="100" w:type="dxa"/>
              <w:bottom w:w="80" w:type="dxa"/>
              <w:right w:w="100" w:type="dxa"/>
            </w:tcMar>
          </w:tcPr>
          <w:p w:rsidR="00000000" w:rsidRDefault="00000000" w14:paraId="7D0000C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C9">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A">
            <w:pPr>
              <w:rPr/>
            </w:pPr>
            <w:r>
              <w:rPr>
                <w:sz w:val="19"/>
                <w:szCs w:val="19"/>
              </w:rPr>
              <w:t xml:space="preserve">D-HAV</w:t>
            </w:r>
          </w:p>
        </w:tc>
        <w:tc>
          <w:tcPr>
            <w:tcW w:w="2240" w:type="dxa"/>
            <w:tcMar>
              <w:top w:w="80" w:type="dxa"/>
              <w:left w:w="100" w:type="dxa"/>
              <w:bottom w:w="80" w:type="dxa"/>
              <w:right w:w="100" w:type="dxa"/>
            </w:tcMar>
          </w:tcPr>
          <w:p w:rsidR="00000000" w:rsidRDefault="00000000" w14:paraId="7D0000CB">
            <w:pPr>
              <w:rPr/>
            </w:pPr>
            <w:r>
              <w:rPr>
                <w:sz w:val="19"/>
                <w:szCs w:val="19"/>
              </w:rPr>
              <w:t xml:space="preserve">Heat Avoided Emissions</w:t>
            </w:r>
          </w:p>
        </w:tc>
        <w:tc>
          <w:tcPr>
            <w:tcW w:w="2720" w:type="dxa"/>
            <w:tcMar>
              <w:top w:w="80" w:type="dxa"/>
              <w:left w:w="100" w:type="dxa"/>
              <w:bottom w:w="80" w:type="dxa"/>
              <w:right w:w="100" w:type="dxa"/>
            </w:tcMar>
          </w:tcPr>
          <w:p w:rsidR="00000000" w:rsidRDefault="00000000" w14:paraId="7D0000CC">
            <w:pPr>
              <w:rPr/>
            </w:pPr>
            <w:r>
              <w:rPr>
                <w:sz w:val="19"/>
                <w:szCs w:val="19"/>
              </w:rPr>
              <w:t xml:space="preserve">Emissions avoided by displacing the DFB heat source with HEX</w:t>
            </w:r>
          </w:p>
        </w:tc>
        <w:tc>
          <w:tcPr>
            <w:tcW w:w="1280" w:type="dxa"/>
            <w:tcMar>
              <w:top w:w="80" w:type="dxa"/>
              <w:left w:w="100" w:type="dxa"/>
              <w:bottom w:w="80" w:type="dxa"/>
              <w:right w:w="100" w:type="dxa"/>
            </w:tcMar>
          </w:tcPr>
          <w:p w:rsidR="00000000" w:rsidRDefault="00000000" w14:paraId="7D0000CD">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CE">
            <w:pPr>
              <w:rPr/>
            </w:pPr>
            <w:r>
              <w:rPr>
                <w:sz w:val="19"/>
                <w:szCs w:val="19"/>
              </w:rPr>
              <w:t xml:space="preserve">Monthly</w:t>
            </w:r>
          </w:p>
        </w:tc>
        <w:tc>
          <w:tcPr>
            <w:tcW w:w="1120" w:type="dxa"/>
            <w:tcMar>
              <w:top w:w="80" w:type="dxa"/>
              <w:left w:w="100" w:type="dxa"/>
              <w:bottom w:w="80" w:type="dxa"/>
              <w:right w:w="100" w:type="dxa"/>
            </w:tcMar>
          </w:tcPr>
          <w:p w:rsidR="00000000" w:rsidRDefault="00000000" w14:paraId="7D0000C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D0">
            <w:pPr>
              <w:rPr/>
            </w:pPr>
            <w:r>
              <w:rPr>
                <w:sz w:val="19"/>
                <w:szCs w:val="19"/>
              </w:rPr>
              <w:t xml:space="preserve">D-VWB</w:t>
            </w:r>
          </w:p>
        </w:tc>
        <w:tc>
          <w:tcPr>
            <w:tcW w:w="2240" w:type="dxa"/>
            <w:tcMar>
              <w:top w:w="80" w:type="dxa"/>
              <w:left w:w="100" w:type="dxa"/>
              <w:bottom w:w="80" w:type="dxa"/>
              <w:right w:w="100" w:type="dxa"/>
            </w:tcMar>
          </w:tcPr>
          <w:p w:rsidR="00000000" w:rsidRDefault="00000000" w14:paraId="7D0000D1">
            <w:pPr>
              <w:rPr/>
            </w:pPr>
            <w:r>
              <w:rPr>
                <w:sz w:val="19"/>
                <w:szCs w:val="19"/>
              </w:rPr>
              <w:t xml:space="preserve">Volumetric Water Benefit</w:t>
            </w:r>
          </w:p>
        </w:tc>
        <w:tc>
          <w:tcPr>
            <w:tcW w:w="2720" w:type="dxa"/>
            <w:tcMar>
              <w:top w:w="80" w:type="dxa"/>
              <w:left w:w="100" w:type="dxa"/>
              <w:bottom w:w="80" w:type="dxa"/>
              <w:right w:w="100" w:type="dxa"/>
            </w:tcMar>
          </w:tcPr>
          <w:p w:rsidR="00000000" w:rsidRDefault="00000000" w14:paraId="7D0000D2">
            <w:pPr>
              <w:rPr/>
            </w:pPr>
            <w:r>
              <w:rPr>
                <w:sz w:val="19"/>
                <w:szCs w:val="19"/>
              </w:rPr>
              <w:t xml:space="preserve">Water benefit computed with the VWBA method</w:t>
            </w:r>
          </w:p>
        </w:tc>
        <w:tc>
          <w:tcPr>
            <w:tcW w:w="1280" w:type="dxa"/>
            <w:tcMar>
              <w:top w:w="80" w:type="dxa"/>
              <w:left w:w="100" w:type="dxa"/>
              <w:bottom w:w="80" w:type="dxa"/>
              <w:right w:w="100" w:type="dxa"/>
            </w:tcMar>
          </w:tcPr>
          <w:p w:rsidR="00000000" w:rsidRDefault="00000000" w14:paraId="7D0000D3">
            <w:pPr>
              <w:rPr/>
            </w:pPr>
            <w:r>
              <w:rPr>
                <w:sz w:val="19"/>
                <w:szCs w:val="19"/>
              </w:rPr>
              <w:t xml:space="preserve">m3/yr</w:t>
            </w:r>
          </w:p>
        </w:tc>
        <w:tc>
          <w:tcPr>
            <w:tcW w:w="1280" w:type="dxa"/>
            <w:tcMar>
              <w:top w:w="80" w:type="dxa"/>
              <w:left w:w="100" w:type="dxa"/>
              <w:bottom w:w="80" w:type="dxa"/>
              <w:right w:w="100" w:type="dxa"/>
            </w:tcMar>
          </w:tcPr>
          <w:p w:rsidR="00000000" w:rsidRDefault="00000000" w14:paraId="7D0000D4">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D5">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D6">
            <w:pPr>
              <w:rPr/>
            </w:pPr>
            <w:r>
              <w:rPr>
                <w:sz w:val="19"/>
                <w:szCs w:val="19"/>
              </w:rPr>
              <w:t xml:space="preserve">D-MAV</w:t>
            </w:r>
          </w:p>
        </w:tc>
        <w:tc>
          <w:tcPr>
            <w:tcW w:w="2240" w:type="dxa"/>
            <w:tcMar>
              <w:top w:w="80" w:type="dxa"/>
              <w:left w:w="100" w:type="dxa"/>
              <w:bottom w:w="80" w:type="dxa"/>
              <w:right w:w="100" w:type="dxa"/>
            </w:tcMar>
          </w:tcPr>
          <w:p w:rsidR="00000000" w:rsidRDefault="00000000" w14:paraId="7D0000D7">
            <w:pPr>
              <w:rPr/>
            </w:pPr>
            <w:r>
              <w:rPr>
                <w:sz w:val="19"/>
                <w:szCs w:val="19"/>
              </w:rPr>
              <w:t xml:space="preserve">Material Avoided Emissions</w:t>
            </w:r>
          </w:p>
        </w:tc>
        <w:tc>
          <w:tcPr>
            <w:tcW w:w="2720" w:type="dxa"/>
            <w:tcMar>
              <w:top w:w="80" w:type="dxa"/>
              <w:left w:w="100" w:type="dxa"/>
              <w:bottom w:w="80" w:type="dxa"/>
              <w:right w:w="100" w:type="dxa"/>
            </w:tcMar>
          </w:tcPr>
          <w:p w:rsidR="00000000" w:rsidRDefault="00000000" w14:paraId="7D0000D8">
            <w:pPr>
              <w:rPr/>
            </w:pPr>
            <w:r>
              <w:rPr>
                <w:sz w:val="19"/>
                <w:szCs w:val="19"/>
              </w:rPr>
              <w:t xml:space="preserve">Emissions avoided versus virgin material production</w:t>
            </w:r>
          </w:p>
        </w:tc>
        <w:tc>
          <w:tcPr>
            <w:tcW w:w="1280" w:type="dxa"/>
            <w:tcMar>
              <w:top w:w="80" w:type="dxa"/>
              <w:left w:w="100" w:type="dxa"/>
              <w:bottom w:w="80" w:type="dxa"/>
              <w:right w:w="100" w:type="dxa"/>
            </w:tcMar>
          </w:tcPr>
          <w:p w:rsidR="00000000" w:rsidRDefault="00000000" w14:paraId="7D0000D9">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DA">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DB">
            <w:pPr>
              <w:rPr/>
            </w:pPr>
            <w:r>
              <w:rPr>
                <w:sz w:val="19"/>
                <w:szCs w:val="19"/>
              </w:rPr>
              <w:t xml:space="preserve">RCY</w:t>
            </w:r>
          </w:p>
        </w:tc>
      </w:tr>
    </w:tbl>
    <w:p w:rsidR="00000000" w:rsidRDefault="00000000" w14:paraId="7D0000DC">
      <w:pPr>
        <w:spacing w:after="120"/>
        <w:rPr/>
      </w:pPr>
    </w:p>
    <w:p w:rsidR="00000000" w:rsidRDefault="00000000" w14:paraId="7D0000DD">
      <w:pPr>
        <w:pStyle w:val="Heading2"/>
        <w:spacing w:after="120" w:before="280" w:lineRule="auto"/>
        <w:rPr/>
      </w:pPr>
      <w:r>
        <w:rPr>
          <w:b w:val="1"/>
          <w:bCs w:val="1"/>
          <w:color w:val="1e7a4c"/>
          <w:sz w:val="24"/>
          <w:szCs w:val="24"/>
        </w:rPr>
        <w:t xml:space="preserve">22.5 Registry and Market Connector Architecture</w:t>
      </w:r>
    </w:p>
    <w:p w:rsidR="00000000" w:rsidRDefault="00000000" w14:paraId="7D0000DE">
      <w:pPr>
        <w:spacing w:after="140" w:lineRule="auto"/>
        <w:rPr/>
      </w:pPr>
      <w:r>
        <w:rPr>
          <w:sz w:val="21"/>
          <w:szCs w:val="21"/>
        </w:rPr>
        <w:t xml:space="preserve">The Registry and Market Connector is a new component of Stardust Core beside the broker (§10.4). It uses the same driver/adapter model as the Provider SDK: one adapter per registry or market, behind one interface, so adding a registry never changes Provider or Subscriber code.</w:t>
      </w:r>
    </w:p>
    <w:p w:rsidR="00000000" w:rsidRDefault="00000000" w14:paraId="7D0000DF">
      <w:pPr>
        <w:numPr>
          <w:ilvl w:val="0"/>
          <w:numId w:val="1"/>
        </w:numPr>
        <w:spacing w:after="60" w:before="0" w:line="240" w:lineRule="auto"/>
        <w:ind w:left="720" w:right="0" w:hanging="360"/>
        <w:rPr/>
      </w:pPr>
      <w:r>
        <w:rPr>
          <w:b w:val="1"/>
          <w:bCs w:val="1"/>
          <w:sz w:val="21"/>
          <w:szCs w:val="21"/>
        </w:rPr>
        <w:t xml:space="preserve">Issuance path (Provider side).</w:t>
      </w:r>
      <w:r>
        <w:rPr>
          <w:sz w:val="21"/>
          <w:szCs w:val="21"/>
        </w:rPr>
        <w:t xml:space="preserve"> Provider telemetry (§22.4) and supporting evidence are packaged as an MRV submission to the relevant program or independent verifier, which issues credits into the Provider’s registry account. Stardust supplies the data; it does not verify or issue.</w:t>
      </w:r>
    </w:p>
    <w:p w:rsidR="00000000" w:rsidRDefault="00000000" w14:paraId="7D0000E0">
      <w:pPr>
        <w:numPr>
          <w:ilvl w:val="0"/>
          <w:numId w:val="1"/>
        </w:numPr>
        <w:spacing w:after="60" w:before="0" w:line="240" w:lineRule="auto"/>
        <w:ind w:left="720" w:right="0" w:hanging="360"/>
        <w:rPr/>
      </w:pPr>
      <w:r>
        <w:rPr>
          <w:b w:val="1"/>
          <w:bCs w:val="1"/>
          <w:sz w:val="21"/>
          <w:szCs w:val="21"/>
        </w:rPr>
        <w:t xml:space="preserve">Procurement and retirement path (Subscriber side).</w:t>
      </w:r>
      <w:r>
        <w:rPr>
          <w:sz w:val="21"/>
          <w:szCs w:val="21"/>
        </w:rPr>
        <w:t xml:space="preserve"> The Subscriber’s measured impact vector goes to the broker, which quotes across categories, purchases from Provider inventory or a market, and retires the credits on the registry in the Subscriber’s name. The retirement reference is written back to the Net Impact Ledger (§22.6).</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200"/>
        <w:gridCol w:w="5400"/>
      </w:tblGrid>
      <w:tr>
        <w:trPr>
          <w:tblHeader/>
        </w:trPr>
        <w:tc>
          <w:tcPr>
            <w:tcW w:w="4200" w:type="dxa"/>
            <w:shd w:val="clear" w:color="auto" w:fill="1e7a4c"/>
            <w:tcMar>
              <w:top w:w="80" w:type="dxa"/>
              <w:left w:w="100" w:type="dxa"/>
              <w:bottom w:w="80" w:type="dxa"/>
              <w:right w:w="100" w:type="dxa"/>
            </w:tcMar>
          </w:tcPr>
          <w:p w:rsidR="00000000" w:rsidRDefault="00000000" w14:paraId="7D0000E1">
            <w:pPr>
              <w:rPr/>
            </w:pPr>
            <w:r>
              <w:rPr>
                <w:b w:val="1"/>
                <w:bCs w:val="1"/>
                <w:color w:val="ffffff"/>
                <w:sz w:val="19"/>
                <w:szCs w:val="19"/>
              </w:rPr>
              <w:t xml:space="preserve">Connector method</w:t>
            </w:r>
          </w:p>
        </w:tc>
        <w:tc>
          <w:tcPr>
            <w:tcW w:w="5400" w:type="dxa"/>
            <w:shd w:val="clear" w:color="auto" w:fill="1e7a4c"/>
            <w:tcMar>
              <w:top w:w="80" w:type="dxa"/>
              <w:left w:w="100" w:type="dxa"/>
              <w:bottom w:w="80" w:type="dxa"/>
              <w:right w:w="100" w:type="dxa"/>
            </w:tcMar>
          </w:tcPr>
          <w:p w:rsidR="00000000" w:rsidRDefault="00000000" w14:paraId="7D0000E2">
            <w:pPr>
              <w:rPr/>
            </w:pPr>
            <w:r>
              <w:rPr>
                <w:b w:val="1"/>
                <w:bCs w:val="1"/>
                <w:color w:val="ffffff"/>
                <w:sz w:val="19"/>
                <w:szCs w:val="19"/>
              </w:rPr>
              <w:t xml:space="preserve">Purpose</w:t>
            </w:r>
          </w:p>
        </w:tc>
      </w:tr>
      <w:tr>
        <w:trPr>
          <w:cantSplit/>
        </w:trPr>
        <w:tc>
          <w:tcPr>
            <w:tcW w:w="4200" w:type="dxa"/>
            <w:tcMar>
              <w:top w:w="80" w:type="dxa"/>
              <w:left w:w="100" w:type="dxa"/>
              <w:bottom w:w="80" w:type="dxa"/>
              <w:right w:w="100" w:type="dxa"/>
            </w:tcMar>
          </w:tcPr>
          <w:p w:rsidR="00000000" w:rsidRDefault="00000000" w14:paraId="7D0000E3">
            <w:pPr>
              <w:rPr/>
            </w:pPr>
            <w:r>
              <w:rPr>
                <w:sz w:val="19"/>
                <w:szCs w:val="19"/>
              </w:rPr>
              <w:t xml:space="preserve">connect(registry_id, credentials)</w:t>
            </w:r>
          </w:p>
        </w:tc>
        <w:tc>
          <w:tcPr>
            <w:tcW w:w="5400" w:type="dxa"/>
            <w:tcMar>
              <w:top w:w="80" w:type="dxa"/>
              <w:left w:w="100" w:type="dxa"/>
              <w:bottom w:w="80" w:type="dxa"/>
              <w:right w:w="100" w:type="dxa"/>
            </w:tcMar>
          </w:tcPr>
          <w:p w:rsidR="00000000" w:rsidRDefault="00000000" w14:paraId="7D0000E4">
            <w:pPr>
              <w:rPr/>
            </w:pPr>
            <w:r>
              <w:rPr>
                <w:sz w:val="19"/>
                <w:szCs w:val="19"/>
              </w:rPr>
              <w:t xml:space="preserve">Registers an account-holder connection to a registry or market</w:t>
            </w:r>
          </w:p>
        </w:tc>
      </w:tr>
      <w:tr>
        <w:trPr>
          <w:cantSplit/>
        </w:trPr>
        <w:tc>
          <w:tcPr>
            <w:tcW w:w="4200" w:type="dxa"/>
            <w:tcMar>
              <w:top w:w="80" w:type="dxa"/>
              <w:left w:w="100" w:type="dxa"/>
              <w:bottom w:w="80" w:type="dxa"/>
              <w:right w:w="100" w:type="dxa"/>
            </w:tcMar>
          </w:tcPr>
          <w:p w:rsidR="00000000" w:rsidRDefault="00000000" w14:paraId="7D0000E5">
            <w:pPr>
              <w:rPr/>
            </w:pPr>
            <w:r>
              <w:rPr>
                <w:sz w:val="19"/>
                <w:szCs w:val="19"/>
              </w:rPr>
              <w:t xml:space="preserve">submit_mrv(provider_id, period, package)</w:t>
            </w:r>
          </w:p>
        </w:tc>
        <w:tc>
          <w:tcPr>
            <w:tcW w:w="5400" w:type="dxa"/>
            <w:tcMar>
              <w:top w:w="80" w:type="dxa"/>
              <w:left w:w="100" w:type="dxa"/>
              <w:bottom w:w="80" w:type="dxa"/>
              <w:right w:w="100" w:type="dxa"/>
            </w:tcMar>
          </w:tcPr>
          <w:p w:rsidR="00000000" w:rsidRDefault="00000000" w14:paraId="7D0000E6">
            <w:pPr>
              <w:rPr/>
            </w:pPr>
            <w:r>
              <w:rPr>
                <w:sz w:val="19"/>
                <w:szCs w:val="19"/>
              </w:rPr>
              <w:t xml:space="preserve">Sends Provider telemetry and evidence to the program or verifier for issuance review</w:t>
            </w:r>
          </w:p>
        </w:tc>
      </w:tr>
      <w:tr>
        <w:trPr>
          <w:cantSplit/>
        </w:trPr>
        <w:tc>
          <w:tcPr>
            <w:tcW w:w="4200" w:type="dxa"/>
            <w:tcMar>
              <w:top w:w="80" w:type="dxa"/>
              <w:left w:w="100" w:type="dxa"/>
              <w:bottom w:w="80" w:type="dxa"/>
              <w:right w:w="100" w:type="dxa"/>
            </w:tcMar>
          </w:tcPr>
          <w:p w:rsidR="00000000" w:rsidRDefault="00000000" w14:paraId="7D0000E7">
            <w:pPr>
              <w:rPr/>
            </w:pPr>
            <w:r>
              <w:rPr>
                <w:sz w:val="19"/>
                <w:szCs w:val="19"/>
              </w:rPr>
              <w:t xml:space="preserve">get_issuance(provider_id, period)</w:t>
            </w:r>
          </w:p>
        </w:tc>
        <w:tc>
          <w:tcPr>
            <w:tcW w:w="5400" w:type="dxa"/>
            <w:tcMar>
              <w:top w:w="80" w:type="dxa"/>
              <w:left w:w="100" w:type="dxa"/>
              <w:bottom w:w="80" w:type="dxa"/>
              <w:right w:w="100" w:type="dxa"/>
            </w:tcMar>
          </w:tcPr>
          <w:p w:rsidR="00000000" w:rsidRDefault="00000000" w14:paraId="7D0000E8">
            <w:pPr>
              <w:rPr/>
            </w:pPr>
            <w:r>
              <w:rPr>
                <w:sz w:val="19"/>
                <w:szCs w:val="19"/>
              </w:rPr>
              <w:t xml:space="preserve">Returns issued credits or certificates for a Provider and period</w:t>
            </w:r>
          </w:p>
        </w:tc>
      </w:tr>
      <w:tr>
        <w:trPr>
          <w:cantSplit/>
        </w:trPr>
        <w:tc>
          <w:tcPr>
            <w:tcW w:w="4200" w:type="dxa"/>
            <w:tcMar>
              <w:top w:w="80" w:type="dxa"/>
              <w:left w:w="100" w:type="dxa"/>
              <w:bottom w:w="80" w:type="dxa"/>
              <w:right w:w="100" w:type="dxa"/>
            </w:tcMar>
          </w:tcPr>
          <w:p w:rsidR="00000000" w:rsidRDefault="00000000" w14:paraId="7D0000E9">
            <w:pPr>
              <w:rPr/>
            </w:pPr>
            <w:r>
              <w:rPr>
                <w:sz w:val="19"/>
                <w:szCs w:val="19"/>
              </w:rPr>
              <w:t xml:space="preserve">list_inventory(category, filters)</w:t>
            </w:r>
          </w:p>
        </w:tc>
        <w:tc>
          <w:tcPr>
            <w:tcW w:w="5400" w:type="dxa"/>
            <w:tcMar>
              <w:top w:w="80" w:type="dxa"/>
              <w:left w:w="100" w:type="dxa"/>
              <w:bottom w:w="80" w:type="dxa"/>
              <w:right w:w="100" w:type="dxa"/>
            </w:tcMar>
          </w:tcPr>
          <w:p w:rsidR="00000000" w:rsidRDefault="00000000" w14:paraId="7D0000EA">
            <w:pPr>
              <w:rPr/>
            </w:pPr>
            <w:r>
              <w:rPr>
                <w:sz w:val="19"/>
                <w:szCs w:val="19"/>
              </w:rPr>
              <w:t xml:space="preserve">Lists available credits by category, vintage, geography, and matching basis</w:t>
            </w:r>
          </w:p>
        </w:tc>
      </w:tr>
      <w:tr>
        <w:trPr>
          <w:cantSplit/>
        </w:trPr>
        <w:tc>
          <w:tcPr>
            <w:tcW w:w="4200" w:type="dxa"/>
            <w:tcMar>
              <w:top w:w="80" w:type="dxa"/>
              <w:left w:w="100" w:type="dxa"/>
              <w:bottom w:w="80" w:type="dxa"/>
              <w:right w:w="100" w:type="dxa"/>
            </w:tcMar>
          </w:tcPr>
          <w:p w:rsidR="00000000" w:rsidRDefault="00000000" w14:paraId="7D0000EB">
            <w:pPr>
              <w:rPr/>
            </w:pPr>
            <w:r>
              <w:rPr>
                <w:sz w:val="19"/>
                <w:szCs w:val="19"/>
              </w:rPr>
              <w:t xml:space="preserve">transfer(serials, to_account)</w:t>
            </w:r>
          </w:p>
        </w:tc>
        <w:tc>
          <w:tcPr>
            <w:tcW w:w="5400" w:type="dxa"/>
            <w:tcMar>
              <w:top w:w="80" w:type="dxa"/>
              <w:left w:w="100" w:type="dxa"/>
              <w:bottom w:w="80" w:type="dxa"/>
              <w:right w:w="100" w:type="dxa"/>
            </w:tcMar>
          </w:tcPr>
          <w:p w:rsidR="00000000" w:rsidRDefault="00000000" w14:paraId="7D0000EC">
            <w:pPr>
              <w:rPr/>
            </w:pPr>
            <w:r>
              <w:rPr>
                <w:sz w:val="19"/>
                <w:szCs w:val="19"/>
              </w:rPr>
              <w:t xml:space="preserve">Moves credits between accounts at purchase</w:t>
            </w:r>
          </w:p>
        </w:tc>
      </w:tr>
      <w:tr>
        <w:trPr>
          <w:cantSplit/>
        </w:trPr>
        <w:tc>
          <w:tcPr>
            <w:tcW w:w="4200" w:type="dxa"/>
            <w:tcMar>
              <w:top w:w="80" w:type="dxa"/>
              <w:left w:w="100" w:type="dxa"/>
              <w:bottom w:w="80" w:type="dxa"/>
              <w:right w:w="100" w:type="dxa"/>
            </w:tcMar>
          </w:tcPr>
          <w:p w:rsidR="00000000" w:rsidRDefault="00000000" w14:paraId="7D0000ED">
            <w:pPr>
              <w:rPr/>
            </w:pPr>
            <w:r>
              <w:rPr>
                <w:sz w:val="19"/>
                <w:szCs w:val="19"/>
              </w:rPr>
              <w:t xml:space="preserve">retire(serials, beneficiary, claim_period, purpose)</w:t>
            </w:r>
          </w:p>
        </w:tc>
        <w:tc>
          <w:tcPr>
            <w:tcW w:w="5400" w:type="dxa"/>
            <w:tcMar>
              <w:top w:w="80" w:type="dxa"/>
              <w:left w:w="100" w:type="dxa"/>
              <w:bottom w:w="80" w:type="dxa"/>
              <w:right w:w="100" w:type="dxa"/>
            </w:tcMar>
          </w:tcPr>
          <w:p w:rsidR="00000000" w:rsidRDefault="00000000" w14:paraId="7D0000EE">
            <w:pPr>
              <w:rPr/>
            </w:pPr>
            <w:r>
              <w:rPr>
                <w:sz w:val="19"/>
                <w:szCs w:val="19"/>
              </w:rPr>
              <w:t xml:space="preserve">Retires credits on the registry in the Subscriber’s name for a stated claim</w:t>
            </w:r>
          </w:p>
        </w:tc>
      </w:tr>
      <w:tr>
        <w:trPr>
          <w:cantSplit/>
        </w:trPr>
        <w:tc>
          <w:tcPr>
            <w:tcW w:w="4200" w:type="dxa"/>
            <w:tcMar>
              <w:top w:w="80" w:type="dxa"/>
              <w:left w:w="100" w:type="dxa"/>
              <w:bottom w:w="80" w:type="dxa"/>
              <w:right w:w="100" w:type="dxa"/>
            </w:tcMar>
          </w:tcPr>
          <w:p w:rsidR="00000000" w:rsidRDefault="00000000" w14:paraId="7D0000EF">
            <w:pPr>
              <w:rPr/>
            </w:pPr>
            <w:r>
              <w:rPr>
                <w:sz w:val="19"/>
                <w:szCs w:val="19"/>
              </w:rPr>
              <w:t xml:space="preserve">verify_serial(serial)</w:t>
            </w:r>
          </w:p>
        </w:tc>
        <w:tc>
          <w:tcPr>
            <w:tcW w:w="5400" w:type="dxa"/>
            <w:tcMar>
              <w:top w:w="80" w:type="dxa"/>
              <w:left w:w="100" w:type="dxa"/>
              <w:bottom w:w="80" w:type="dxa"/>
              <w:right w:w="100" w:type="dxa"/>
            </w:tcMar>
          </w:tcPr>
          <w:p w:rsidR="00000000" w:rsidRDefault="00000000" w14:paraId="7D0000F0">
            <w:pPr>
              <w:rPr/>
            </w:pPr>
            <w:r>
              <w:rPr>
                <w:sz w:val="19"/>
                <w:szCs w:val="19"/>
              </w:rPr>
              <w:t xml:space="preserve">Confirms a serial’s status against the public registry record</w:t>
            </w:r>
          </w:p>
        </w:tc>
      </w:tr>
    </w:tbl>
    <w:p w:rsidR="00000000" w:rsidRDefault="00000000" w14:paraId="7D0000F1">
      <w:pPr>
        <w:spacing w:after="120"/>
        <w:rPr/>
      </w:pPr>
    </w:p>
    <w:p w:rsidR="00000000" w:rsidRDefault="00000000" w14:paraId="7D0000F2">
      <w:pPr>
        <w:spacing w:after="140" w:lineRule="auto"/>
        <w:rPr/>
      </w:pPr>
      <w:r>
        <w:rPr>
          <w:sz w:val="21"/>
          <w:szCs w:val="21"/>
        </w:rPr>
        <w:t xml:space="preserve">Initial connector targets: carbon registries (Verra, Gold Standard, ACR, CAR, Puro.earth); energy attribute tracking systems (US regional registries such as M-RETS, PJM-GATS and WREGIS, EU Guarantee of Origin registries, and the I-REC Standard), including granular-certificate registries as they come online; the BEF Water Restoration Certificate program; national white-certificate registries for heat; and the Verra Plastic program for materials. Many registries do not offer open write APIs, so early connectors will retire credits through an account holder (AIforE or a licensed partner) and move to API automation where registries support it.</w:t>
      </w:r>
    </w:p>
    <w:p w:rsidR="00000000" w:rsidRDefault="00000000" w14:paraId="7D0000F3">
      <w:pPr>
        <w:spacing w:after="140" w:lineRule="auto"/>
        <w:rPr/>
      </w:pPr>
      <w:r>
        <w:rPr>
          <w:sz w:val="21"/>
          <w:szCs w:val="21"/>
        </w:rPr>
        <w:t xml:space="preserve">Subscriber API extension: request_quote() accepts an impact vector {co2e_g, kwh, water_l, heat_kwh_th, materials_kg} with preferences for matching basis (annual or hourly), geography and tier, and returns a basket with one quote per dimension. The data model in §10.5 is extended with:</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1400"/>
        <w:gridCol w:w="5600"/>
      </w:tblGrid>
      <w:tr>
        <w:trPr>
          <w:tblHeader/>
        </w:trPr>
        <w:tc>
          <w:tcPr>
            <w:tcW w:w="2600" w:type="dxa"/>
            <w:shd w:val="clear" w:color="auto" w:fill="1e7a4c"/>
            <w:tcMar>
              <w:top w:w="80" w:type="dxa"/>
              <w:left w:w="100" w:type="dxa"/>
              <w:bottom w:w="80" w:type="dxa"/>
              <w:right w:w="100" w:type="dxa"/>
            </w:tcMar>
          </w:tcPr>
          <w:p w:rsidR="00000000" w:rsidRDefault="00000000" w14:paraId="7D0000F4">
            <w:pPr>
              <w:rPr/>
            </w:pPr>
            <w:r>
              <w:rPr>
                <w:b w:val="1"/>
                <w:bCs w:val="1"/>
                <w:color w:val="ffffff"/>
                <w:sz w:val="19"/>
                <w:szCs w:val="19"/>
              </w:rPr>
              <w:t xml:space="preserve">Field</w:t>
            </w:r>
          </w:p>
        </w:tc>
        <w:tc>
          <w:tcPr>
            <w:tcW w:w="1400" w:type="dxa"/>
            <w:shd w:val="clear" w:color="auto" w:fill="1e7a4c"/>
            <w:tcMar>
              <w:top w:w="80" w:type="dxa"/>
              <w:left w:w="100" w:type="dxa"/>
              <w:bottom w:w="80" w:type="dxa"/>
              <w:right w:w="100" w:type="dxa"/>
            </w:tcMar>
          </w:tcPr>
          <w:p w:rsidR="00000000" w:rsidRDefault="00000000" w14:paraId="7D0000F5">
            <w:pPr>
              <w:rPr/>
            </w:pPr>
            <w:r>
              <w:rPr>
                <w:b w:val="1"/>
                <w:bCs w:val="1"/>
                <w:color w:val="ffffff"/>
                <w:sz w:val="19"/>
                <w:szCs w:val="19"/>
              </w:rPr>
              <w:t xml:space="preserve">Type</w:t>
            </w:r>
          </w:p>
        </w:tc>
        <w:tc>
          <w:tcPr>
            <w:tcW w:w="5600" w:type="dxa"/>
            <w:shd w:val="clear" w:color="auto" w:fill="1e7a4c"/>
            <w:tcMar>
              <w:top w:w="80" w:type="dxa"/>
              <w:left w:w="100" w:type="dxa"/>
              <w:bottom w:w="80" w:type="dxa"/>
              <w:right w:w="100" w:type="dxa"/>
            </w:tcMar>
          </w:tcPr>
          <w:p w:rsidR="00000000" w:rsidRDefault="00000000" w14:paraId="7D0000F6">
            <w:pPr>
              <w:rPr/>
            </w:pPr>
            <w:r>
              <w:rPr>
                <w:b w:val="1"/>
                <w:bCs w:val="1"/>
                <w:color w:val="ffffff"/>
                <w:sz w:val="19"/>
                <w:szCs w:val="19"/>
              </w:rPr>
              <w:t xml:space="preserve">Notes</w:t>
            </w:r>
          </w:p>
        </w:tc>
      </w:tr>
      <w:tr>
        <w:trPr>
          <w:cantSplit/>
        </w:trPr>
        <w:tc>
          <w:tcPr>
            <w:tcW w:w="2600" w:type="dxa"/>
            <w:tcMar>
              <w:top w:w="80" w:type="dxa"/>
              <w:left w:w="100" w:type="dxa"/>
              <w:bottom w:w="80" w:type="dxa"/>
              <w:right w:w="100" w:type="dxa"/>
            </w:tcMar>
          </w:tcPr>
          <w:p w:rsidR="00000000" w:rsidRDefault="00000000" w14:paraId="7D0000F7">
            <w:pPr>
              <w:rPr/>
            </w:pPr>
            <w:r>
              <w:rPr>
                <w:sz w:val="19"/>
                <w:szCs w:val="19"/>
              </w:rPr>
              <w:t xml:space="preserve">credit_category</w:t>
            </w:r>
          </w:p>
        </w:tc>
        <w:tc>
          <w:tcPr>
            <w:tcW w:w="1400" w:type="dxa"/>
            <w:tcMar>
              <w:top w:w="80" w:type="dxa"/>
              <w:left w:w="100" w:type="dxa"/>
              <w:bottom w:w="80" w:type="dxa"/>
              <w:right w:w="100" w:type="dxa"/>
            </w:tcMar>
          </w:tcPr>
          <w:p w:rsidR="00000000" w:rsidRDefault="00000000" w14:paraId="7D0000F8">
            <w:pPr>
              <w:rPr/>
            </w:pPr>
            <w:r>
              <w:rPr>
                <w:sz w:val="19"/>
                <w:szCs w:val="19"/>
              </w:rPr>
              <w:t xml:space="preserve">enum</w:t>
            </w:r>
          </w:p>
        </w:tc>
        <w:tc>
          <w:tcPr>
            <w:tcW w:w="5600" w:type="dxa"/>
            <w:tcMar>
              <w:top w:w="80" w:type="dxa"/>
              <w:left w:w="100" w:type="dxa"/>
              <w:bottom w:w="80" w:type="dxa"/>
              <w:right w:w="100" w:type="dxa"/>
            </w:tcMar>
          </w:tcPr>
          <w:p w:rsidR="00000000" w:rsidRDefault="00000000" w14:paraId="7D0000F9">
            <w:pPr>
              <w:rPr/>
            </w:pPr>
            <w:r>
              <w:rPr>
                <w:sz w:val="19"/>
                <w:szCs w:val="19"/>
              </w:rPr>
              <w:t xml:space="preserve">carbon | energy | water | heat | materials</w:t>
            </w:r>
          </w:p>
        </w:tc>
      </w:tr>
      <w:tr>
        <w:trPr>
          <w:cantSplit/>
        </w:trPr>
        <w:tc>
          <w:tcPr>
            <w:tcW w:w="2600" w:type="dxa"/>
            <w:tcMar>
              <w:top w:w="80" w:type="dxa"/>
              <w:left w:w="100" w:type="dxa"/>
              <w:bottom w:w="80" w:type="dxa"/>
              <w:right w:w="100" w:type="dxa"/>
            </w:tcMar>
          </w:tcPr>
          <w:p w:rsidR="00000000" w:rsidRDefault="00000000" w14:paraId="7D0000FA">
            <w:pPr>
              <w:rPr/>
            </w:pPr>
            <w:r>
              <w:rPr>
                <w:sz w:val="19"/>
                <w:szCs w:val="19"/>
              </w:rPr>
              <w:t xml:space="preserve">credit_unit</w:t>
            </w:r>
          </w:p>
        </w:tc>
        <w:tc>
          <w:tcPr>
            <w:tcW w:w="1400" w:type="dxa"/>
            <w:tcMar>
              <w:top w:w="80" w:type="dxa"/>
              <w:left w:w="100" w:type="dxa"/>
              <w:bottom w:w="80" w:type="dxa"/>
              <w:right w:w="100" w:type="dxa"/>
            </w:tcMar>
          </w:tcPr>
          <w:p w:rsidR="00000000" w:rsidRDefault="00000000" w14:paraId="7D0000FB">
            <w:pPr>
              <w:rPr/>
            </w:pPr>
            <w:r>
              <w:rPr>
                <w:sz w:val="19"/>
                <w:szCs w:val="19"/>
              </w:rPr>
              <w:t xml:space="preserve">enum</w:t>
            </w:r>
          </w:p>
        </w:tc>
        <w:tc>
          <w:tcPr>
            <w:tcW w:w="5600" w:type="dxa"/>
            <w:tcMar>
              <w:top w:w="80" w:type="dxa"/>
              <w:left w:w="100" w:type="dxa"/>
              <w:bottom w:w="80" w:type="dxa"/>
              <w:right w:w="100" w:type="dxa"/>
            </w:tcMar>
          </w:tcPr>
          <w:p w:rsidR="00000000" w:rsidRDefault="00000000" w14:paraId="7D0000FC">
            <w:pPr>
              <w:rPr/>
            </w:pPr>
            <w:r>
              <w:rPr>
                <w:sz w:val="19"/>
                <w:szCs w:val="19"/>
              </w:rPr>
              <w:t xml:space="preserve">tCO2e | MWh | 1,000 gal | m3 | MWh-th | kg</w:t>
            </w:r>
          </w:p>
        </w:tc>
      </w:tr>
      <w:tr>
        <w:trPr>
          <w:cantSplit/>
        </w:trPr>
        <w:tc>
          <w:tcPr>
            <w:tcW w:w="2600" w:type="dxa"/>
            <w:tcMar>
              <w:top w:w="80" w:type="dxa"/>
              <w:left w:w="100" w:type="dxa"/>
              <w:bottom w:w="80" w:type="dxa"/>
              <w:right w:w="100" w:type="dxa"/>
            </w:tcMar>
          </w:tcPr>
          <w:p w:rsidR="00000000" w:rsidRDefault="00000000" w14:paraId="7D0000FD">
            <w:pPr>
              <w:rPr/>
            </w:pPr>
            <w:r>
              <w:rPr>
                <w:sz w:val="19"/>
                <w:szCs w:val="19"/>
              </w:rPr>
              <w:t xml:space="preserve">registry_id</w:t>
            </w:r>
          </w:p>
        </w:tc>
        <w:tc>
          <w:tcPr>
            <w:tcW w:w="1400" w:type="dxa"/>
            <w:tcMar>
              <w:top w:w="80" w:type="dxa"/>
              <w:left w:w="100" w:type="dxa"/>
              <w:bottom w:w="80" w:type="dxa"/>
              <w:right w:w="100" w:type="dxa"/>
            </w:tcMar>
          </w:tcPr>
          <w:p w:rsidR="00000000" w:rsidRDefault="00000000" w14:paraId="7D0000FE">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0FF">
            <w:pPr>
              <w:rPr/>
            </w:pPr>
            <w:r>
              <w:rPr>
                <w:sz w:val="19"/>
                <w:szCs w:val="19"/>
              </w:rPr>
              <w:t xml:space="preserve">Registry or program where the credit is tracked</w:t>
            </w:r>
          </w:p>
        </w:tc>
      </w:tr>
      <w:tr>
        <w:trPr>
          <w:cantSplit/>
        </w:trPr>
        <w:tc>
          <w:tcPr>
            <w:tcW w:w="2600" w:type="dxa"/>
            <w:tcMar>
              <w:top w:w="80" w:type="dxa"/>
              <w:left w:w="100" w:type="dxa"/>
              <w:bottom w:w="80" w:type="dxa"/>
              <w:right w:w="100" w:type="dxa"/>
            </w:tcMar>
          </w:tcPr>
          <w:p w:rsidR="00000000" w:rsidRDefault="00000000" w14:paraId="7D000100">
            <w:pPr>
              <w:rPr/>
            </w:pPr>
            <w:r>
              <w:rPr>
                <w:sz w:val="19"/>
                <w:szCs w:val="19"/>
              </w:rPr>
              <w:t xml:space="preserve">serial_range</w:t>
            </w:r>
          </w:p>
        </w:tc>
        <w:tc>
          <w:tcPr>
            <w:tcW w:w="1400" w:type="dxa"/>
            <w:tcMar>
              <w:top w:w="80" w:type="dxa"/>
              <w:left w:w="100" w:type="dxa"/>
              <w:bottom w:w="80" w:type="dxa"/>
              <w:right w:w="100" w:type="dxa"/>
            </w:tcMar>
          </w:tcPr>
          <w:p w:rsidR="00000000" w:rsidRDefault="00000000" w14:paraId="7D000101">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102">
            <w:pPr>
              <w:rPr/>
            </w:pPr>
            <w:r>
              <w:rPr>
                <w:sz w:val="19"/>
                <w:szCs w:val="19"/>
              </w:rPr>
              <w:t xml:space="preserve">Issued serial numbers covered by the order</w:t>
            </w:r>
          </w:p>
        </w:tc>
      </w:tr>
      <w:tr>
        <w:trPr>
          <w:cantSplit/>
        </w:trPr>
        <w:tc>
          <w:tcPr>
            <w:tcW w:w="2600" w:type="dxa"/>
            <w:tcMar>
              <w:top w:w="80" w:type="dxa"/>
              <w:left w:w="100" w:type="dxa"/>
              <w:bottom w:w="80" w:type="dxa"/>
              <w:right w:w="100" w:type="dxa"/>
            </w:tcMar>
          </w:tcPr>
          <w:p w:rsidR="00000000" w:rsidRDefault="00000000" w14:paraId="7D000103">
            <w:pPr>
              <w:rPr/>
            </w:pPr>
            <w:r>
              <w:rPr>
                <w:sz w:val="19"/>
                <w:szCs w:val="19"/>
              </w:rPr>
              <w:t xml:space="preserve">vintage_period</w:t>
            </w:r>
          </w:p>
        </w:tc>
        <w:tc>
          <w:tcPr>
            <w:tcW w:w="1400" w:type="dxa"/>
            <w:tcMar>
              <w:top w:w="80" w:type="dxa"/>
              <w:left w:w="100" w:type="dxa"/>
              <w:bottom w:w="80" w:type="dxa"/>
              <w:right w:w="100" w:type="dxa"/>
            </w:tcMar>
          </w:tcPr>
          <w:p w:rsidR="00000000" w:rsidRDefault="00000000" w14:paraId="7D000104">
            <w:pPr>
              <w:rPr/>
            </w:pPr>
            <w:r>
              <w:rPr>
                <w:sz w:val="19"/>
                <w:szCs w:val="19"/>
              </w:rPr>
              <w:t xml:space="preserve">date range</w:t>
            </w:r>
          </w:p>
        </w:tc>
        <w:tc>
          <w:tcPr>
            <w:tcW w:w="5600" w:type="dxa"/>
            <w:tcMar>
              <w:top w:w="80" w:type="dxa"/>
              <w:left w:w="100" w:type="dxa"/>
              <w:bottom w:w="80" w:type="dxa"/>
              <w:right w:w="100" w:type="dxa"/>
            </w:tcMar>
          </w:tcPr>
          <w:p w:rsidR="00000000" w:rsidRDefault="00000000" w14:paraId="7D000105">
            <w:pPr>
              <w:rPr/>
            </w:pPr>
            <w:r>
              <w:rPr>
                <w:sz w:val="19"/>
                <w:szCs w:val="19"/>
              </w:rPr>
              <w:t xml:space="preserve">Generation, restoration, or recovery period the credit represents</w:t>
            </w:r>
          </w:p>
        </w:tc>
      </w:tr>
      <w:tr>
        <w:trPr>
          <w:cantSplit/>
        </w:trPr>
        <w:tc>
          <w:tcPr>
            <w:tcW w:w="2600" w:type="dxa"/>
            <w:tcMar>
              <w:top w:w="80" w:type="dxa"/>
              <w:left w:w="100" w:type="dxa"/>
              <w:bottom w:w="80" w:type="dxa"/>
              <w:right w:w="100" w:type="dxa"/>
            </w:tcMar>
          </w:tcPr>
          <w:p w:rsidR="00000000" w:rsidRDefault="00000000" w14:paraId="7D000106">
            <w:pPr>
              <w:rPr/>
            </w:pPr>
            <w:r>
              <w:rPr>
                <w:sz w:val="19"/>
                <w:szCs w:val="19"/>
              </w:rPr>
              <w:t xml:space="preserve">matching_basis</w:t>
            </w:r>
          </w:p>
        </w:tc>
        <w:tc>
          <w:tcPr>
            <w:tcW w:w="1400" w:type="dxa"/>
            <w:tcMar>
              <w:top w:w="80" w:type="dxa"/>
              <w:left w:w="100" w:type="dxa"/>
              <w:bottom w:w="80" w:type="dxa"/>
              <w:right w:w="100" w:type="dxa"/>
            </w:tcMar>
          </w:tcPr>
          <w:p w:rsidR="00000000" w:rsidRDefault="00000000" w14:paraId="7D000107">
            <w:pPr>
              <w:rPr/>
            </w:pPr>
            <w:r>
              <w:rPr>
                <w:sz w:val="19"/>
                <w:szCs w:val="19"/>
              </w:rPr>
              <w:t xml:space="preserve">enum</w:t>
            </w:r>
          </w:p>
        </w:tc>
        <w:tc>
          <w:tcPr>
            <w:tcW w:w="5600" w:type="dxa"/>
            <w:tcMar>
              <w:top w:w="80" w:type="dxa"/>
              <w:left w:w="100" w:type="dxa"/>
              <w:bottom w:w="80" w:type="dxa"/>
              <w:right w:w="100" w:type="dxa"/>
            </w:tcMar>
          </w:tcPr>
          <w:p w:rsidR="00000000" w:rsidRDefault="00000000" w14:paraId="7D000108">
            <w:pPr>
              <w:rPr/>
            </w:pPr>
            <w:r>
              <w:rPr>
                <w:sz w:val="19"/>
                <w:szCs w:val="19"/>
              </w:rPr>
              <w:t xml:space="preserve">annual | hourly | watershed | local recipient</w:t>
            </w:r>
          </w:p>
        </w:tc>
      </w:tr>
      <w:tr>
        <w:trPr>
          <w:cantSplit/>
        </w:trPr>
        <w:tc>
          <w:tcPr>
            <w:tcW w:w="2600" w:type="dxa"/>
            <w:tcMar>
              <w:top w:w="80" w:type="dxa"/>
              <w:left w:w="100" w:type="dxa"/>
              <w:bottom w:w="80" w:type="dxa"/>
              <w:right w:w="100" w:type="dxa"/>
            </w:tcMar>
          </w:tcPr>
          <w:p w:rsidR="00000000" w:rsidRDefault="00000000" w14:paraId="7D000109">
            <w:pPr>
              <w:rPr/>
            </w:pPr>
            <w:r>
              <w:rPr>
                <w:sz w:val="19"/>
                <w:szCs w:val="19"/>
              </w:rPr>
              <w:t xml:space="preserve">claim_type</w:t>
            </w:r>
          </w:p>
        </w:tc>
        <w:tc>
          <w:tcPr>
            <w:tcW w:w="1400" w:type="dxa"/>
            <w:tcMar>
              <w:top w:w="80" w:type="dxa"/>
              <w:left w:w="100" w:type="dxa"/>
              <w:bottom w:w="80" w:type="dxa"/>
              <w:right w:w="100" w:type="dxa"/>
            </w:tcMar>
          </w:tcPr>
          <w:p w:rsidR="00000000" w:rsidRDefault="00000000" w14:paraId="7D00010A">
            <w:pPr>
              <w:rPr/>
            </w:pPr>
            <w:r>
              <w:rPr>
                <w:sz w:val="19"/>
                <w:szCs w:val="19"/>
              </w:rPr>
              <w:t xml:space="preserve">enum</w:t>
            </w:r>
          </w:p>
        </w:tc>
        <w:tc>
          <w:tcPr>
            <w:tcW w:w="5600" w:type="dxa"/>
            <w:tcMar>
              <w:top w:w="80" w:type="dxa"/>
              <w:left w:w="100" w:type="dxa"/>
              <w:bottom w:w="80" w:type="dxa"/>
              <w:right w:w="100" w:type="dxa"/>
            </w:tcMar>
          </w:tcPr>
          <w:p w:rsidR="00000000" w:rsidRDefault="00000000" w14:paraId="7D00010B">
            <w:pPr>
              <w:rPr/>
            </w:pPr>
            <w:r>
              <w:rPr>
                <w:sz w:val="19"/>
                <w:szCs w:val="19"/>
              </w:rPr>
              <w:t xml:space="preserve">scope2_market_based | offset | removal | water_benefit | heat_reuse | material_recovery</w:t>
            </w:r>
          </w:p>
        </w:tc>
      </w:tr>
      <w:tr>
        <w:trPr>
          <w:cantSplit/>
        </w:trPr>
        <w:tc>
          <w:tcPr>
            <w:tcW w:w="2600" w:type="dxa"/>
            <w:tcMar>
              <w:top w:w="80" w:type="dxa"/>
              <w:left w:w="100" w:type="dxa"/>
              <w:bottom w:w="80" w:type="dxa"/>
              <w:right w:w="100" w:type="dxa"/>
            </w:tcMar>
          </w:tcPr>
          <w:p w:rsidR="00000000" w:rsidRDefault="00000000" w14:paraId="7D00010C">
            <w:pPr>
              <w:rPr/>
            </w:pPr>
            <w:r>
              <w:rPr>
                <w:sz w:val="19"/>
                <w:szCs w:val="19"/>
              </w:rPr>
              <w:t xml:space="preserve">beneficiary</w:t>
            </w:r>
          </w:p>
        </w:tc>
        <w:tc>
          <w:tcPr>
            <w:tcW w:w="1400" w:type="dxa"/>
            <w:tcMar>
              <w:top w:w="80" w:type="dxa"/>
              <w:left w:w="100" w:type="dxa"/>
              <w:bottom w:w="80" w:type="dxa"/>
              <w:right w:w="100" w:type="dxa"/>
            </w:tcMar>
          </w:tcPr>
          <w:p w:rsidR="00000000" w:rsidRDefault="00000000" w14:paraId="7D00010D">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10E">
            <w:pPr>
              <w:rPr/>
            </w:pPr>
            <w:r>
              <w:rPr>
                <w:sz w:val="19"/>
                <w:szCs w:val="19"/>
              </w:rPr>
              <w:t xml:space="preserve">Subscriber named on the retirement</w:t>
            </w:r>
          </w:p>
        </w:tc>
      </w:tr>
      <w:tr>
        <w:trPr>
          <w:cantSplit/>
        </w:trPr>
        <w:tc>
          <w:tcPr>
            <w:tcW w:w="2600" w:type="dxa"/>
            <w:tcMar>
              <w:top w:w="80" w:type="dxa"/>
              <w:left w:w="100" w:type="dxa"/>
              <w:bottom w:w="80" w:type="dxa"/>
              <w:right w:w="100" w:type="dxa"/>
            </w:tcMar>
          </w:tcPr>
          <w:p w:rsidR="00000000" w:rsidRDefault="00000000" w14:paraId="7D00010F">
            <w:pPr>
              <w:rPr/>
            </w:pPr>
            <w:r>
              <w:rPr>
                <w:sz w:val="19"/>
                <w:szCs w:val="19"/>
              </w:rPr>
              <w:t xml:space="preserve">retirement_ref</w:t>
            </w:r>
          </w:p>
        </w:tc>
        <w:tc>
          <w:tcPr>
            <w:tcW w:w="1400" w:type="dxa"/>
            <w:tcMar>
              <w:top w:w="80" w:type="dxa"/>
              <w:left w:w="100" w:type="dxa"/>
              <w:bottom w:w="80" w:type="dxa"/>
              <w:right w:w="100" w:type="dxa"/>
            </w:tcMar>
          </w:tcPr>
          <w:p w:rsidR="00000000" w:rsidRDefault="00000000" w14:paraId="7D000110">
            <w:pPr>
              <w:rPr/>
            </w:pPr>
            <w:r>
              <w:rPr>
                <w:sz w:val="19"/>
                <w:szCs w:val="19"/>
              </w:rPr>
              <w:t xml:space="preserve">string</w:t>
            </w:r>
          </w:p>
        </w:tc>
        <w:tc>
          <w:tcPr>
            <w:tcW w:w="5600" w:type="dxa"/>
            <w:tcMar>
              <w:top w:w="80" w:type="dxa"/>
              <w:left w:w="100" w:type="dxa"/>
              <w:bottom w:w="80" w:type="dxa"/>
              <w:right w:w="100" w:type="dxa"/>
            </w:tcMar>
          </w:tcPr>
          <w:p w:rsidR="00000000" w:rsidRDefault="00000000" w14:paraId="7D000111">
            <w:pPr>
              <w:rPr/>
            </w:pPr>
            <w:r>
              <w:rPr>
                <w:sz w:val="19"/>
                <w:szCs w:val="19"/>
              </w:rPr>
              <w:t xml:space="preserve">Registry retirement reference written back to the Net Impact Ledger</w:t>
            </w:r>
          </w:p>
        </w:tc>
      </w:tr>
    </w:tbl>
    <w:p w:rsidR="00000000" w:rsidRDefault="00000000" w14:paraId="7D000112">
      <w:pPr>
        <w:spacing w:after="120"/>
        <w:rPr/>
      </w:pPr>
    </w:p>
    <w:p w:rsidR="00000000" w:rsidRDefault="00000000" w14:paraId="7D000113">
      <w:pPr>
        <w:pStyle w:val="Heading2"/>
        <w:spacing w:after="120" w:before="280" w:lineRule="auto"/>
        <w:rPr/>
      </w:pPr>
      <w:r>
        <w:rPr>
          <w:b w:val="1"/>
          <w:bCs w:val="1"/>
          <w:color w:val="1e7a4c"/>
          <w:sz w:val="24"/>
          <w:szCs w:val="24"/>
        </w:rPr>
        <w:t xml:space="preserve">22.6 Net Impact Ledger</w:t>
      </w:r>
    </w:p>
    <w:p w:rsidR="00000000" w:rsidRDefault="00000000" w14:paraId="7D000114">
      <w:pPr>
        <w:spacing w:after="140" w:lineRule="auto"/>
        <w:rPr/>
      </w:pPr>
      <w:r>
        <w:rPr>
          <w:sz w:val="21"/>
          <w:szCs w:val="21"/>
        </w:rPr>
        <w:t xml:space="preserve">The Net Impact Ledger records, for each Subscriber and each dimension: gross footprint (negative impact); reductions achieved through right-sizing (§21); credits retired, by instrument (positive impact); and the residual. Dimensions are shown side by side and are never summed into one number across dimensions. The ledger feeds Return-on-Impact reporting and the dashboards in §6.3.</w:t>
      </w:r>
    </w:p>
    <w:p w:rsidR="00000000" w:rsidRDefault="00000000" w14:paraId="7D000115">
      <w:pPr>
        <w:keepNext w:val="1"/>
        <w:spacing w:before="120" w:after="60" w:lineRule="auto"/>
        <w:jc w:val="center"/>
        <w:rPr/>
      </w:pPr>
      <w:r>
        <w:rPr>
          <w:noProof/>
        </w:rPr>
        <w:drawing>
          <wp:inline distT="0" distB="0" distL="0" distR="0">
            <wp:extent cx="5852160" cy="3788855"/>
            <wp:effectExtent l="0" t="0" r="0" b="0"/>
            <wp:docPr id="5" name="Figure 5" descr="Multi-attribute credit architecture from Subscriber footprint to Provider cr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4"/>
                    <a:stretch>
                      <a:fillRect/>
                    </a:stretch>
                  </pic:blipFill>
                  <pic:spPr>
                    <a:xfrm>
                      <a:off x="0" y="0"/>
                      <a:ext cx="5852160" cy="3788855"/>
                    </a:xfrm>
                    <a:prstGeom prst="rect">
                      <a:avLst/>
                    </a:prstGeom>
                  </pic:spPr>
                </pic:pic>
              </a:graphicData>
            </a:graphic>
          </wp:inline>
        </w:drawing>
      </w:r>
    </w:p>
    <w:p w:rsidR="00000000" w:rsidRDefault="00000000" w14:paraId="7D000116">
      <w:pPr>
        <w:spacing w:after="200" w:lineRule="auto"/>
        <w:jc w:val="center"/>
        <w:rPr/>
      </w:pPr>
      <w:r>
        <w:rPr>
          <w:i w:val="1"/>
          <w:iCs w:val="1"/>
          <w:color w:val="555555"/>
          <w:sz w:val="18"/>
          <w:szCs w:val="18"/>
        </w:rPr>
        <w:t xml:space="preserve">Figure 5. Multi-attribute impact credits: a Subscriber’s footprint in carbon, electricity, water, heat and materials flows into the Net Impact Ledger and broker, which use registry and market connectors to procure and retire like-for-like Provider credits.</w:t>
      </w:r>
    </w:p>
    <w:p w:rsidR="00000000" w:rsidRDefault="00000000" w14:paraId="7D000117">
      <w:pPr>
        <w:pStyle w:val="Heading2"/>
        <w:spacing w:after="120" w:before="280" w:lineRule="auto"/>
        <w:rPr/>
      </w:pPr>
      <w:r>
        <w:rPr>
          <w:b w:val="1"/>
          <w:bCs w:val="1"/>
          <w:color w:val="1e7a4c"/>
          <w:sz w:val="24"/>
          <w:szCs w:val="24"/>
        </w:rPr>
        <w:t xml:space="preserve">22.7 Toward an Industry-Wide Impact Measurement Standard</w:t>
      </w:r>
    </w:p>
    <w:p w:rsidR="00000000" w:rsidRDefault="00000000" w14:paraId="7D000118">
      <w:pPr>
        <w:spacing w:after="140" w:lineRule="auto"/>
        <w:rPr/>
      </w:pPr>
      <w:r>
        <w:rPr>
          <w:sz w:val="21"/>
          <w:szCs w:val="21"/>
        </w:rPr>
        <w:t xml:space="preserve">A primary goal of Stardust is to give the industry a standard way to measure impact from negative to positive, and to contribute that standard openly. Stardust’s contributions are:</w:t>
      </w:r>
    </w:p>
    <w:p w:rsidR="00000000" w:rsidRDefault="00000000" w14:paraId="7D000119">
      <w:pPr>
        <w:numPr>
          <w:ilvl w:val="0"/>
          <w:numId w:val="1"/>
        </w:numPr>
        <w:spacing w:after="60" w:before="0" w:line="240" w:lineRule="auto"/>
        <w:ind w:left="720" w:right="0" w:hanging="360"/>
        <w:rPr/>
      </w:pPr>
      <w:r>
        <w:rPr>
          <w:b w:val="1"/>
          <w:bCs w:val="1"/>
          <w:sz w:val="21"/>
          <w:szCs w:val="21"/>
        </w:rPr>
        <w:t xml:space="preserve">One open schema</w:t>
      </w:r>
      <w:r>
        <w:rPr>
          <w:sz w:val="21"/>
          <w:szCs w:val="21"/>
        </w:rPr>
        <w:t xml:space="preserve"> for negative and positive impact across carbon, electricity, water, heat and materials, with coded fields, units, boundaries and confidence tags (§8, §20–§22).</w:t>
      </w:r>
    </w:p>
    <w:p w:rsidR="00000000" w:rsidRDefault="00000000" w14:paraId="7D00011A">
      <w:pPr>
        <w:numPr>
          <w:ilvl w:val="0"/>
          <w:numId w:val="1"/>
        </w:numPr>
        <w:spacing w:after="60" w:before="0" w:line="240" w:lineRule="auto"/>
        <w:ind w:left="720" w:right="0" w:hanging="360"/>
        <w:rPr/>
      </w:pPr>
      <w:r>
        <w:rPr>
          <w:b w:val="1"/>
          <w:bCs w:val="1"/>
          <w:sz w:val="21"/>
          <w:szCs w:val="21"/>
        </w:rPr>
        <w:t xml:space="preserve">Mapping to existing standards</w:t>
      </w:r>
      <w:r>
        <w:rPr>
          <w:sz w:val="21"/>
          <w:szCs w:val="21"/>
        </w:rPr>
        <w:t xml:space="preserve"> rather than competing with them: Software Carbon Intensity (ISO/IEC 21031), the GHG Protocol, ISO/IEC 30134 data-center KPIs (PUE, WUE, ERF), WRI Volumetric Water Benefit Accounting, and EnergyTag granular certificates.</w:t>
      </w:r>
    </w:p>
    <w:p w:rsidR="00000000" w:rsidRDefault="00000000" w14:paraId="7F000001">
      <w:pPr>
        <w:numPr>
          <w:ilvl w:val="0"/>
          <w:numId w:val="1"/>
        </w:numPr>
        <w:spacing w:after="60" w:before="0" w:line="240" w:lineRule="auto"/>
        <w:ind w:left="720" w:right="0" w:hanging="360"/>
        <w:rPr/>
      </w:pPr>
      <w:r>
        <w:rPr>
          <w:b w:val="1"/>
          <w:bCs w:val="1"/>
          <w:sz w:val="21"/>
          <w:szCs w:val="21"/>
        </w:rPr>
        <w:t xml:space="preserve">Reuse before invention.</w:t>
      </w:r>
      <w:r>
        <w:rPr>
          <w:sz w:val="21"/>
          <w:szCs w:val="21"/>
        </w:rPr>
        <w:t xml:space="preserve"> Time-of-use, embodied and lifecycle telemetry (§8.8.8, §21.7, §22.8) map first to existing conventions: OpenTelemetry hardware metrics, the GSF Carbon Aware SDK, OpenADR, DMTF Redfish, ISO 14067, IEC 62474 and ISO 59020. New attributes are proposed only where nothing exists, under vendor-neutral names (§11.5).</w:t>
      </w:r>
    </w:p>
    <w:p w:rsidR="00000000" w:rsidRDefault="00000000" w14:paraId="7D00011B">
      <w:pPr>
        <w:numPr>
          <w:ilvl w:val="0"/>
          <w:numId w:val="1"/>
        </w:numPr>
        <w:spacing w:after="60" w:before="0" w:line="240" w:lineRule="auto"/>
        <w:ind w:left="720" w:right="0" w:hanging="360"/>
        <w:rPr/>
      </w:pPr>
      <w:r>
        <w:rPr>
          <w:b w:val="1"/>
          <w:bCs w:val="1"/>
          <w:sz w:val="21"/>
          <w:szCs w:val="21"/>
        </w:rPr>
        <w:t xml:space="preserve">Interoperable telemetry</w:t>
      </w:r>
      <w:r>
        <w:rPr>
          <w:sz w:val="21"/>
          <w:szCs w:val="21"/>
        </w:rPr>
        <w:t xml:space="preserve"> through proposed OpenTelemetry semantic conventions (§11), so the standard travels with existing observability tooling.</w:t>
      </w:r>
    </w:p>
    <w:p w:rsidR="00000000" w:rsidRDefault="00000000" w14:paraId="7D00011C">
      <w:pPr>
        <w:numPr>
          <w:ilvl w:val="0"/>
          <w:numId w:val="1"/>
        </w:numPr>
        <w:spacing w:after="60" w:before="0" w:line="240" w:lineRule="auto"/>
        <w:ind w:left="720" w:right="0" w:hanging="360"/>
        <w:rPr/>
      </w:pPr>
      <w:r>
        <w:rPr>
          <w:b w:val="1"/>
          <w:bCs w:val="1"/>
          <w:sz w:val="21"/>
          <w:szCs w:val="21"/>
        </w:rPr>
        <w:t xml:space="preserve">Open governance:</w:t>
      </w:r>
      <w:r>
        <w:rPr>
          <w:sz w:val="21"/>
          <w:szCs w:val="21"/>
        </w:rPr>
        <w:t xml:space="preserve"> versioned methodology, public comment, cited sources (Appendix A), and a path to adoption through standards bodies and industry groups.</w:t>
      </w:r>
    </w:p>
    <w:p w:rsidR="00000000" w:rsidRDefault="00000000" w14:paraId="7E0000C3">
      <w:pPr>
        <w:pStyle w:val="Heading2"/>
        <w:spacing w:after="120" w:before="280" w:lineRule="auto"/>
        <w:rPr/>
      </w:pPr>
      <w:r>
        <w:rPr>
          <w:b w:val="1"/>
          <w:bCs w:val="1"/>
          <w:color w:val="1e7a4c"/>
          <w:sz w:val="24"/>
          <w:szCs w:val="24"/>
        </w:rPr>
        <w:t xml:space="preserve">22.8 Hardware Lifecycle Record: Reuse and Recycling</w:t>
      </w:r>
    </w:p>
    <w:p w:rsidR="00000000" w:rsidRDefault="00000000" w14:paraId="7E0000C4">
      <w:pPr>
        <w:spacing w:after="140" w:lineRule="auto"/>
        <w:rPr/>
      </w:pPr>
      <w:r>
        <w:rPr>
          <w:sz w:val="21"/>
          <w:szCs w:val="21"/>
        </w:rPr>
        <w:t xml:space="preserve">This section expands the Recycling pillar into a lifecycle standard for data-center hardware. Every device gets a lifecycle record, like a passport, from deployment through reuse, refurbishment and recycling. Much of this cannot yet be traced automatically, so the record is interactive: AI infrastructure operators maintain it, and refurbishers and recyclers confirm it.</w:t>
      </w:r>
    </w:p>
    <w:p w:rsidR="00000000" w:rsidRDefault="00000000" w14:paraId="7E0000C5">
      <w:pPr>
        <w:pStyle w:val="Heading3"/>
        <w:spacing w:after="100" w:before="200" w:lineRule="auto"/>
        <w:rPr/>
      </w:pPr>
      <w:r>
        <w:rPr>
          <w:b w:val="1"/>
          <w:bCs w:val="1"/>
          <w:color w:val="333333"/>
          <w:sz w:val="21"/>
          <w:szCs w:val="21"/>
        </w:rPr>
        <w:t xml:space="preserve">22.8.1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C6">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C7">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C8">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C9">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CA">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CB">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CC">
            <w:pPr>
              <w:rPr/>
            </w:pPr>
            <w:r>
              <w:rPr>
                <w:sz w:val="19"/>
                <w:szCs w:val="19"/>
              </w:rPr>
              <w:t xml:space="preserve">AID</w:t>
            </w:r>
          </w:p>
        </w:tc>
        <w:tc>
          <w:tcPr>
            <w:tcW w:w="2240" w:type="dxa"/>
            <w:tcMar>
              <w:top w:w="80" w:type="dxa"/>
              <w:left w:w="100" w:type="dxa"/>
              <w:bottom w:w="80" w:type="dxa"/>
              <w:right w:w="100" w:type="dxa"/>
            </w:tcMar>
          </w:tcPr>
          <w:p w:rsidR="00000000" w:rsidRDefault="00000000" w14:paraId="7E0000CD">
            <w:pPr>
              <w:rPr/>
            </w:pPr>
            <w:r>
              <w:rPr>
                <w:sz w:val="19"/>
                <w:szCs w:val="19"/>
              </w:rPr>
              <w:t xml:space="preserve">Asset Identity</w:t>
            </w:r>
          </w:p>
        </w:tc>
        <w:tc>
          <w:tcPr>
            <w:tcW w:w="2720" w:type="dxa"/>
            <w:tcMar>
              <w:top w:w="80" w:type="dxa"/>
              <w:left w:w="100" w:type="dxa"/>
              <w:bottom w:w="80" w:type="dxa"/>
              <w:right w:w="100" w:type="dxa"/>
            </w:tcMar>
          </w:tcPr>
          <w:p w:rsidR="00000000" w:rsidRDefault="00000000" w14:paraId="7E0000CE">
            <w:pPr>
              <w:rPr/>
            </w:pPr>
            <w:r>
              <w:rPr>
                <w:sz w:val="19"/>
                <w:szCs w:val="19"/>
              </w:rPr>
              <w:t xml:space="preserve">Manufacturer, model, part number and serial number, taken from DMTF Redfish inventory or the operator’s asset system and mapped to OTel host.* attributes</w:t>
            </w:r>
          </w:p>
        </w:tc>
        <w:tc>
          <w:tcPr>
            <w:tcW w:w="1280" w:type="dxa"/>
            <w:tcMar>
              <w:top w:w="80" w:type="dxa"/>
              <w:left w:w="100" w:type="dxa"/>
              <w:bottom w:w="80" w:type="dxa"/>
              <w:right w:w="100" w:type="dxa"/>
            </w:tcMar>
          </w:tcPr>
          <w:p w:rsidR="00000000" w:rsidRDefault="00000000" w14:paraId="7E0000CF">
            <w:pPr>
              <w:rPr/>
            </w:pPr>
            <w:r>
              <w:rPr>
                <w:sz w:val="19"/>
                <w:szCs w:val="19"/>
              </w:rPr>
              <w:t xml:space="preserve">string</w:t>
            </w:r>
          </w:p>
        </w:tc>
        <w:tc>
          <w:tcPr>
            <w:tcW w:w="1280" w:type="dxa"/>
            <w:tcMar>
              <w:top w:w="80" w:type="dxa"/>
              <w:left w:w="100" w:type="dxa"/>
              <w:bottom w:w="80" w:type="dxa"/>
              <w:right w:w="100" w:type="dxa"/>
            </w:tcMar>
          </w:tcPr>
          <w:p w:rsidR="00000000" w:rsidRDefault="00000000" w14:paraId="7E0000D0">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D1">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D2">
            <w:pPr>
              <w:rPr/>
            </w:pPr>
            <w:r>
              <w:rPr>
                <w:sz w:val="19"/>
                <w:szCs w:val="19"/>
              </w:rPr>
              <w:t xml:space="preserve">LCS</w:t>
            </w:r>
          </w:p>
        </w:tc>
        <w:tc>
          <w:tcPr>
            <w:tcW w:w="2240" w:type="dxa"/>
            <w:tcMar>
              <w:top w:w="80" w:type="dxa"/>
              <w:left w:w="100" w:type="dxa"/>
              <w:bottom w:w="80" w:type="dxa"/>
              <w:right w:w="100" w:type="dxa"/>
            </w:tcMar>
          </w:tcPr>
          <w:p w:rsidR="00000000" w:rsidRDefault="00000000" w14:paraId="7E0000D3">
            <w:pPr>
              <w:rPr/>
            </w:pPr>
            <w:r>
              <w:rPr>
                <w:sz w:val="19"/>
                <w:szCs w:val="19"/>
              </w:rPr>
              <w:t xml:space="preserve">Lifecycle State</w:t>
            </w:r>
          </w:p>
        </w:tc>
        <w:tc>
          <w:tcPr>
            <w:tcW w:w="2720" w:type="dxa"/>
            <w:tcMar>
              <w:top w:w="80" w:type="dxa"/>
              <w:left w:w="100" w:type="dxa"/>
              <w:bottom w:w="80" w:type="dxa"/>
              <w:right w:w="100" w:type="dxa"/>
            </w:tcMar>
          </w:tcPr>
          <w:p w:rsidR="00000000" w:rsidRDefault="00000000" w14:paraId="7E0000D4">
            <w:pPr>
              <w:rPr/>
            </w:pPr>
            <w:r>
              <w:rPr>
                <w:sz w:val="19"/>
                <w:szCs w:val="19"/>
              </w:rPr>
              <w:t xml:space="preserve">In service, redeployed, refurbished, parts harvested, recycled, or disposed</w:t>
            </w:r>
          </w:p>
        </w:tc>
        <w:tc>
          <w:tcPr>
            <w:tcW w:w="1280" w:type="dxa"/>
            <w:tcMar>
              <w:top w:w="80" w:type="dxa"/>
              <w:left w:w="100" w:type="dxa"/>
              <w:bottom w:w="80" w:type="dxa"/>
              <w:right w:w="100" w:type="dxa"/>
            </w:tcMar>
          </w:tcPr>
          <w:p w:rsidR="00000000" w:rsidRDefault="00000000" w14:paraId="7E0000D5">
            <w:pPr>
              <w:rPr/>
            </w:pPr>
            <w:r>
              <w:rPr>
                <w:sz w:val="19"/>
                <w:szCs w:val="19"/>
              </w:rPr>
              <w:t xml:space="preserve">enum</w:t>
            </w:r>
          </w:p>
        </w:tc>
        <w:tc>
          <w:tcPr>
            <w:tcW w:w="1280" w:type="dxa"/>
            <w:tcMar>
              <w:top w:w="80" w:type="dxa"/>
              <w:left w:w="100" w:type="dxa"/>
              <w:bottom w:w="80" w:type="dxa"/>
              <w:right w:w="100" w:type="dxa"/>
            </w:tcMar>
          </w:tcPr>
          <w:p w:rsidR="00000000" w:rsidRDefault="00000000" w14:paraId="7E0000D6">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7">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8">
            <w:pPr>
              <w:rPr/>
            </w:pPr>
            <w:r>
              <w:rPr>
                <w:sz w:val="19"/>
                <w:szCs w:val="19"/>
              </w:rPr>
              <w:t xml:space="preserve">LCT</w:t>
            </w:r>
          </w:p>
        </w:tc>
        <w:tc>
          <w:tcPr>
            <w:tcW w:w="2240" w:type="dxa"/>
            <w:tcMar>
              <w:top w:w="80" w:type="dxa"/>
              <w:left w:w="100" w:type="dxa"/>
              <w:bottom w:w="80" w:type="dxa"/>
              <w:right w:w="100" w:type="dxa"/>
            </w:tcMar>
          </w:tcPr>
          <w:p w:rsidR="00000000" w:rsidRDefault="00000000" w14:paraId="7E0000D9">
            <w:pPr>
              <w:rPr/>
            </w:pPr>
            <w:r>
              <w:rPr>
                <w:sz w:val="19"/>
                <w:szCs w:val="19"/>
              </w:rPr>
              <w:t xml:space="preserve">State Transition Time</w:t>
            </w:r>
          </w:p>
        </w:tc>
        <w:tc>
          <w:tcPr>
            <w:tcW w:w="2720" w:type="dxa"/>
            <w:tcMar>
              <w:top w:w="80" w:type="dxa"/>
              <w:left w:w="100" w:type="dxa"/>
              <w:bottom w:w="80" w:type="dxa"/>
              <w:right w:w="100" w:type="dxa"/>
            </w:tcMar>
          </w:tcPr>
          <w:p w:rsidR="00000000" w:rsidRDefault="00000000" w14:paraId="7E0000DA">
            <w:pPr>
              <w:rPr/>
            </w:pPr>
            <w:r>
              <w:rPr>
                <w:sz w:val="19"/>
                <w:szCs w:val="19"/>
              </w:rPr>
              <w:t xml:space="preserve">When the asset entered its current state</w:t>
            </w:r>
          </w:p>
        </w:tc>
        <w:tc>
          <w:tcPr>
            <w:tcW w:w="1280" w:type="dxa"/>
            <w:tcMar>
              <w:top w:w="80" w:type="dxa"/>
              <w:left w:w="100" w:type="dxa"/>
              <w:bottom w:w="80" w:type="dxa"/>
              <w:right w:w="100" w:type="dxa"/>
            </w:tcMar>
          </w:tcPr>
          <w:p w:rsidR="00000000" w:rsidRDefault="00000000" w14:paraId="7E0000DB">
            <w:pPr>
              <w:rPr/>
            </w:pPr>
            <w:r>
              <w:rPr>
                <w:sz w:val="19"/>
                <w:szCs w:val="19"/>
              </w:rPr>
              <w:t xml:space="preserve">timestamp</w:t>
            </w:r>
          </w:p>
        </w:tc>
        <w:tc>
          <w:tcPr>
            <w:tcW w:w="1280" w:type="dxa"/>
            <w:tcMar>
              <w:top w:w="80" w:type="dxa"/>
              <w:left w:w="100" w:type="dxa"/>
              <w:bottom w:w="80" w:type="dxa"/>
              <w:right w:w="100" w:type="dxa"/>
            </w:tcMar>
          </w:tcPr>
          <w:p w:rsidR="00000000" w:rsidRDefault="00000000" w14:paraId="7E0000DC">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D">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E">
            <w:pPr>
              <w:rPr/>
            </w:pPr>
            <w:r>
              <w:rPr>
                <w:sz w:val="19"/>
                <w:szCs w:val="19"/>
              </w:rPr>
              <w:t xml:space="preserve">OWN</w:t>
            </w:r>
          </w:p>
        </w:tc>
        <w:tc>
          <w:tcPr>
            <w:tcW w:w="2240" w:type="dxa"/>
            <w:tcMar>
              <w:top w:w="80" w:type="dxa"/>
              <w:left w:w="100" w:type="dxa"/>
              <w:bottom w:w="80" w:type="dxa"/>
              <w:right w:w="100" w:type="dxa"/>
            </w:tcMar>
          </w:tcPr>
          <w:p w:rsidR="00000000" w:rsidRDefault="00000000" w14:paraId="7E0000DF">
            <w:pPr>
              <w:rPr/>
            </w:pPr>
            <w:r>
              <w:rPr>
                <w:sz w:val="19"/>
                <w:szCs w:val="19"/>
              </w:rPr>
              <w:t xml:space="preserve">Custodian</w:t>
            </w:r>
          </w:p>
        </w:tc>
        <w:tc>
          <w:tcPr>
            <w:tcW w:w="2720" w:type="dxa"/>
            <w:tcMar>
              <w:top w:w="80" w:type="dxa"/>
              <w:left w:w="100" w:type="dxa"/>
              <w:bottom w:w="80" w:type="dxa"/>
              <w:right w:w="100" w:type="dxa"/>
            </w:tcMar>
          </w:tcPr>
          <w:p w:rsidR="00000000" w:rsidRDefault="00000000" w14:paraId="7E0000E0">
            <w:pPr>
              <w:rPr/>
            </w:pPr>
            <w:r>
              <w:rPr>
                <w:sz w:val="19"/>
                <w:szCs w:val="19"/>
              </w:rPr>
              <w:t xml:space="preserve">Organization holding the asset: operator, refurbisher, broker, or recycler</w:t>
            </w:r>
          </w:p>
        </w:tc>
        <w:tc>
          <w:tcPr>
            <w:tcW w:w="1280" w:type="dxa"/>
            <w:tcMar>
              <w:top w:w="80" w:type="dxa"/>
              <w:left w:w="100" w:type="dxa"/>
              <w:bottom w:w="80" w:type="dxa"/>
              <w:right w:w="100" w:type="dxa"/>
            </w:tcMar>
          </w:tcPr>
          <w:p w:rsidR="00000000" w:rsidRDefault="00000000" w14:paraId="7E0000E1">
            <w:pPr>
              <w:rPr/>
            </w:pPr>
            <w:r>
              <w:rPr>
                <w:sz w:val="19"/>
                <w:szCs w:val="19"/>
              </w:rPr>
              <w:t xml:space="preserve">ID</w:t>
            </w:r>
          </w:p>
        </w:tc>
        <w:tc>
          <w:tcPr>
            <w:tcW w:w="1280" w:type="dxa"/>
            <w:tcMar>
              <w:top w:w="80" w:type="dxa"/>
              <w:left w:w="100" w:type="dxa"/>
              <w:bottom w:w="80" w:type="dxa"/>
              <w:right w:w="100" w:type="dxa"/>
            </w:tcMar>
          </w:tcPr>
          <w:p w:rsidR="00000000" w:rsidRDefault="00000000" w14:paraId="7E0000E2">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3">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4">
            <w:pPr>
              <w:rPr/>
            </w:pPr>
            <w:r>
              <w:rPr>
                <w:sz w:val="19"/>
                <w:szCs w:val="19"/>
              </w:rPr>
              <w:t xml:space="preserve">RDP</w:t>
            </w:r>
          </w:p>
        </w:tc>
        <w:tc>
          <w:tcPr>
            <w:tcW w:w="2240" w:type="dxa"/>
            <w:tcMar>
              <w:top w:w="80" w:type="dxa"/>
              <w:left w:w="100" w:type="dxa"/>
              <w:bottom w:w="80" w:type="dxa"/>
              <w:right w:w="100" w:type="dxa"/>
            </w:tcMar>
          </w:tcPr>
          <w:p w:rsidR="00000000" w:rsidRDefault="00000000" w14:paraId="7E0000E5">
            <w:pPr>
              <w:rPr/>
            </w:pPr>
            <w:r>
              <w:rPr>
                <w:sz w:val="19"/>
                <w:szCs w:val="19"/>
              </w:rPr>
              <w:t xml:space="preserve">Redeployment Path</w:t>
            </w:r>
          </w:p>
        </w:tc>
        <w:tc>
          <w:tcPr>
            <w:tcW w:w="2720" w:type="dxa"/>
            <w:tcMar>
              <w:top w:w="80" w:type="dxa"/>
              <w:left w:w="100" w:type="dxa"/>
              <w:bottom w:w="80" w:type="dxa"/>
              <w:right w:w="100" w:type="dxa"/>
            </w:tcMar>
          </w:tcPr>
          <w:p w:rsidR="00000000" w:rsidRDefault="00000000" w14:paraId="7E0000E6">
            <w:pPr>
              <w:rPr/>
            </w:pPr>
            <w:r>
              <w:rPr>
                <w:sz w:val="19"/>
                <w:szCs w:val="19"/>
              </w:rPr>
              <w:t xml:space="preserve">Internal reuse, resale, donation, or parts recovery</w:t>
            </w:r>
          </w:p>
        </w:tc>
        <w:tc>
          <w:tcPr>
            <w:tcW w:w="1280" w:type="dxa"/>
            <w:tcMar>
              <w:top w:w="80" w:type="dxa"/>
              <w:left w:w="100" w:type="dxa"/>
              <w:bottom w:w="80" w:type="dxa"/>
              <w:right w:w="100" w:type="dxa"/>
            </w:tcMar>
          </w:tcPr>
          <w:p w:rsidR="00000000" w:rsidRDefault="00000000" w14:paraId="7E0000E7">
            <w:pPr>
              <w:rPr/>
            </w:pPr>
            <w:r>
              <w:rPr>
                <w:sz w:val="19"/>
                <w:szCs w:val="19"/>
              </w:rPr>
              <w:t xml:space="preserve">enum</w:t>
            </w:r>
          </w:p>
        </w:tc>
        <w:tc>
          <w:tcPr>
            <w:tcW w:w="1280" w:type="dxa"/>
            <w:tcMar>
              <w:top w:w="80" w:type="dxa"/>
              <w:left w:w="100" w:type="dxa"/>
              <w:bottom w:w="80" w:type="dxa"/>
              <w:right w:w="100" w:type="dxa"/>
            </w:tcMar>
          </w:tcPr>
          <w:p w:rsidR="00000000" w:rsidRDefault="00000000" w14:paraId="7E0000E8">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9">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A">
            <w:pPr>
              <w:rPr/>
            </w:pPr>
            <w:r>
              <w:rPr>
                <w:sz w:val="19"/>
                <w:szCs w:val="19"/>
              </w:rPr>
              <w:t xml:space="preserve">RMR</w:t>
            </w:r>
          </w:p>
        </w:tc>
        <w:tc>
          <w:tcPr>
            <w:tcW w:w="2240" w:type="dxa"/>
            <w:tcMar>
              <w:top w:w="80" w:type="dxa"/>
              <w:left w:w="100" w:type="dxa"/>
              <w:bottom w:w="80" w:type="dxa"/>
              <w:right w:w="100" w:type="dxa"/>
            </w:tcMar>
          </w:tcPr>
          <w:p w:rsidR="00000000" w:rsidRDefault="00000000" w14:paraId="7E0000EB">
            <w:pPr>
              <w:rPr/>
            </w:pPr>
            <w:r>
              <w:rPr>
                <w:sz w:val="19"/>
                <w:szCs w:val="19"/>
              </w:rPr>
              <w:t xml:space="preserve">Recovered Material Rate</w:t>
            </w:r>
          </w:p>
        </w:tc>
        <w:tc>
          <w:tcPr>
            <w:tcW w:w="2720" w:type="dxa"/>
            <w:tcMar>
              <w:top w:w="80" w:type="dxa"/>
              <w:left w:w="100" w:type="dxa"/>
              <w:bottom w:w="80" w:type="dxa"/>
              <w:right w:w="100" w:type="dxa"/>
            </w:tcMar>
          </w:tcPr>
          <w:p w:rsidR="00000000" w:rsidRDefault="00000000" w14:paraId="7E0000EC">
            <w:pPr>
              <w:rPr/>
            </w:pPr>
            <w:r>
              <w:rPr>
                <w:sz w:val="19"/>
                <w:szCs w:val="19"/>
              </w:rPr>
              <w:t xml:space="preserve">Share of the asset’s mass recovered for reuse or recycling at end of life</w:t>
            </w:r>
          </w:p>
        </w:tc>
        <w:tc>
          <w:tcPr>
            <w:tcW w:w="1280" w:type="dxa"/>
            <w:tcMar>
              <w:top w:w="80" w:type="dxa"/>
              <w:left w:w="100" w:type="dxa"/>
              <w:bottom w:w="80" w:type="dxa"/>
              <w:right w:w="100" w:type="dxa"/>
            </w:tcMar>
          </w:tcPr>
          <w:p w:rsidR="00000000" w:rsidRDefault="00000000" w14:paraId="7E0000ED">
            <w:pPr>
              <w:rPr/>
            </w:pPr>
            <w:r>
              <w:rPr>
                <w:sz w:val="19"/>
                <w:szCs w:val="19"/>
              </w:rPr>
              <w:t xml:space="preserve">%</w:t>
            </w:r>
          </w:p>
        </w:tc>
        <w:tc>
          <w:tcPr>
            <w:tcW w:w="1280" w:type="dxa"/>
            <w:tcMar>
              <w:top w:w="80" w:type="dxa"/>
              <w:left w:w="100" w:type="dxa"/>
              <w:bottom w:w="80" w:type="dxa"/>
              <w:right w:w="100" w:type="dxa"/>
            </w:tcMar>
          </w:tcPr>
          <w:p w:rsidR="00000000" w:rsidRDefault="00000000" w14:paraId="7E0000EE">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EF">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F0">
            <w:pPr>
              <w:rPr/>
            </w:pPr>
            <w:r>
              <w:rPr>
                <w:sz w:val="19"/>
                <w:szCs w:val="19"/>
              </w:rPr>
              <w:t xml:space="preserve">PRV</w:t>
            </w:r>
          </w:p>
        </w:tc>
        <w:tc>
          <w:tcPr>
            <w:tcW w:w="2240" w:type="dxa"/>
            <w:tcMar>
              <w:top w:w="80" w:type="dxa"/>
              <w:left w:w="100" w:type="dxa"/>
              <w:bottom w:w="80" w:type="dxa"/>
              <w:right w:w="100" w:type="dxa"/>
            </w:tcMar>
          </w:tcPr>
          <w:p w:rsidR="00000000" w:rsidRDefault="00000000" w14:paraId="7E0000F1">
            <w:pPr>
              <w:rPr/>
            </w:pPr>
            <w:r>
              <w:rPr>
                <w:sz w:val="19"/>
                <w:szCs w:val="19"/>
              </w:rPr>
              <w:t xml:space="preserve">Record Provenance</w:t>
            </w:r>
          </w:p>
        </w:tc>
        <w:tc>
          <w:tcPr>
            <w:tcW w:w="2720" w:type="dxa"/>
            <w:tcMar>
              <w:top w:w="80" w:type="dxa"/>
              <w:left w:w="100" w:type="dxa"/>
              <w:bottom w:w="80" w:type="dxa"/>
              <w:right w:w="100" w:type="dxa"/>
            </w:tcMar>
          </w:tcPr>
          <w:p w:rsidR="00000000" w:rsidRDefault="00000000" w14:paraId="7E0000F2">
            <w:pPr>
              <w:rPr/>
            </w:pPr>
            <w:r>
              <w:rPr>
                <w:sz w:val="19"/>
                <w:szCs w:val="19"/>
              </w:rPr>
              <w:t xml:space="preserve">Operator-reported, refurbisher- or recycler-certified, manufacturer take-back, or inferred</w:t>
            </w:r>
          </w:p>
        </w:tc>
        <w:tc>
          <w:tcPr>
            <w:tcW w:w="1280" w:type="dxa"/>
            <w:tcMar>
              <w:top w:w="80" w:type="dxa"/>
              <w:left w:w="100" w:type="dxa"/>
              <w:bottom w:w="80" w:type="dxa"/>
              <w:right w:w="100" w:type="dxa"/>
            </w:tcMar>
          </w:tcPr>
          <w:p w:rsidR="00000000" w:rsidRDefault="00000000" w14:paraId="7E0000F3">
            <w:pPr>
              <w:rPr/>
            </w:pPr>
            <w:r>
              <w:rPr>
                <w:sz w:val="19"/>
                <w:szCs w:val="19"/>
              </w:rPr>
              <w:t xml:space="preserve">enum</w:t>
            </w:r>
          </w:p>
        </w:tc>
        <w:tc>
          <w:tcPr>
            <w:tcW w:w="1280" w:type="dxa"/>
            <w:tcMar>
              <w:top w:w="80" w:type="dxa"/>
              <w:left w:w="100" w:type="dxa"/>
              <w:bottom w:w="80" w:type="dxa"/>
              <w:right w:w="100" w:type="dxa"/>
            </w:tcMar>
          </w:tcPr>
          <w:p w:rsidR="00000000" w:rsidRDefault="00000000" w14:paraId="7E0000F4">
            <w:pPr>
              <w:rPr/>
            </w:pPr>
            <w:r>
              <w:rPr>
                <w:sz w:val="19"/>
                <w:szCs w:val="19"/>
              </w:rPr>
              <w:t xml:space="preserve">Per record</w:t>
            </w:r>
          </w:p>
        </w:tc>
        <w:tc>
          <w:tcPr>
            <w:tcW w:w="1120" w:type="dxa"/>
            <w:tcMar>
              <w:top w:w="80" w:type="dxa"/>
              <w:left w:w="100" w:type="dxa"/>
              <w:bottom w:w="80" w:type="dxa"/>
              <w:right w:w="100" w:type="dxa"/>
            </w:tcMar>
          </w:tcPr>
          <w:p w:rsidR="00000000" w:rsidRDefault="00000000" w14:paraId="7E0000F5">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F6">
            <w:pPr>
              <w:rPr/>
            </w:pPr>
            <w:r>
              <w:rPr>
                <w:sz w:val="19"/>
                <w:szCs w:val="19"/>
              </w:rPr>
              <w:t xml:space="preserve">D-CIR</w:t>
            </w:r>
          </w:p>
        </w:tc>
        <w:tc>
          <w:tcPr>
            <w:tcW w:w="2240" w:type="dxa"/>
            <w:tcMar>
              <w:top w:w="80" w:type="dxa"/>
              <w:left w:w="100" w:type="dxa"/>
              <w:bottom w:w="80" w:type="dxa"/>
              <w:right w:w="100" w:type="dxa"/>
            </w:tcMar>
          </w:tcPr>
          <w:p w:rsidR="00000000" w:rsidRDefault="00000000" w14:paraId="7E0000F7">
            <w:pPr>
              <w:rPr/>
            </w:pPr>
            <w:r>
              <w:rPr>
                <w:sz w:val="19"/>
                <w:szCs w:val="19"/>
              </w:rPr>
              <w:t xml:space="preserve">Hardware Circularity Rate</w:t>
            </w:r>
          </w:p>
        </w:tc>
        <w:tc>
          <w:tcPr>
            <w:tcW w:w="2720" w:type="dxa"/>
            <w:tcMar>
              <w:top w:w="80" w:type="dxa"/>
              <w:left w:w="100" w:type="dxa"/>
              <w:bottom w:w="80" w:type="dxa"/>
              <w:right w:w="100" w:type="dxa"/>
            </w:tcMar>
          </w:tcPr>
          <w:p w:rsidR="00000000" w:rsidRDefault="00000000" w14:paraId="7E0000F8">
            <w:pPr>
              <w:rPr/>
            </w:pPr>
            <w:r>
              <w:rPr>
                <w:sz w:val="19"/>
                <w:szCs w:val="19"/>
              </w:rPr>
              <w:t xml:space="preserve">Share of decommissioned hardware, by mass, reused or recycled rather than disposed, reported in line with ISO 59020</w:t>
            </w:r>
          </w:p>
        </w:tc>
        <w:tc>
          <w:tcPr>
            <w:tcW w:w="1280" w:type="dxa"/>
            <w:tcMar>
              <w:top w:w="80" w:type="dxa"/>
              <w:left w:w="100" w:type="dxa"/>
              <w:bottom w:w="80" w:type="dxa"/>
              <w:right w:w="100" w:type="dxa"/>
            </w:tcMar>
          </w:tcPr>
          <w:p w:rsidR="00000000" w:rsidRDefault="00000000" w14:paraId="7E0000F9">
            <w:pPr>
              <w:rPr/>
            </w:pPr>
            <w:r>
              <w:rPr>
                <w:sz w:val="19"/>
                <w:szCs w:val="19"/>
              </w:rPr>
              <w:t xml:space="preserve">%</w:t>
            </w:r>
          </w:p>
        </w:tc>
        <w:tc>
          <w:tcPr>
            <w:tcW w:w="1280" w:type="dxa"/>
            <w:tcMar>
              <w:top w:w="80" w:type="dxa"/>
              <w:left w:w="100" w:type="dxa"/>
              <w:bottom w:w="80" w:type="dxa"/>
              <w:right w:w="100" w:type="dxa"/>
            </w:tcMar>
          </w:tcPr>
          <w:p w:rsidR="00000000" w:rsidRDefault="00000000" w14:paraId="7E0000FA">
            <w:pPr>
              <w:rPr/>
            </w:pPr>
            <w:r>
              <w:rPr>
                <w:sz w:val="19"/>
                <w:szCs w:val="19"/>
              </w:rPr>
              <w:t xml:space="preserve">Quarterly</w:t>
            </w:r>
          </w:p>
        </w:tc>
        <w:tc>
          <w:tcPr>
            <w:tcW w:w="1120" w:type="dxa"/>
            <w:tcMar>
              <w:top w:w="80" w:type="dxa"/>
              <w:left w:w="100" w:type="dxa"/>
              <w:bottom w:w="80" w:type="dxa"/>
              <w:right w:w="100" w:type="dxa"/>
            </w:tcMar>
          </w:tcPr>
          <w:p w:rsidR="00000000" w:rsidRDefault="00000000" w14:paraId="7E0000FB">
            <w:pPr>
              <w:rPr/>
            </w:pPr>
            <w:r>
              <w:rPr>
                <w:sz w:val="19"/>
                <w:szCs w:val="19"/>
              </w:rPr>
              <w:t xml:space="preserve">Lowest of inputs</w:t>
            </w:r>
          </w:p>
        </w:tc>
      </w:tr>
    </w:tbl>
    <w:p w:rsidR="00000000" w:rsidRDefault="00000000" w14:paraId="7E0000FC">
      <w:pPr>
        <w:spacing w:after="120"/>
        <w:rPr/>
      </w:pPr>
    </w:p>
    <w:p w:rsidR="00000000" w:rsidRDefault="00000000" w14:paraId="7E0000FD">
      <w:pPr>
        <w:pStyle w:val="Heading3"/>
        <w:spacing w:after="100" w:before="200" w:lineRule="auto"/>
        <w:rPr/>
      </w:pPr>
      <w:r>
        <w:rPr>
          <w:b w:val="1"/>
          <w:bCs w:val="1"/>
          <w:color w:val="333333"/>
          <w:sz w:val="21"/>
          <w:szCs w:val="21"/>
        </w:rPr>
        <w:t xml:space="preserve">22.8.2 Interactive Maintenance</w:t>
      </w:r>
    </w:p>
    <w:p w:rsidR="00000000" w:rsidRDefault="00000000" w14:paraId="7E0000FE">
      <w:pPr>
        <w:numPr>
          <w:ilvl w:val="0"/>
          <w:numId w:val="1"/>
        </w:numPr>
        <w:spacing w:after="60" w:before="0" w:line="240" w:lineRule="auto"/>
        <w:ind w:left="720" w:right="0" w:hanging="360"/>
        <w:rPr/>
      </w:pPr>
      <w:r>
        <w:rPr>
          <w:b w:val="1"/>
          <w:bCs w:val="1"/>
          <w:sz w:val="21"/>
          <w:szCs w:val="21"/>
        </w:rPr>
        <w:t xml:space="preserve">Import first.</w:t>
      </w:r>
      <w:r>
        <w:rPr>
          <w:sz w:val="21"/>
          <w:szCs w:val="21"/>
        </w:rPr>
        <w:t xml:space="preserve"> Records are seeded from Redfish, DCIM or CMDB exports so operators confirm rather than type.</w:t>
      </w:r>
    </w:p>
    <w:p w:rsidR="00000000" w:rsidRDefault="00000000" w14:paraId="7E0000FF">
      <w:pPr>
        <w:numPr>
          <w:ilvl w:val="0"/>
          <w:numId w:val="1"/>
        </w:numPr>
        <w:spacing w:after="60" w:before="0" w:line="240" w:lineRule="auto"/>
        <w:ind w:left="720" w:right="0" w:hanging="360"/>
        <w:rPr/>
      </w:pPr>
      <w:r>
        <w:rPr>
          <w:b w:val="1"/>
          <w:bCs w:val="1"/>
          <w:sz w:val="21"/>
          <w:szCs w:val="21"/>
        </w:rPr>
        <w:t xml:space="preserve">Prompted updates.</w:t>
      </w:r>
      <w:r>
        <w:rPr>
          <w:sz w:val="21"/>
          <w:szCs w:val="21"/>
        </w:rPr>
        <w:t xml:space="preserve"> As an asset approaches its RCP date (§8.8.8), the operator is asked to confirm its next state through the dashboard, the API, or the write-scoped operator MCP server (§23.5), which requires explicit confirmation and logs every change.</w:t>
      </w:r>
    </w:p>
    <w:p w:rsidR="00000000" w:rsidRDefault="00000000" w14:paraId="7E000100">
      <w:pPr>
        <w:numPr>
          <w:ilvl w:val="0"/>
          <w:numId w:val="1"/>
        </w:numPr>
        <w:spacing w:after="60" w:before="0" w:line="240" w:lineRule="auto"/>
        <w:ind w:left="720" w:right="0" w:hanging="360"/>
        <w:rPr/>
      </w:pPr>
      <w:r>
        <w:rPr>
          <w:b w:val="1"/>
          <w:bCs w:val="1"/>
          <w:sz w:val="21"/>
          <w:szCs w:val="21"/>
        </w:rPr>
        <w:t xml:space="preserve">Confirmation raises confidence.</w:t>
      </w:r>
      <w:r>
        <w:rPr>
          <w:sz w:val="21"/>
          <w:szCs w:val="21"/>
        </w:rPr>
        <w:t xml:space="preserve"> Operator-reported records sit in the lowest confidence tier of §10.2.1 until a certified refurbisher or recycler confirms the transition with a chain-of-custody reference (COC).</w:t>
      </w:r>
    </w:p>
    <w:p w:rsidR="00000000" w:rsidRDefault="00000000" w14:paraId="7E000101">
      <w:pPr>
        <w:numPr>
          <w:ilvl w:val="0"/>
          <w:numId w:val="1"/>
        </w:numPr>
        <w:spacing w:after="60" w:before="0" w:line="240" w:lineRule="auto"/>
        <w:ind w:left="720" w:right="0" w:hanging="360"/>
        <w:rPr/>
      </w:pPr>
      <w:r>
        <w:rPr>
          <w:b w:val="1"/>
          <w:bCs w:val="1"/>
          <w:sz w:val="21"/>
          <w:szCs w:val="21"/>
        </w:rPr>
        <w:t xml:space="preserve">Positive impact.</w:t>
      </w:r>
      <w:r>
        <w:rPr>
          <w:sz w:val="21"/>
          <w:szCs w:val="21"/>
        </w:rPr>
        <w:t xml:space="preserve"> Confirmed reuse extends service life (D-LXS, §8.8.8), and confirmed recycling feeds RCY Provider flows and D-MAV (§22.4).</w:t>
      </w:r>
    </w:p>
    <w:p w:rsidR="00000000" w:rsidRDefault="00000000" w14:paraId="7E000102">
      <w:pPr>
        <w:pStyle w:val="Heading3"/>
        <w:spacing w:after="100" w:before="200" w:lineRule="auto"/>
        <w:rPr/>
      </w:pPr>
      <w:r>
        <w:rPr>
          <w:b w:val="1"/>
          <w:bCs w:val="1"/>
          <w:color w:val="333333"/>
          <w:sz w:val="21"/>
          <w:szCs w:val="21"/>
        </w:rPr>
        <w:t xml:space="preserve">22.8.3 Harmonization</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103">
            <w:pPr>
              <w:rPr/>
            </w:pPr>
            <w:r>
              <w:rPr>
                <w:b w:val="1"/>
                <w:bCs w:val="1"/>
                <w:color w:val="ffffff"/>
                <w:sz w:val="19"/>
                <w:szCs w:val="19"/>
              </w:rPr>
              <w:t xml:space="preserve">Concern</w:t>
            </w:r>
          </w:p>
        </w:tc>
        <w:tc>
          <w:tcPr>
            <w:tcW w:w="3400" w:type="dxa"/>
            <w:shd w:val="clear" w:color="auto" w:fill="1e7a4c"/>
            <w:tcMar>
              <w:top w:w="80" w:type="dxa"/>
              <w:left w:w="100" w:type="dxa"/>
              <w:bottom w:w="80" w:type="dxa"/>
              <w:right w:w="100" w:type="dxa"/>
            </w:tcMar>
          </w:tcPr>
          <w:p w:rsidR="00000000" w:rsidRDefault="00000000" w14:paraId="7E000104">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105">
            <w:pPr>
              <w:rPr/>
            </w:pPr>
            <w:r>
              <w:rPr>
                <w:b w:val="1"/>
                <w:bCs w:val="1"/>
                <w:color w:val="ffffff"/>
                <w:sz w:val="19"/>
                <w:szCs w:val="19"/>
              </w:rPr>
              <w:t xml:space="preserve">Stardust fields</w:t>
            </w:r>
          </w:p>
        </w:tc>
      </w:tr>
      <w:tr>
        <w:trPr>
          <w:cantSplit/>
        </w:trPr>
        <w:tc>
          <w:tcPr>
            <w:tcW w:w="2600" w:type="dxa"/>
            <w:tcMar>
              <w:top w:w="80" w:type="dxa"/>
              <w:left w:w="100" w:type="dxa"/>
              <w:bottom w:w="80" w:type="dxa"/>
              <w:right w:w="100" w:type="dxa"/>
            </w:tcMar>
          </w:tcPr>
          <w:p w:rsidR="00000000" w:rsidRDefault="00000000" w14:paraId="7E000106">
            <w:pPr>
              <w:rPr/>
            </w:pPr>
            <w:r>
              <w:rPr>
                <w:sz w:val="19"/>
                <w:szCs w:val="19"/>
              </w:rPr>
              <w:t xml:space="preserve">Asset inventory and identity</w:t>
            </w:r>
          </w:p>
        </w:tc>
        <w:tc>
          <w:tcPr>
            <w:tcW w:w="3400" w:type="dxa"/>
            <w:tcMar>
              <w:top w:w="80" w:type="dxa"/>
              <w:left w:w="100" w:type="dxa"/>
              <w:bottom w:w="80" w:type="dxa"/>
              <w:right w:w="100" w:type="dxa"/>
            </w:tcMar>
          </w:tcPr>
          <w:p w:rsidR="00000000" w:rsidRDefault="00000000" w14:paraId="7E000107">
            <w:pPr>
              <w:rPr/>
            </w:pPr>
            <w:r>
              <w:rPr>
                <w:sz w:val="19"/>
                <w:szCs w:val="19"/>
              </w:rPr>
              <w:t xml:space="preserve">DMTF Redfish; OTel host.* resource attributes</w:t>
            </w:r>
          </w:p>
        </w:tc>
        <w:tc>
          <w:tcPr>
            <w:tcW w:w="3600" w:type="dxa"/>
            <w:tcMar>
              <w:top w:w="80" w:type="dxa"/>
              <w:left w:w="100" w:type="dxa"/>
              <w:bottom w:w="80" w:type="dxa"/>
              <w:right w:w="100" w:type="dxa"/>
            </w:tcMar>
          </w:tcPr>
          <w:p w:rsidR="00000000" w:rsidRDefault="00000000" w14:paraId="7E000108">
            <w:pPr>
              <w:rPr/>
            </w:pPr>
            <w:r>
              <w:rPr>
                <w:sz w:val="19"/>
                <w:szCs w:val="19"/>
              </w:rPr>
              <w:t xml:space="preserve">AID</w:t>
            </w:r>
          </w:p>
        </w:tc>
      </w:tr>
      <w:tr>
        <w:trPr>
          <w:cantSplit/>
        </w:trPr>
        <w:tc>
          <w:tcPr>
            <w:tcW w:w="2600" w:type="dxa"/>
            <w:tcMar>
              <w:top w:w="80" w:type="dxa"/>
              <w:left w:w="100" w:type="dxa"/>
              <w:bottom w:w="80" w:type="dxa"/>
              <w:right w:w="100" w:type="dxa"/>
            </w:tcMar>
          </w:tcPr>
          <w:p w:rsidR="00000000" w:rsidRDefault="00000000" w14:paraId="7E000109">
            <w:pPr>
              <w:rPr/>
            </w:pPr>
            <w:r>
              <w:rPr>
                <w:sz w:val="19"/>
                <w:szCs w:val="19"/>
              </w:rPr>
              <w:t xml:space="preserve">Material content</w:t>
            </w:r>
          </w:p>
        </w:tc>
        <w:tc>
          <w:tcPr>
            <w:tcW w:w="3400" w:type="dxa"/>
            <w:tcMar>
              <w:top w:w="80" w:type="dxa"/>
              <w:left w:w="100" w:type="dxa"/>
              <w:bottom w:w="80" w:type="dxa"/>
              <w:right w:w="100" w:type="dxa"/>
            </w:tcMar>
          </w:tcPr>
          <w:p w:rsidR="00000000" w:rsidRDefault="00000000" w14:paraId="7E00010A">
            <w:pPr>
              <w:rPr/>
            </w:pPr>
            <w:r>
              <w:rPr>
                <w:sz w:val="19"/>
                <w:szCs w:val="19"/>
              </w:rPr>
              <w:t xml:space="preserve">IEC 62474 material declarations</w:t>
            </w:r>
          </w:p>
        </w:tc>
        <w:tc>
          <w:tcPr>
            <w:tcW w:w="3600" w:type="dxa"/>
            <w:tcMar>
              <w:top w:w="80" w:type="dxa"/>
              <w:left w:w="100" w:type="dxa"/>
              <w:bottom w:w="80" w:type="dxa"/>
              <w:right w:w="100" w:type="dxa"/>
            </w:tcMar>
          </w:tcPr>
          <w:p w:rsidR="00000000" w:rsidRDefault="00000000" w14:paraId="7E00010B">
            <w:pPr>
              <w:rPr/>
            </w:pPr>
            <w:r>
              <w:rPr>
                <w:sz w:val="19"/>
                <w:szCs w:val="19"/>
              </w:rPr>
              <w:t xml:space="preserve">MAT (§8.8.8)</w:t>
            </w:r>
          </w:p>
        </w:tc>
      </w:tr>
      <w:tr>
        <w:trPr>
          <w:cantSplit/>
        </w:trPr>
        <w:tc>
          <w:tcPr>
            <w:tcW w:w="2600" w:type="dxa"/>
            <w:tcMar>
              <w:top w:w="80" w:type="dxa"/>
              <w:left w:w="100" w:type="dxa"/>
              <w:bottom w:w="80" w:type="dxa"/>
              <w:right w:w="100" w:type="dxa"/>
            </w:tcMar>
          </w:tcPr>
          <w:p w:rsidR="00000000" w:rsidRDefault="00000000" w14:paraId="7E00010C">
            <w:pPr>
              <w:rPr/>
            </w:pPr>
            <w:r>
              <w:rPr>
                <w:sz w:val="19"/>
                <w:szCs w:val="19"/>
              </w:rPr>
              <w:t xml:space="preserve">Circularity measurement</w:t>
            </w:r>
          </w:p>
        </w:tc>
        <w:tc>
          <w:tcPr>
            <w:tcW w:w="3400" w:type="dxa"/>
            <w:tcMar>
              <w:top w:w="80" w:type="dxa"/>
              <w:left w:w="100" w:type="dxa"/>
              <w:bottom w:w="80" w:type="dxa"/>
              <w:right w:w="100" w:type="dxa"/>
            </w:tcMar>
          </w:tcPr>
          <w:p w:rsidR="00000000" w:rsidRDefault="00000000" w14:paraId="7E00010D">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10E">
            <w:pPr>
              <w:rPr/>
            </w:pPr>
            <w:r>
              <w:rPr>
                <w:sz w:val="19"/>
                <w:szCs w:val="19"/>
              </w:rPr>
              <w:t xml:space="preserve">D-CIR</w:t>
            </w:r>
          </w:p>
        </w:tc>
      </w:tr>
      <w:tr>
        <w:trPr>
          <w:cantSplit/>
        </w:trPr>
        <w:tc>
          <w:tcPr>
            <w:tcW w:w="2600" w:type="dxa"/>
            <w:tcMar>
              <w:top w:w="80" w:type="dxa"/>
              <w:left w:w="100" w:type="dxa"/>
              <w:bottom w:w="80" w:type="dxa"/>
              <w:right w:w="100" w:type="dxa"/>
            </w:tcMar>
          </w:tcPr>
          <w:p w:rsidR="00000000" w:rsidRDefault="00000000" w14:paraId="7E00010F">
            <w:pPr>
              <w:rPr/>
            </w:pPr>
            <w:r>
              <w:rPr>
                <w:sz w:val="19"/>
                <w:szCs w:val="19"/>
              </w:rPr>
              <w:t xml:space="preserve">Recycler assurance</w:t>
            </w:r>
          </w:p>
        </w:tc>
        <w:tc>
          <w:tcPr>
            <w:tcW w:w="3400" w:type="dxa"/>
            <w:tcMar>
              <w:top w:w="80" w:type="dxa"/>
              <w:left w:w="100" w:type="dxa"/>
              <w:bottom w:w="80" w:type="dxa"/>
              <w:right w:w="100" w:type="dxa"/>
            </w:tcMar>
          </w:tcPr>
          <w:p w:rsidR="00000000" w:rsidRDefault="00000000" w14:paraId="7E000110">
            <w:pPr>
              <w:rPr/>
            </w:pPr>
            <w:r>
              <w:rPr>
                <w:sz w:val="19"/>
                <w:szCs w:val="19"/>
              </w:rPr>
              <w:t xml:space="preserve">R2 and e-Stewards certification (§22.4)</w:t>
            </w:r>
          </w:p>
        </w:tc>
        <w:tc>
          <w:tcPr>
            <w:tcW w:w="3600" w:type="dxa"/>
            <w:tcMar>
              <w:top w:w="80" w:type="dxa"/>
              <w:left w:w="100" w:type="dxa"/>
              <w:bottom w:w="80" w:type="dxa"/>
              <w:right w:w="100" w:type="dxa"/>
            </w:tcMar>
          </w:tcPr>
          <w:p w:rsidR="00000000" w:rsidRDefault="00000000" w14:paraId="7E000111">
            <w:pPr>
              <w:rPr/>
            </w:pPr>
            <w:r>
              <w:rPr>
                <w:sz w:val="19"/>
                <w:szCs w:val="19"/>
              </w:rPr>
              <w:t xml:space="preserve">RCS, COC, PRV</w:t>
            </w:r>
          </w:p>
        </w:tc>
      </w:tr>
      <w:tr>
        <w:trPr>
          <w:cantSplit/>
        </w:trPr>
        <w:tc>
          <w:tcPr>
            <w:tcW w:w="2600" w:type="dxa"/>
            <w:tcMar>
              <w:top w:w="80" w:type="dxa"/>
              <w:left w:w="100" w:type="dxa"/>
              <w:bottom w:w="80" w:type="dxa"/>
              <w:right w:w="100" w:type="dxa"/>
            </w:tcMar>
          </w:tcPr>
          <w:p w:rsidR="00000000" w:rsidRDefault="00000000" w14:paraId="7E000112">
            <w:pPr>
              <w:rPr/>
            </w:pPr>
            <w:r>
              <w:rPr>
                <w:sz w:val="19"/>
                <w:szCs w:val="19"/>
              </w:rPr>
              <w:t xml:space="preserve">Product data carrier</w:t>
            </w:r>
          </w:p>
        </w:tc>
        <w:tc>
          <w:tcPr>
            <w:tcW w:w="3400" w:type="dxa"/>
            <w:tcMar>
              <w:top w:w="80" w:type="dxa"/>
              <w:left w:w="100" w:type="dxa"/>
              <w:bottom w:w="80" w:type="dxa"/>
              <w:right w:w="100" w:type="dxa"/>
            </w:tcMar>
          </w:tcPr>
          <w:p w:rsidR="00000000" w:rsidRDefault="00000000" w14:paraId="7E000113">
            <w:pPr>
              <w:rPr/>
            </w:pPr>
            <w:r>
              <w:rPr>
                <w:sz w:val="19"/>
                <w:szCs w:val="19"/>
              </w:rPr>
              <w:t xml:space="preserve">EU Ecodesign for Sustainable Products Regulation, Digital Product Passport</w:t>
            </w:r>
          </w:p>
        </w:tc>
        <w:tc>
          <w:tcPr>
            <w:tcW w:w="3600" w:type="dxa"/>
            <w:tcMar>
              <w:top w:w="80" w:type="dxa"/>
              <w:left w:w="100" w:type="dxa"/>
              <w:bottom w:w="80" w:type="dxa"/>
              <w:right w:w="100" w:type="dxa"/>
            </w:tcMar>
          </w:tcPr>
          <w:p w:rsidR="00000000" w:rsidRDefault="00000000" w14:paraId="7E000114">
            <w:pPr>
              <w:rPr/>
            </w:pPr>
            <w:r>
              <w:rPr>
                <w:sz w:val="19"/>
                <w:szCs w:val="19"/>
              </w:rPr>
              <w:t xml:space="preserve">Future mapping of AID and lifecycle records</w:t>
            </w:r>
          </w:p>
        </w:tc>
      </w:tr>
    </w:tbl>
    <w:p w:rsidR="00000000" w:rsidRDefault="00000000" w14:paraId="7E000115">
      <w:pPr>
        <w:spacing w:after="120"/>
        <w:rPr/>
      </w:pPr>
    </w:p>
    <w:p w:rsidR="00000000" w:rsidRDefault="00000000" w14:paraId="6B00001B">
      <w:pPr>
        <w:pStyle w:val="Heading1"/>
        <w:spacing w:after="160" w:before="360" w:lineRule="auto"/>
        <w:rPr/>
      </w:pPr>
      <w:r>
        <w:rPr>
          <w:b w:val="1"/>
          <w:bCs w:val="1"/>
          <w:color w:val="0f4a2e"/>
          <w:sz w:val="30"/>
          <w:szCs w:val="30"/>
        </w:rPr>
        <w:t xml:space="preserve">23. MCP Interface Specification</w:t>
      </w:r>
    </w:p>
    <w:p w:rsidR="00000000" w:rsidRDefault="00000000" w14:paraId="6B00001C">
      <w:pPr>
        <w:spacing w:after="140" w:lineRule="auto"/>
        <w:rPr/>
      </w:pPr>
      <w:r>
        <w:rPr>
          <w:sz w:val="21"/>
          <w:szCs w:val="21"/>
        </w:rPr>
        <w:t xml:space="preserve">This section specifies Stardust’s Model Context Protocol (MCP) interface under the rule in §9.5: MCP is for questions and light updates, never for telemetry capture or transactions. It follows the published MCP specification (remote servers over Streamable HTTP, OAuth-based authorization, tool annotations and structured tool output), with the protocol revision pinned in versioned configuration (§8.4).</w:t>
      </w:r>
    </w:p>
    <w:p w:rsidR="00000000" w:rsidRDefault="00000000" w14:paraId="6B00001D">
      <w:pPr>
        <w:pStyle w:val="Heading2"/>
        <w:spacing w:after="120" w:before="280" w:lineRule="auto"/>
        <w:rPr/>
      </w:pPr>
      <w:r>
        <w:rPr>
          <w:b w:val="1"/>
          <w:bCs w:val="1"/>
          <w:color w:val="1e7a4c"/>
          <w:sz w:val="24"/>
          <w:szCs w:val="24"/>
        </w:rPr>
        <w:t xml:space="preserve">23.1 Principles</w:t>
      </w:r>
    </w:p>
    <w:p w:rsidR="00000000" w:rsidRDefault="00000000" w14:paraId="6B00001E">
      <w:pPr>
        <w:numPr>
          <w:ilvl w:val="0"/>
          <w:numId w:val="1"/>
        </w:numPr>
        <w:spacing w:after="60" w:before="0" w:line="240" w:lineRule="auto"/>
        <w:ind w:left="720" w:right="0" w:hanging="360"/>
        <w:rPr/>
      </w:pPr>
      <w:r>
        <w:rPr>
          <w:b w:val="1"/>
          <w:bCs w:val="1"/>
          <w:sz w:val="21"/>
          <w:szCs w:val="21"/>
        </w:rPr>
        <w:t xml:space="preserve">Same numbers everywhere.</w:t>
      </w:r>
      <w:r>
        <w:rPr>
          <w:sz w:val="21"/>
          <w:szCs w:val="21"/>
        </w:rPr>
        <w:t xml:space="preserve"> Tool results reuse the field codes of this specification and the OpenTelemetry names in §11.5, so an answer in chat matches the dashboard exactly.</w:t>
      </w:r>
    </w:p>
    <w:p w:rsidR="00000000" w:rsidRDefault="00000000" w14:paraId="6B00001F">
      <w:pPr>
        <w:numPr>
          <w:ilvl w:val="0"/>
          <w:numId w:val="1"/>
        </w:numPr>
        <w:spacing w:after="60" w:before="0" w:line="240" w:lineRule="auto"/>
        <w:ind w:left="720" w:right="0" w:hanging="360"/>
        <w:rPr/>
      </w:pPr>
      <w:r>
        <w:rPr>
          <w:b w:val="1"/>
          <w:bCs w:val="1"/>
          <w:sz w:val="21"/>
          <w:szCs w:val="21"/>
        </w:rPr>
        <w:t xml:space="preserve">Least privilege.</w:t>
      </w:r>
      <w:r>
        <w:rPr>
          <w:sz w:val="21"/>
          <w:szCs w:val="21"/>
        </w:rPr>
        <w:t xml:space="preserve"> Separate servers per audience, each with its own OAuth scopes, and read-only unless a write is essential.</w:t>
      </w:r>
    </w:p>
    <w:p w:rsidR="00000000" w:rsidRDefault="00000000" w14:paraId="6B000020">
      <w:pPr>
        <w:numPr>
          <w:ilvl w:val="0"/>
          <w:numId w:val="1"/>
        </w:numPr>
        <w:spacing w:after="60" w:before="0" w:line="240" w:lineRule="auto"/>
        <w:ind w:left="720" w:right="0" w:hanging="360"/>
        <w:rPr/>
      </w:pPr>
      <w:r>
        <w:rPr>
          <w:b w:val="1"/>
          <w:bCs w:val="1"/>
          <w:sz w:val="21"/>
          <w:szCs w:val="21"/>
        </w:rPr>
        <w:t xml:space="preserve">No transactions.</w:t>
      </w:r>
      <w:r>
        <w:rPr>
          <w:sz w:val="21"/>
          <w:szCs w:val="21"/>
        </w:rPr>
        <w:t xml:space="preserve"> Credit purchases and retirements happen only through the dashboard or REST API. quote_credits returns quotes and a link to act on them.</w:t>
      </w:r>
    </w:p>
    <w:p w:rsidR="00000000" w:rsidRDefault="00000000" w14:paraId="6B000021">
      <w:pPr>
        <w:numPr>
          <w:ilvl w:val="0"/>
          <w:numId w:val="1"/>
        </w:numPr>
        <w:spacing w:after="60" w:before="0" w:line="240" w:lineRule="auto"/>
        <w:ind w:left="720" w:right="0" w:hanging="360"/>
        <w:rPr/>
      </w:pPr>
      <w:r>
        <w:rPr>
          <w:b w:val="1"/>
          <w:bCs w:val="1"/>
          <w:sz w:val="21"/>
          <w:szCs w:val="21"/>
        </w:rPr>
        <w:t xml:space="preserve">Privacy.</w:t>
      </w:r>
      <w:r>
        <w:rPr>
          <w:sz w:val="21"/>
          <w:szCs w:val="21"/>
        </w:rPr>
        <w:t xml:space="preserve"> No tool ever returns prompt or response content; results are metadata and aggregates only (§14.1).</w:t>
      </w:r>
    </w:p>
    <w:p w:rsidR="00000000" w:rsidRDefault="00000000" w14:paraId="6B000022">
      <w:pPr>
        <w:pStyle w:val="Heading2"/>
        <w:spacing w:after="120" w:before="280" w:lineRule="auto"/>
        <w:rPr/>
      </w:pPr>
      <w:r>
        <w:rPr>
          <w:b w:val="1"/>
          <w:bCs w:val="1"/>
          <w:color w:val="1e7a4c"/>
          <w:sz w:val="24"/>
          <w:szCs w:val="24"/>
        </w:rPr>
        <w:t xml:space="preserve">23.2 Servers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2800"/>
        <w:gridCol w:w="1800"/>
        <w:gridCol w:w="2600"/>
      </w:tblGrid>
      <w:tr>
        <w:trPr>
          <w:tblHeader/>
        </w:trPr>
        <w:tc>
          <w:tcPr>
            <w:tcW w:w="2400" w:type="dxa"/>
            <w:shd w:val="clear" w:color="auto" w:fill="1e7a4c"/>
            <w:tcMar>
              <w:top w:w="80" w:type="dxa"/>
              <w:left w:w="100" w:type="dxa"/>
              <w:bottom w:w="80" w:type="dxa"/>
              <w:right w:w="100" w:type="dxa"/>
            </w:tcMar>
          </w:tcPr>
          <w:p w:rsidR="00000000" w:rsidRDefault="00000000" w14:paraId="6B000023">
            <w:pPr>
              <w:rPr/>
            </w:pPr>
            <w:r>
              <w:rPr>
                <w:b w:val="1"/>
                <w:bCs w:val="1"/>
                <w:color w:val="ffffff"/>
                <w:sz w:val="19"/>
                <w:szCs w:val="19"/>
              </w:rPr>
              <w:t xml:space="preserve">Server</w:t>
            </w:r>
          </w:p>
        </w:tc>
        <w:tc>
          <w:tcPr>
            <w:tcW w:w="2800" w:type="dxa"/>
            <w:shd w:val="clear" w:color="auto" w:fill="1e7a4c"/>
            <w:tcMar>
              <w:top w:w="80" w:type="dxa"/>
              <w:left w:w="100" w:type="dxa"/>
              <w:bottom w:w="80" w:type="dxa"/>
              <w:right w:w="100" w:type="dxa"/>
            </w:tcMar>
          </w:tcPr>
          <w:p w:rsidR="00000000" w:rsidRDefault="00000000" w14:paraId="6B000024">
            <w:pPr>
              <w:rPr/>
            </w:pPr>
            <w:r>
              <w:rPr>
                <w:b w:val="1"/>
                <w:bCs w:val="1"/>
                <w:color w:val="ffffff"/>
                <w:sz w:val="19"/>
                <w:szCs w:val="19"/>
              </w:rPr>
              <w:t xml:space="preserve">Audience</w:t>
            </w:r>
          </w:p>
        </w:tc>
        <w:tc>
          <w:tcPr>
            <w:tcW w:w="1800" w:type="dxa"/>
            <w:shd w:val="clear" w:color="auto" w:fill="1e7a4c"/>
            <w:tcMar>
              <w:top w:w="80" w:type="dxa"/>
              <w:left w:w="100" w:type="dxa"/>
              <w:bottom w:w="80" w:type="dxa"/>
              <w:right w:w="100" w:type="dxa"/>
            </w:tcMar>
          </w:tcPr>
          <w:p w:rsidR="00000000" w:rsidRDefault="00000000" w14:paraId="6B000025">
            <w:pPr>
              <w:rPr/>
            </w:pPr>
            <w:r>
              <w:rPr>
                <w:b w:val="1"/>
                <w:bCs w:val="1"/>
                <w:color w:val="ffffff"/>
                <w:sz w:val="19"/>
                <w:szCs w:val="19"/>
              </w:rPr>
              <w:t xml:space="preserve">Access</w:t>
            </w:r>
          </w:p>
        </w:tc>
        <w:tc>
          <w:tcPr>
            <w:tcW w:w="2600" w:type="dxa"/>
            <w:shd w:val="clear" w:color="auto" w:fill="1e7a4c"/>
            <w:tcMar>
              <w:top w:w="80" w:type="dxa"/>
              <w:left w:w="100" w:type="dxa"/>
              <w:bottom w:w="80" w:type="dxa"/>
              <w:right w:w="100" w:type="dxa"/>
            </w:tcMar>
          </w:tcPr>
          <w:p w:rsidR="00000000" w:rsidRDefault="00000000" w14:paraId="6B000026">
            <w:pPr>
              <w:rPr/>
            </w:pPr>
            <w:r>
              <w:rPr>
                <w:b w:val="1"/>
                <w:bCs w:val="1"/>
                <w:color w:val="ffffff"/>
                <w:sz w:val="19"/>
                <w:szCs w:val="19"/>
              </w:rPr>
              <w:t xml:space="preserve">Distribution</w:t>
            </w:r>
          </w:p>
        </w:tc>
      </w:tr>
      <w:tr>
        <w:trPr>
          <w:cantSplit/>
        </w:trPr>
        <w:tc>
          <w:tcPr>
            <w:tcW w:w="2400" w:type="dxa"/>
            <w:tcMar>
              <w:top w:w="80" w:type="dxa"/>
              <w:left w:w="100" w:type="dxa"/>
              <w:bottom w:w="80" w:type="dxa"/>
              <w:right w:w="100" w:type="dxa"/>
            </w:tcMar>
          </w:tcPr>
          <w:p w:rsidR="00000000" w:rsidRDefault="00000000" w14:paraId="6B000027">
            <w:pPr>
              <w:rPr/>
            </w:pPr>
            <w:r>
              <w:rPr>
                <w:sz w:val="19"/>
                <w:szCs w:val="19"/>
              </w:rPr>
              <w:t xml:space="preserve">Subscriber reporting</w:t>
            </w:r>
          </w:p>
        </w:tc>
        <w:tc>
          <w:tcPr>
            <w:tcW w:w="2800" w:type="dxa"/>
            <w:tcMar>
              <w:top w:w="80" w:type="dxa"/>
              <w:left w:w="100" w:type="dxa"/>
              <w:bottom w:w="80" w:type="dxa"/>
              <w:right w:w="100" w:type="dxa"/>
            </w:tcMar>
          </w:tcPr>
          <w:p w:rsidR="00000000" w:rsidRDefault="00000000" w14:paraId="6B000028">
            <w:pPr>
              <w:rPr/>
            </w:pPr>
            <w:r>
              <w:rPr>
                <w:sz w:val="19"/>
                <w:szCs w:val="19"/>
              </w:rPr>
              <w:t xml:space="preserve">Individuals, teams and organization admins</w:t>
            </w:r>
          </w:p>
        </w:tc>
        <w:tc>
          <w:tcPr>
            <w:tcW w:w="1800" w:type="dxa"/>
            <w:tcMar>
              <w:top w:w="80" w:type="dxa"/>
              <w:left w:w="100" w:type="dxa"/>
              <w:bottom w:w="80" w:type="dxa"/>
              <w:right w:w="100" w:type="dxa"/>
            </w:tcMar>
          </w:tcPr>
          <w:p w:rsidR="00000000" w:rsidRDefault="00000000" w14:paraId="6B000029">
            <w:pPr>
              <w:rPr/>
            </w:pPr>
            <w:r>
              <w:rPr>
                <w:sz w:val="19"/>
                <w:szCs w:val="19"/>
              </w:rPr>
              <w:t xml:space="preserve">Read-only</w:t>
            </w:r>
          </w:p>
        </w:tc>
        <w:tc>
          <w:tcPr>
            <w:tcW w:w="2600" w:type="dxa"/>
            <w:tcMar>
              <w:top w:w="80" w:type="dxa"/>
              <w:left w:w="100" w:type="dxa"/>
              <w:bottom w:w="80" w:type="dxa"/>
              <w:right w:w="100" w:type="dxa"/>
            </w:tcMar>
          </w:tcPr>
          <w:p w:rsidR="00000000" w:rsidRDefault="00000000" w14:paraId="6B00002A">
            <w:pPr>
              <w:rPr/>
            </w:pPr>
            <w:r>
              <w:rPr>
                <w:sz w:val="19"/>
                <w:szCs w:val="19"/>
              </w:rPr>
              <w:t xml:space="preserve">Eligible for connector directories</w:t>
            </w:r>
          </w:p>
        </w:tc>
      </w:tr>
      <w:tr>
        <w:trPr>
          <w:cantSplit/>
        </w:trPr>
        <w:tc>
          <w:tcPr>
            <w:tcW w:w="2400" w:type="dxa"/>
            <w:tcMar>
              <w:top w:w="80" w:type="dxa"/>
              <w:left w:w="100" w:type="dxa"/>
              <w:bottom w:w="80" w:type="dxa"/>
              <w:right w:w="100" w:type="dxa"/>
            </w:tcMar>
          </w:tcPr>
          <w:p w:rsidR="00000000" w:rsidRDefault="00000000" w14:paraId="6B00002B">
            <w:pPr>
              <w:rPr/>
            </w:pPr>
            <w:r>
              <w:rPr>
                <w:sz w:val="19"/>
                <w:szCs w:val="19"/>
              </w:rPr>
              <w:t xml:space="preserve">Provider insights</w:t>
            </w:r>
          </w:p>
        </w:tc>
        <w:tc>
          <w:tcPr>
            <w:tcW w:w="2800" w:type="dxa"/>
            <w:tcMar>
              <w:top w:w="80" w:type="dxa"/>
              <w:left w:w="100" w:type="dxa"/>
              <w:bottom w:w="80" w:type="dxa"/>
              <w:right w:w="100" w:type="dxa"/>
            </w:tcMar>
          </w:tcPr>
          <w:p w:rsidR="00000000" w:rsidRDefault="00000000" w14:paraId="6B00002C">
            <w:pPr>
              <w:rPr/>
            </w:pPr>
            <w:r>
              <w:rPr>
                <w:sz w:val="19"/>
                <w:szCs w:val="19"/>
              </w:rPr>
              <w:t xml:space="preserve">Registered Providers</w:t>
            </w:r>
          </w:p>
        </w:tc>
        <w:tc>
          <w:tcPr>
            <w:tcW w:w="1800" w:type="dxa"/>
            <w:tcMar>
              <w:top w:w="80" w:type="dxa"/>
              <w:left w:w="100" w:type="dxa"/>
              <w:bottom w:w="80" w:type="dxa"/>
              <w:right w:w="100" w:type="dxa"/>
            </w:tcMar>
          </w:tcPr>
          <w:p w:rsidR="00000000" w:rsidRDefault="00000000" w14:paraId="6B00002D">
            <w:pPr>
              <w:rPr/>
            </w:pPr>
            <w:r>
              <w:rPr>
                <w:sz w:val="19"/>
                <w:szCs w:val="19"/>
              </w:rPr>
              <w:t xml:space="preserve">Read-only</w:t>
            </w:r>
          </w:p>
        </w:tc>
        <w:tc>
          <w:tcPr>
            <w:tcW w:w="2600" w:type="dxa"/>
            <w:tcMar>
              <w:top w:w="80" w:type="dxa"/>
              <w:left w:w="100" w:type="dxa"/>
              <w:bottom w:w="80" w:type="dxa"/>
              <w:right w:w="100" w:type="dxa"/>
            </w:tcMar>
          </w:tcPr>
          <w:p w:rsidR="00000000" w:rsidRDefault="00000000" w14:paraId="6B00002E">
            <w:pPr>
              <w:rPr/>
            </w:pPr>
            <w:r>
              <w:rPr>
                <w:sz w:val="19"/>
                <w:szCs w:val="19"/>
              </w:rPr>
              <w:t xml:space="preserve">Partner distribution</w:t>
            </w:r>
          </w:p>
        </w:tc>
      </w:tr>
      <w:tr>
        <w:trPr>
          <w:cantSplit/>
        </w:trPr>
        <w:tc>
          <w:tcPr>
            <w:tcW w:w="2400" w:type="dxa"/>
            <w:tcMar>
              <w:top w:w="80" w:type="dxa"/>
              <w:left w:w="100" w:type="dxa"/>
              <w:bottom w:w="80" w:type="dxa"/>
              <w:right w:w="100" w:type="dxa"/>
            </w:tcMar>
          </w:tcPr>
          <w:p w:rsidR="00000000" w:rsidRDefault="00000000" w14:paraId="6B00002F">
            <w:pPr>
              <w:rPr/>
            </w:pPr>
            <w:r>
              <w:rPr>
                <w:sz w:val="19"/>
                <w:szCs w:val="19"/>
              </w:rPr>
              <w:t xml:space="preserve">Operator lifecycle</w:t>
            </w:r>
          </w:p>
        </w:tc>
        <w:tc>
          <w:tcPr>
            <w:tcW w:w="2800" w:type="dxa"/>
            <w:tcMar>
              <w:top w:w="80" w:type="dxa"/>
              <w:left w:w="100" w:type="dxa"/>
              <w:bottom w:w="80" w:type="dxa"/>
              <w:right w:w="100" w:type="dxa"/>
            </w:tcMar>
          </w:tcPr>
          <w:p w:rsidR="00000000" w:rsidRDefault="00000000" w14:paraId="6B000030">
            <w:pPr>
              <w:rPr/>
            </w:pPr>
            <w:r>
              <w:rPr>
                <w:sz w:val="19"/>
                <w:szCs w:val="19"/>
              </w:rPr>
              <w:t xml:space="preserve">AI infrastructure operators</w:t>
            </w:r>
          </w:p>
        </w:tc>
        <w:tc>
          <w:tcPr>
            <w:tcW w:w="1800" w:type="dxa"/>
            <w:tcMar>
              <w:top w:w="80" w:type="dxa"/>
              <w:left w:w="100" w:type="dxa"/>
              <w:bottom w:w="80" w:type="dxa"/>
              <w:right w:w="100" w:type="dxa"/>
            </w:tcMar>
          </w:tcPr>
          <w:p w:rsidR="00000000" w:rsidRDefault="00000000" w14:paraId="6B000031">
            <w:pPr>
              <w:rPr/>
            </w:pPr>
            <w:r>
              <w:rPr>
                <w:sz w:val="19"/>
                <w:szCs w:val="19"/>
              </w:rPr>
              <w:t xml:space="preserve">Read plus confirmed writes</w:t>
            </w:r>
          </w:p>
        </w:tc>
        <w:tc>
          <w:tcPr>
            <w:tcW w:w="2600" w:type="dxa"/>
            <w:tcMar>
              <w:top w:w="80" w:type="dxa"/>
              <w:left w:w="100" w:type="dxa"/>
              <w:bottom w:w="80" w:type="dxa"/>
              <w:right w:w="100" w:type="dxa"/>
            </w:tcMar>
          </w:tcPr>
          <w:p w:rsidR="00000000" w:rsidRDefault="00000000" w14:paraId="6B000032">
            <w:pPr>
              <w:rPr/>
            </w:pPr>
            <w:r>
              <w:rPr>
                <w:sz w:val="19"/>
                <w:szCs w:val="19"/>
              </w:rPr>
              <w:t xml:space="preserve">Private or enterprise distribution only; never directory-listed</w:t>
            </w:r>
          </w:p>
        </w:tc>
      </w:tr>
    </w:tbl>
    <w:p w:rsidR="00000000" w:rsidRDefault="00000000" w14:paraId="6B000033">
      <w:pPr>
        <w:spacing w:after="120"/>
        <w:rPr/>
      </w:pPr>
    </w:p>
    <w:p w:rsidR="00000000" w:rsidRDefault="00000000" w14:paraId="6B000034">
      <w:pPr>
        <w:pStyle w:val="Heading2"/>
        <w:spacing w:after="120" w:before="280" w:lineRule="auto"/>
        <w:rPr/>
      </w:pPr>
      <w:r>
        <w:rPr>
          <w:b w:val="1"/>
          <w:bCs w:val="1"/>
          <w:color w:val="1e7a4c"/>
          <w:sz w:val="24"/>
          <w:szCs w:val="24"/>
        </w:rPr>
        <w:t xml:space="preserve">23.3 Subscriber Reporting Tools</w:t>
      </w:r>
    </w:p>
    <w:p w:rsidR="00000000" w:rsidRDefault="00000000" w14:paraId="6B000035">
      <w:pPr>
        <w:spacing w:after="140" w:lineRule="auto"/>
        <w:rPr/>
      </w:pPr>
      <w:r>
        <w:rPr>
          <w:sz w:val="21"/>
          <w:szCs w:val="21"/>
        </w:rPr>
        <w:t xml:space="preserve">All tools are annotated readOnlyHint: true.</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000"/>
        <w:gridCol w:w="2000"/>
        <w:gridCol w:w="2000"/>
      </w:tblGrid>
      <w:tr>
        <w:trPr>
          <w:tblHeader/>
        </w:trPr>
        <w:tc>
          <w:tcPr>
            <w:tcW w:w="2600" w:type="dxa"/>
            <w:shd w:val="clear" w:color="auto" w:fill="1e7a4c"/>
            <w:tcMar>
              <w:top w:w="80" w:type="dxa"/>
              <w:left w:w="100" w:type="dxa"/>
              <w:bottom w:w="80" w:type="dxa"/>
              <w:right w:w="100" w:type="dxa"/>
            </w:tcMar>
          </w:tcPr>
          <w:p w:rsidR="00000000" w:rsidRDefault="00000000" w14:paraId="6B000036">
            <w:pPr>
              <w:rPr/>
            </w:pPr>
            <w:r>
              <w:rPr>
                <w:b w:val="1"/>
                <w:bCs w:val="1"/>
                <w:color w:val="ffffff"/>
                <w:sz w:val="19"/>
                <w:szCs w:val="19"/>
              </w:rPr>
              <w:t xml:space="preserve">Tool</w:t>
            </w:r>
          </w:p>
        </w:tc>
        <w:tc>
          <w:tcPr>
            <w:tcW w:w="3000" w:type="dxa"/>
            <w:shd w:val="clear" w:color="auto" w:fill="1e7a4c"/>
            <w:tcMar>
              <w:top w:w="80" w:type="dxa"/>
              <w:left w:w="100" w:type="dxa"/>
              <w:bottom w:w="80" w:type="dxa"/>
              <w:right w:w="100" w:type="dxa"/>
            </w:tcMar>
          </w:tcPr>
          <w:p w:rsidR="00000000" w:rsidRDefault="00000000" w14:paraId="6B000037">
            <w:pPr>
              <w:rPr/>
            </w:pPr>
            <w:r>
              <w:rPr>
                <w:b w:val="1"/>
                <w:bCs w:val="1"/>
                <w:color w:val="ffffff"/>
                <w:sz w:val="19"/>
                <w:szCs w:val="19"/>
              </w:rPr>
              <w:t xml:space="preserve">Purpose</w:t>
            </w:r>
          </w:p>
        </w:tc>
        <w:tc>
          <w:tcPr>
            <w:tcW w:w="2000" w:type="dxa"/>
            <w:shd w:val="clear" w:color="auto" w:fill="1e7a4c"/>
            <w:tcMar>
              <w:top w:w="80" w:type="dxa"/>
              <w:left w:w="100" w:type="dxa"/>
              <w:bottom w:w="80" w:type="dxa"/>
              <w:right w:w="100" w:type="dxa"/>
            </w:tcMar>
          </w:tcPr>
          <w:p w:rsidR="00000000" w:rsidRDefault="00000000" w14:paraId="6B000038">
            <w:pPr>
              <w:rPr/>
            </w:pPr>
            <w:r>
              <w:rPr>
                <w:b w:val="1"/>
                <w:bCs w:val="1"/>
                <w:color w:val="ffffff"/>
                <w:sz w:val="19"/>
                <w:szCs w:val="19"/>
              </w:rPr>
              <w:t xml:space="preserve">Key inputs</w:t>
            </w:r>
          </w:p>
        </w:tc>
        <w:tc>
          <w:tcPr>
            <w:tcW w:w="2000" w:type="dxa"/>
            <w:shd w:val="clear" w:color="auto" w:fill="1e7a4c"/>
            <w:tcMar>
              <w:top w:w="80" w:type="dxa"/>
              <w:left w:w="100" w:type="dxa"/>
              <w:bottom w:w="80" w:type="dxa"/>
              <w:right w:w="100" w:type="dxa"/>
            </w:tcMar>
          </w:tcPr>
          <w:p w:rsidR="00000000" w:rsidRDefault="00000000" w14:paraId="6B000039">
            <w:pPr>
              <w:rPr/>
            </w:pPr>
            <w:r>
              <w:rPr>
                <w:b w:val="1"/>
                <w:bCs w:val="1"/>
                <w:color w:val="ffffff"/>
                <w:sz w:val="19"/>
                <w:szCs w:val="19"/>
              </w:rPr>
              <w:t xml:space="preserve">Returns</w:t>
            </w:r>
          </w:p>
        </w:tc>
      </w:tr>
      <w:tr>
        <w:trPr>
          <w:cantSplit/>
        </w:trPr>
        <w:tc>
          <w:tcPr>
            <w:tcW w:w="2600" w:type="dxa"/>
            <w:tcMar>
              <w:top w:w="80" w:type="dxa"/>
              <w:left w:w="100" w:type="dxa"/>
              <w:bottom w:w="80" w:type="dxa"/>
              <w:right w:w="100" w:type="dxa"/>
            </w:tcMar>
          </w:tcPr>
          <w:p w:rsidR="00000000" w:rsidRDefault="00000000" w14:paraId="6B00003A">
            <w:pPr>
              <w:rPr/>
            </w:pPr>
            <w:r>
              <w:rPr>
                <w:sz w:val="19"/>
                <w:szCs w:val="19"/>
              </w:rPr>
              <w:t xml:space="preserve">get_usage_summary</w:t>
            </w:r>
          </w:p>
        </w:tc>
        <w:tc>
          <w:tcPr>
            <w:tcW w:w="3000" w:type="dxa"/>
            <w:tcMar>
              <w:top w:w="80" w:type="dxa"/>
              <w:left w:w="100" w:type="dxa"/>
              <w:bottom w:w="80" w:type="dxa"/>
              <w:right w:w="100" w:type="dxa"/>
            </w:tcMar>
          </w:tcPr>
          <w:p w:rsidR="00000000" w:rsidRDefault="00000000" w14:paraId="6B00003B">
            <w:pPr>
              <w:rPr/>
            </w:pPr>
            <w:r>
              <w:rPr>
                <w:sz w:val="19"/>
                <w:szCs w:val="19"/>
              </w:rPr>
              <w:t xml:space="preserve">Tokens, requests and cost by period, model, provider or project</w:t>
            </w:r>
          </w:p>
        </w:tc>
        <w:tc>
          <w:tcPr>
            <w:tcW w:w="2000" w:type="dxa"/>
            <w:tcMar>
              <w:top w:w="80" w:type="dxa"/>
              <w:left w:w="100" w:type="dxa"/>
              <w:bottom w:w="80" w:type="dxa"/>
              <w:right w:w="100" w:type="dxa"/>
            </w:tcMar>
          </w:tcPr>
          <w:p w:rsidR="00000000" w:rsidRDefault="00000000" w14:paraId="6B00003C">
            <w:pPr>
              <w:rPr/>
            </w:pPr>
            <w:r>
              <w:rPr>
                <w:sz w:val="19"/>
                <w:szCs w:val="19"/>
              </w:rPr>
              <w:t xml:space="preserve">period, group_by, scope</w:t>
            </w:r>
          </w:p>
        </w:tc>
        <w:tc>
          <w:tcPr>
            <w:tcW w:w="2000" w:type="dxa"/>
            <w:tcMar>
              <w:top w:w="80" w:type="dxa"/>
              <w:left w:w="100" w:type="dxa"/>
              <w:bottom w:w="80" w:type="dxa"/>
              <w:right w:w="100" w:type="dxa"/>
            </w:tcMar>
          </w:tcPr>
          <w:p w:rsidR="00000000" w:rsidRDefault="00000000" w14:paraId="6B00003D">
            <w:pPr>
              <w:rPr/>
            </w:pPr>
            <w:r>
              <w:rPr>
                <w:sz w:val="19"/>
                <w:szCs w:val="19"/>
              </w:rPr>
              <w:t xml:space="preserve">Usage and cost fields (§4)</w:t>
            </w:r>
          </w:p>
        </w:tc>
      </w:tr>
      <w:tr>
        <w:trPr>
          <w:cantSplit/>
        </w:trPr>
        <w:tc>
          <w:tcPr>
            <w:tcW w:w="2600" w:type="dxa"/>
            <w:tcMar>
              <w:top w:w="80" w:type="dxa"/>
              <w:left w:w="100" w:type="dxa"/>
              <w:bottom w:w="80" w:type="dxa"/>
              <w:right w:w="100" w:type="dxa"/>
            </w:tcMar>
          </w:tcPr>
          <w:p w:rsidR="00000000" w:rsidRDefault="00000000" w14:paraId="6B00003E">
            <w:pPr>
              <w:rPr/>
            </w:pPr>
            <w:r>
              <w:rPr>
                <w:sz w:val="19"/>
                <w:szCs w:val="19"/>
              </w:rPr>
              <w:t xml:space="preserve">get_impact_summary</w:t>
            </w:r>
          </w:p>
        </w:tc>
        <w:tc>
          <w:tcPr>
            <w:tcW w:w="3000" w:type="dxa"/>
            <w:tcMar>
              <w:top w:w="80" w:type="dxa"/>
              <w:left w:w="100" w:type="dxa"/>
              <w:bottom w:w="80" w:type="dxa"/>
              <w:right w:w="100" w:type="dxa"/>
            </w:tcMar>
          </w:tcPr>
          <w:p w:rsidR="00000000" w:rsidRDefault="00000000" w14:paraId="6B00003F">
            <w:pPr>
              <w:rPr/>
            </w:pPr>
            <w:r>
              <w:rPr>
                <w:sz w:val="19"/>
                <w:szCs w:val="19"/>
              </w:rPr>
              <w:t xml:space="preserve">Energy, water and lifecycle emissions with the OPE/FAC/TRA/EMB split</w:t>
            </w:r>
          </w:p>
        </w:tc>
        <w:tc>
          <w:tcPr>
            <w:tcW w:w="2000" w:type="dxa"/>
            <w:tcMar>
              <w:top w:w="80" w:type="dxa"/>
              <w:left w:w="100" w:type="dxa"/>
              <w:bottom w:w="80" w:type="dxa"/>
              <w:right w:w="100" w:type="dxa"/>
            </w:tcMar>
          </w:tcPr>
          <w:p w:rsidR="00000000" w:rsidRDefault="00000000" w14:paraId="6B000040">
            <w:pPr>
              <w:rPr/>
            </w:pPr>
            <w:r>
              <w:rPr>
                <w:sz w:val="19"/>
                <w:szCs w:val="19"/>
              </w:rPr>
              <w:t xml:space="preserve">period, scope</w:t>
            </w:r>
          </w:p>
        </w:tc>
        <w:tc>
          <w:tcPr>
            <w:tcW w:w="2000" w:type="dxa"/>
            <w:tcMar>
              <w:top w:w="80" w:type="dxa"/>
              <w:left w:w="100" w:type="dxa"/>
              <w:bottom w:w="80" w:type="dxa"/>
              <w:right w:w="100" w:type="dxa"/>
            </w:tcMar>
          </w:tcPr>
          <w:p w:rsidR="00000000" w:rsidRDefault="00000000" w14:paraId="6B000041">
            <w:pPr>
              <w:rPr/>
            </w:pPr>
            <w:r>
              <w:rPr>
                <w:sz w:val="19"/>
                <w:szCs w:val="19"/>
              </w:rPr>
              <w:t xml:space="preserve">§4.3, §8.8 fields, confidence tags</w:t>
            </w:r>
          </w:p>
        </w:tc>
      </w:tr>
      <w:tr>
        <w:trPr>
          <w:cantSplit/>
        </w:trPr>
        <w:tc>
          <w:tcPr>
            <w:tcW w:w="2600" w:type="dxa"/>
            <w:tcMar>
              <w:top w:w="80" w:type="dxa"/>
              <w:left w:w="100" w:type="dxa"/>
              <w:bottom w:w="80" w:type="dxa"/>
              <w:right w:w="100" w:type="dxa"/>
            </w:tcMar>
          </w:tcPr>
          <w:p w:rsidR="00000000" w:rsidRDefault="00000000" w14:paraId="6B000042">
            <w:pPr>
              <w:rPr/>
            </w:pPr>
            <w:r>
              <w:rPr>
                <w:sz w:val="19"/>
                <w:szCs w:val="19"/>
              </w:rPr>
              <w:t xml:space="preserve">get_right_size_report</w:t>
            </w:r>
          </w:p>
        </w:tc>
        <w:tc>
          <w:tcPr>
            <w:tcW w:w="3000" w:type="dxa"/>
            <w:tcMar>
              <w:top w:w="80" w:type="dxa"/>
              <w:left w:w="100" w:type="dxa"/>
              <w:bottom w:w="80" w:type="dxa"/>
              <w:right w:w="100" w:type="dxa"/>
            </w:tcMar>
          </w:tcPr>
          <w:p w:rsidR="00000000" w:rsidRDefault="00000000" w14:paraId="6B000043">
            <w:pPr>
              <w:rPr/>
            </w:pPr>
            <w:r>
              <w:rPr>
                <w:sz w:val="19"/>
                <w:szCs w:val="19"/>
              </w:rPr>
              <w:t xml:space="preserve">Right-Size Score, sub-scores and efficiency indexes</w:t>
            </w:r>
          </w:p>
        </w:tc>
        <w:tc>
          <w:tcPr>
            <w:tcW w:w="2000" w:type="dxa"/>
            <w:tcMar>
              <w:top w:w="80" w:type="dxa"/>
              <w:left w:w="100" w:type="dxa"/>
              <w:bottom w:w="80" w:type="dxa"/>
              <w:right w:w="100" w:type="dxa"/>
            </w:tcMar>
          </w:tcPr>
          <w:p w:rsidR="00000000" w:rsidRDefault="00000000" w14:paraId="6B000044">
            <w:pPr>
              <w:rPr/>
            </w:pPr>
            <w:r>
              <w:rPr>
                <w:sz w:val="19"/>
                <w:szCs w:val="19"/>
              </w:rPr>
              <w:t xml:space="preserve">scope, period</w:t>
            </w:r>
          </w:p>
        </w:tc>
        <w:tc>
          <w:tcPr>
            <w:tcW w:w="2000" w:type="dxa"/>
            <w:tcMar>
              <w:top w:w="80" w:type="dxa"/>
              <w:left w:w="100" w:type="dxa"/>
              <w:bottom w:w="80" w:type="dxa"/>
              <w:right w:w="100" w:type="dxa"/>
            </w:tcMar>
          </w:tcPr>
          <w:p w:rsidR="00000000" w:rsidRDefault="00000000" w14:paraId="6B000045">
            <w:pPr>
              <w:rPr/>
            </w:pPr>
            <w:r>
              <w:rPr>
                <w:sz w:val="19"/>
                <w:szCs w:val="19"/>
              </w:rPr>
              <w:t xml:space="preserve">D-RSS, D-MFS, D-TES, D-UTS, D-CTS, D-EIC, D-EIE, D-EIG</w:t>
            </w:r>
          </w:p>
        </w:tc>
      </w:tr>
      <w:tr>
        <w:trPr>
          <w:cantSplit/>
        </w:trPr>
        <w:tc>
          <w:tcPr>
            <w:tcW w:w="2600" w:type="dxa"/>
            <w:tcMar>
              <w:top w:w="80" w:type="dxa"/>
              <w:left w:w="100" w:type="dxa"/>
              <w:bottom w:w="80" w:type="dxa"/>
              <w:right w:w="100" w:type="dxa"/>
            </w:tcMar>
          </w:tcPr>
          <w:p w:rsidR="00000000" w:rsidRDefault="00000000" w14:paraId="6B000046">
            <w:pPr>
              <w:rPr/>
            </w:pPr>
            <w:r>
              <w:rPr>
                <w:sz w:val="19"/>
                <w:szCs w:val="19"/>
              </w:rPr>
              <w:t xml:space="preserve">list_recommendations</w:t>
            </w:r>
          </w:p>
        </w:tc>
        <w:tc>
          <w:tcPr>
            <w:tcW w:w="3000" w:type="dxa"/>
            <w:tcMar>
              <w:top w:w="80" w:type="dxa"/>
              <w:left w:w="100" w:type="dxa"/>
              <w:bottom w:w="80" w:type="dxa"/>
              <w:right w:w="100" w:type="dxa"/>
            </w:tcMar>
          </w:tcPr>
          <w:p w:rsidR="00000000" w:rsidRDefault="00000000" w14:paraId="6B000047">
            <w:pPr>
              <w:rPr/>
            </w:pPr>
            <w:r>
              <w:rPr>
                <w:sz w:val="19"/>
                <w:szCs w:val="19"/>
              </w:rPr>
              <w:t xml:space="preserve">Ranked recommendations with projected savings</w:t>
            </w:r>
          </w:p>
        </w:tc>
        <w:tc>
          <w:tcPr>
            <w:tcW w:w="2000" w:type="dxa"/>
            <w:tcMar>
              <w:top w:w="80" w:type="dxa"/>
              <w:left w:w="100" w:type="dxa"/>
              <w:bottom w:w="80" w:type="dxa"/>
              <w:right w:w="100" w:type="dxa"/>
            </w:tcMar>
          </w:tcPr>
          <w:p w:rsidR="00000000" w:rsidRDefault="00000000" w14:paraId="6B000048">
            <w:pPr>
              <w:rPr/>
            </w:pPr>
            <w:r>
              <w:rPr>
                <w:sz w:val="19"/>
                <w:szCs w:val="19"/>
              </w:rPr>
              <w:t xml:space="preserve">scope, min_savings</w:t>
            </w:r>
          </w:p>
        </w:tc>
        <w:tc>
          <w:tcPr>
            <w:tcW w:w="2000" w:type="dxa"/>
            <w:tcMar>
              <w:top w:w="80" w:type="dxa"/>
              <w:left w:w="100" w:type="dxa"/>
              <w:bottom w:w="80" w:type="dxa"/>
              <w:right w:w="100" w:type="dxa"/>
            </w:tcMar>
          </w:tcPr>
          <w:p w:rsidR="00000000" w:rsidRDefault="00000000" w14:paraId="6B000049">
            <w:pPr>
              <w:rPr/>
            </w:pPr>
            <w:r>
              <w:rPr>
                <w:sz w:val="19"/>
                <w:szCs w:val="19"/>
              </w:rPr>
              <w:t xml:space="preserve">§21.5 recommendations, D-SAV, D-LXS</w:t>
            </w:r>
          </w:p>
        </w:tc>
      </w:tr>
      <w:tr>
        <w:trPr>
          <w:cantSplit/>
        </w:trPr>
        <w:tc>
          <w:tcPr>
            <w:tcW w:w="2600" w:type="dxa"/>
            <w:tcMar>
              <w:top w:w="80" w:type="dxa"/>
              <w:left w:w="100" w:type="dxa"/>
              <w:bottom w:w="80" w:type="dxa"/>
              <w:right w:w="100" w:type="dxa"/>
            </w:tcMar>
          </w:tcPr>
          <w:p w:rsidR="00000000" w:rsidRDefault="00000000" w14:paraId="6B00004A">
            <w:pPr>
              <w:rPr/>
            </w:pPr>
            <w:r>
              <w:rPr>
                <w:sz w:val="19"/>
                <w:szCs w:val="19"/>
              </w:rPr>
              <w:t xml:space="preserve">get_load_shift_report</w:t>
            </w:r>
          </w:p>
        </w:tc>
        <w:tc>
          <w:tcPr>
            <w:tcW w:w="3000" w:type="dxa"/>
            <w:tcMar>
              <w:top w:w="80" w:type="dxa"/>
              <w:left w:w="100" w:type="dxa"/>
              <w:bottom w:w="80" w:type="dxa"/>
              <w:right w:w="100" w:type="dxa"/>
            </w:tcMar>
          </w:tcPr>
          <w:p w:rsidR="00000000" w:rsidRDefault="00000000" w14:paraId="6B00004B">
            <w:pPr>
              <w:rPr/>
            </w:pPr>
            <w:r>
              <w:rPr>
                <w:sz w:val="19"/>
                <w:szCs w:val="19"/>
              </w:rPr>
              <w:t xml:space="preserve">Shifted work, savings and missed opportunities</w:t>
            </w:r>
          </w:p>
        </w:tc>
        <w:tc>
          <w:tcPr>
            <w:tcW w:w="2000" w:type="dxa"/>
            <w:tcMar>
              <w:top w:w="80" w:type="dxa"/>
              <w:left w:w="100" w:type="dxa"/>
              <w:bottom w:w="80" w:type="dxa"/>
              <w:right w:w="100" w:type="dxa"/>
            </w:tcMar>
          </w:tcPr>
          <w:p w:rsidR="00000000" w:rsidRDefault="00000000" w14:paraId="6B00004C">
            <w:pPr>
              <w:rPr/>
            </w:pPr>
            <w:r>
              <w:rPr>
                <w:sz w:val="19"/>
                <w:szCs w:val="19"/>
              </w:rPr>
              <w:t xml:space="preserve">period, scope</w:t>
            </w:r>
          </w:p>
        </w:tc>
        <w:tc>
          <w:tcPr>
            <w:tcW w:w="2000" w:type="dxa"/>
            <w:tcMar>
              <w:top w:w="80" w:type="dxa"/>
              <w:left w:w="100" w:type="dxa"/>
              <w:bottom w:w="80" w:type="dxa"/>
              <w:right w:w="100" w:type="dxa"/>
            </w:tcMar>
          </w:tcPr>
          <w:p w:rsidR="00000000" w:rsidRDefault="00000000" w14:paraId="6B00004D">
            <w:pPr>
              <w:rPr/>
            </w:pPr>
            <w:r>
              <w:rPr>
                <w:sz w:val="19"/>
                <w:szCs w:val="19"/>
              </w:rPr>
              <w:t xml:space="preserve">D-LSS, D-LSC, D-CRU, SLK, GSG</w:t>
            </w:r>
          </w:p>
        </w:tc>
      </w:tr>
      <w:tr>
        <w:trPr>
          <w:cantSplit/>
        </w:trPr>
        <w:tc>
          <w:tcPr>
            <w:tcW w:w="2600" w:type="dxa"/>
            <w:tcMar>
              <w:top w:w="80" w:type="dxa"/>
              <w:left w:w="100" w:type="dxa"/>
              <w:bottom w:w="80" w:type="dxa"/>
              <w:right w:w="100" w:type="dxa"/>
            </w:tcMar>
          </w:tcPr>
          <w:p w:rsidR="00000000" w:rsidRDefault="00000000" w14:paraId="6B00004E">
            <w:pPr>
              <w:rPr/>
            </w:pPr>
            <w:r>
              <w:rPr>
                <w:sz w:val="19"/>
                <w:szCs w:val="19"/>
              </w:rPr>
              <w:t xml:space="preserve">get_net_impact_ledger</w:t>
            </w:r>
          </w:p>
        </w:tc>
        <w:tc>
          <w:tcPr>
            <w:tcW w:w="3000" w:type="dxa"/>
            <w:tcMar>
              <w:top w:w="80" w:type="dxa"/>
              <w:left w:w="100" w:type="dxa"/>
              <w:bottom w:w="80" w:type="dxa"/>
              <w:right w:w="100" w:type="dxa"/>
            </w:tcMar>
          </w:tcPr>
          <w:p w:rsidR="00000000" w:rsidRDefault="00000000" w14:paraId="6B00004F">
            <w:pPr>
              <w:rPr/>
            </w:pPr>
            <w:r>
              <w:rPr>
                <w:sz w:val="19"/>
                <w:szCs w:val="19"/>
              </w:rPr>
              <w:t xml:space="preserve">Gross footprint, reductions, credits retired and residual, per dimension</w:t>
            </w:r>
          </w:p>
        </w:tc>
        <w:tc>
          <w:tcPr>
            <w:tcW w:w="2000" w:type="dxa"/>
            <w:tcMar>
              <w:top w:w="80" w:type="dxa"/>
              <w:left w:w="100" w:type="dxa"/>
              <w:bottom w:w="80" w:type="dxa"/>
              <w:right w:w="100" w:type="dxa"/>
            </w:tcMar>
          </w:tcPr>
          <w:p w:rsidR="00000000" w:rsidRDefault="00000000" w14:paraId="6B000050">
            <w:pPr>
              <w:rPr/>
            </w:pPr>
            <w:r>
              <w:rPr>
                <w:sz w:val="19"/>
                <w:szCs w:val="19"/>
              </w:rPr>
              <w:t xml:space="preserve">period</w:t>
            </w:r>
          </w:p>
        </w:tc>
        <w:tc>
          <w:tcPr>
            <w:tcW w:w="2000" w:type="dxa"/>
            <w:tcMar>
              <w:top w:w="80" w:type="dxa"/>
              <w:left w:w="100" w:type="dxa"/>
              <w:bottom w:w="80" w:type="dxa"/>
              <w:right w:w="100" w:type="dxa"/>
            </w:tcMar>
          </w:tcPr>
          <w:p w:rsidR="00000000" w:rsidRDefault="00000000" w14:paraId="6B000051">
            <w:pPr>
              <w:rPr/>
            </w:pPr>
            <w:r>
              <w:rPr>
                <w:sz w:val="19"/>
                <w:szCs w:val="19"/>
              </w:rPr>
              <w:t xml:space="preserve">§22.6 ledger</w:t>
            </w:r>
          </w:p>
        </w:tc>
      </w:tr>
      <w:tr>
        <w:trPr>
          <w:cantSplit/>
        </w:trPr>
        <w:tc>
          <w:tcPr>
            <w:tcW w:w="2600" w:type="dxa"/>
            <w:tcMar>
              <w:top w:w="80" w:type="dxa"/>
              <w:left w:w="100" w:type="dxa"/>
              <w:bottom w:w="80" w:type="dxa"/>
              <w:right w:w="100" w:type="dxa"/>
            </w:tcMar>
          </w:tcPr>
          <w:p w:rsidR="00000000" w:rsidRDefault="00000000" w14:paraId="6B000052">
            <w:pPr>
              <w:rPr/>
            </w:pPr>
            <w:r>
              <w:rPr>
                <w:sz w:val="19"/>
                <w:szCs w:val="19"/>
              </w:rPr>
              <w:t xml:space="preserve">quote_credits</w:t>
            </w:r>
          </w:p>
        </w:tc>
        <w:tc>
          <w:tcPr>
            <w:tcW w:w="3000" w:type="dxa"/>
            <w:tcMar>
              <w:top w:w="80" w:type="dxa"/>
              <w:left w:w="100" w:type="dxa"/>
              <w:bottom w:w="80" w:type="dxa"/>
              <w:right w:w="100" w:type="dxa"/>
            </w:tcMar>
          </w:tcPr>
          <w:p w:rsidR="00000000" w:rsidRDefault="00000000" w14:paraId="6B000053">
            <w:pPr>
              <w:rPr/>
            </w:pPr>
            <w:r>
              <w:rPr>
                <w:sz w:val="19"/>
                <w:szCs w:val="19"/>
              </w:rPr>
              <w:t xml:space="preserve">Like-for-like credit quote per dimension; quote only, never a purchase</w:t>
            </w:r>
          </w:p>
        </w:tc>
        <w:tc>
          <w:tcPr>
            <w:tcW w:w="2000" w:type="dxa"/>
            <w:tcMar>
              <w:top w:w="80" w:type="dxa"/>
              <w:left w:w="100" w:type="dxa"/>
              <w:bottom w:w="80" w:type="dxa"/>
              <w:right w:w="100" w:type="dxa"/>
            </w:tcMar>
          </w:tcPr>
          <w:p w:rsidR="00000000" w:rsidRDefault="00000000" w14:paraId="6B000054">
            <w:pPr>
              <w:rPr/>
            </w:pPr>
            <w:r>
              <w:rPr>
                <w:sz w:val="19"/>
                <w:szCs w:val="19"/>
              </w:rPr>
              <w:t xml:space="preserve">period or impact vector, preferences</w:t>
            </w:r>
          </w:p>
        </w:tc>
        <w:tc>
          <w:tcPr>
            <w:tcW w:w="2000" w:type="dxa"/>
            <w:tcMar>
              <w:top w:w="80" w:type="dxa"/>
              <w:left w:w="100" w:type="dxa"/>
              <w:bottom w:w="80" w:type="dxa"/>
              <w:right w:w="100" w:type="dxa"/>
            </w:tcMar>
          </w:tcPr>
          <w:p w:rsidR="00000000" w:rsidRDefault="00000000" w14:paraId="6B000055">
            <w:pPr>
              <w:rPr/>
            </w:pPr>
            <w:r>
              <w:rPr>
                <w:sz w:val="19"/>
                <w:szCs w:val="19"/>
              </w:rPr>
              <w:t xml:space="preserve">§22.5 quote basket</w:t>
            </w:r>
          </w:p>
        </w:tc>
      </w:tr>
      <w:tr>
        <w:trPr>
          <w:cantSplit/>
        </w:trPr>
        <w:tc>
          <w:tcPr>
            <w:tcW w:w="2600" w:type="dxa"/>
            <w:tcMar>
              <w:top w:w="80" w:type="dxa"/>
              <w:left w:w="100" w:type="dxa"/>
              <w:bottom w:w="80" w:type="dxa"/>
              <w:right w:w="100" w:type="dxa"/>
            </w:tcMar>
          </w:tcPr>
          <w:p w:rsidR="00000000" w:rsidRDefault="00000000" w14:paraId="6B000056">
            <w:pPr>
              <w:rPr/>
            </w:pPr>
            <w:r>
              <w:rPr>
                <w:sz w:val="19"/>
                <w:szCs w:val="19"/>
              </w:rPr>
              <w:t xml:space="preserve">explain_metric</w:t>
            </w:r>
          </w:p>
        </w:tc>
        <w:tc>
          <w:tcPr>
            <w:tcW w:w="3000" w:type="dxa"/>
            <w:tcMar>
              <w:top w:w="80" w:type="dxa"/>
              <w:left w:w="100" w:type="dxa"/>
              <w:bottom w:w="80" w:type="dxa"/>
              <w:right w:w="100" w:type="dxa"/>
            </w:tcMar>
          </w:tcPr>
          <w:p w:rsidR="00000000" w:rsidRDefault="00000000" w14:paraId="6B000057">
            <w:pPr>
              <w:rPr/>
            </w:pPr>
            <w:r>
              <w:rPr>
                <w:sz w:val="19"/>
                <w:szCs w:val="19"/>
              </w:rPr>
              <w:t xml:space="preserve">Definition, unit, method and section reference for any field code</w:t>
            </w:r>
          </w:p>
        </w:tc>
        <w:tc>
          <w:tcPr>
            <w:tcW w:w="2000" w:type="dxa"/>
            <w:tcMar>
              <w:top w:w="80" w:type="dxa"/>
              <w:left w:w="100" w:type="dxa"/>
              <w:bottom w:w="80" w:type="dxa"/>
              <w:right w:w="100" w:type="dxa"/>
            </w:tcMar>
          </w:tcPr>
          <w:p w:rsidR="00000000" w:rsidRDefault="00000000" w14:paraId="6B000058">
            <w:pPr>
              <w:rPr/>
            </w:pPr>
            <w:r>
              <w:rPr>
                <w:sz w:val="19"/>
                <w:szCs w:val="19"/>
              </w:rPr>
              <w:t xml:space="preserve">code</w:t>
            </w:r>
          </w:p>
        </w:tc>
        <w:tc>
          <w:tcPr>
            <w:tcW w:w="2000" w:type="dxa"/>
            <w:tcMar>
              <w:top w:w="80" w:type="dxa"/>
              <w:left w:w="100" w:type="dxa"/>
              <w:bottom w:w="80" w:type="dxa"/>
              <w:right w:w="100" w:type="dxa"/>
            </w:tcMar>
          </w:tcPr>
          <w:p w:rsidR="00000000" w:rsidRDefault="00000000" w14:paraId="6B000059">
            <w:pPr>
              <w:rPr/>
            </w:pPr>
            <w:r>
              <w:rPr>
                <w:sz w:val="19"/>
                <w:szCs w:val="19"/>
              </w:rPr>
              <w:t xml:space="preserve">Field definition and § reference</w:t>
            </w:r>
          </w:p>
        </w:tc>
      </w:tr>
    </w:tbl>
    <w:p w:rsidR="00000000" w:rsidRDefault="00000000" w14:paraId="6B00005A">
      <w:pPr>
        <w:spacing w:after="120"/>
        <w:rPr/>
      </w:pPr>
    </w:p>
    <w:p w:rsidR="00000000" w:rsidRDefault="00000000" w14:paraId="6B00005B">
      <w:pPr>
        <w:pStyle w:val="Heading2"/>
        <w:spacing w:after="120" w:before="280" w:lineRule="auto"/>
        <w:rPr/>
      </w:pPr>
      <w:r>
        <w:rPr>
          <w:b w:val="1"/>
          <w:bCs w:val="1"/>
          <w:color w:val="1e7a4c"/>
          <w:sz w:val="24"/>
          <w:szCs w:val="24"/>
        </w:rPr>
        <w:t xml:space="preserve">23.4 Provider Insights Tools</w:t>
      </w:r>
    </w:p>
    <w:p w:rsidR="00000000" w:rsidRDefault="00000000" w14:paraId="6B00005C">
      <w:pPr>
        <w:spacing w:after="140" w:lineRule="auto"/>
        <w:rPr/>
      </w:pPr>
      <w:r>
        <w:rPr>
          <w:sz w:val="21"/>
          <w:szCs w:val="21"/>
        </w:rPr>
        <w:t xml:space="preserve">All tools are annotated readOnlyHint: true.</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000"/>
        <w:gridCol w:w="2000"/>
        <w:gridCol w:w="2000"/>
      </w:tblGrid>
      <w:tr>
        <w:trPr>
          <w:tblHeader/>
        </w:trPr>
        <w:tc>
          <w:tcPr>
            <w:tcW w:w="2600" w:type="dxa"/>
            <w:shd w:val="clear" w:color="auto" w:fill="1e7a4c"/>
            <w:tcMar>
              <w:top w:w="80" w:type="dxa"/>
              <w:left w:w="100" w:type="dxa"/>
              <w:bottom w:w="80" w:type="dxa"/>
              <w:right w:w="100" w:type="dxa"/>
            </w:tcMar>
          </w:tcPr>
          <w:p w:rsidR="00000000" w:rsidRDefault="00000000" w14:paraId="6B00005D">
            <w:pPr>
              <w:rPr/>
            </w:pPr>
            <w:r>
              <w:rPr>
                <w:b w:val="1"/>
                <w:bCs w:val="1"/>
                <w:color w:val="ffffff"/>
                <w:sz w:val="19"/>
                <w:szCs w:val="19"/>
              </w:rPr>
              <w:t xml:space="preserve">Tool</w:t>
            </w:r>
          </w:p>
        </w:tc>
        <w:tc>
          <w:tcPr>
            <w:tcW w:w="3000" w:type="dxa"/>
            <w:shd w:val="clear" w:color="auto" w:fill="1e7a4c"/>
            <w:tcMar>
              <w:top w:w="80" w:type="dxa"/>
              <w:left w:w="100" w:type="dxa"/>
              <w:bottom w:w="80" w:type="dxa"/>
              <w:right w:w="100" w:type="dxa"/>
            </w:tcMar>
          </w:tcPr>
          <w:p w:rsidR="00000000" w:rsidRDefault="00000000" w14:paraId="6B00005E">
            <w:pPr>
              <w:rPr/>
            </w:pPr>
            <w:r>
              <w:rPr>
                <w:b w:val="1"/>
                <w:bCs w:val="1"/>
                <w:color w:val="ffffff"/>
                <w:sz w:val="19"/>
                <w:szCs w:val="19"/>
              </w:rPr>
              <w:t xml:space="preserve">Purpose</w:t>
            </w:r>
          </w:p>
        </w:tc>
        <w:tc>
          <w:tcPr>
            <w:tcW w:w="2000" w:type="dxa"/>
            <w:shd w:val="clear" w:color="auto" w:fill="1e7a4c"/>
            <w:tcMar>
              <w:top w:w="80" w:type="dxa"/>
              <w:left w:w="100" w:type="dxa"/>
              <w:bottom w:w="80" w:type="dxa"/>
              <w:right w:w="100" w:type="dxa"/>
            </w:tcMar>
          </w:tcPr>
          <w:p w:rsidR="00000000" w:rsidRDefault="00000000" w14:paraId="6B00005F">
            <w:pPr>
              <w:rPr/>
            </w:pPr>
            <w:r>
              <w:rPr>
                <w:b w:val="1"/>
                <w:bCs w:val="1"/>
                <w:color w:val="ffffff"/>
                <w:sz w:val="19"/>
                <w:szCs w:val="19"/>
              </w:rPr>
              <w:t xml:space="preserve">Key inputs</w:t>
            </w:r>
          </w:p>
        </w:tc>
        <w:tc>
          <w:tcPr>
            <w:tcW w:w="2000" w:type="dxa"/>
            <w:shd w:val="clear" w:color="auto" w:fill="1e7a4c"/>
            <w:tcMar>
              <w:top w:w="80" w:type="dxa"/>
              <w:left w:w="100" w:type="dxa"/>
              <w:bottom w:w="80" w:type="dxa"/>
              <w:right w:w="100" w:type="dxa"/>
            </w:tcMar>
          </w:tcPr>
          <w:p w:rsidR="00000000" w:rsidRDefault="00000000" w14:paraId="6B000060">
            <w:pPr>
              <w:rPr/>
            </w:pPr>
            <w:r>
              <w:rPr>
                <w:b w:val="1"/>
                <w:bCs w:val="1"/>
                <w:color w:val="ffffff"/>
                <w:sz w:val="19"/>
                <w:szCs w:val="19"/>
              </w:rPr>
              <w:t xml:space="preserve">Returns</w:t>
            </w:r>
          </w:p>
        </w:tc>
      </w:tr>
      <w:tr>
        <w:trPr>
          <w:cantSplit/>
        </w:trPr>
        <w:tc>
          <w:tcPr>
            <w:tcW w:w="2600" w:type="dxa"/>
            <w:tcMar>
              <w:top w:w="80" w:type="dxa"/>
              <w:left w:w="100" w:type="dxa"/>
              <w:bottom w:w="80" w:type="dxa"/>
              <w:right w:w="100" w:type="dxa"/>
            </w:tcMar>
          </w:tcPr>
          <w:p w:rsidR="00000000" w:rsidRDefault="00000000" w14:paraId="6B000061">
            <w:pPr>
              <w:rPr/>
            </w:pPr>
            <w:r>
              <w:rPr>
                <w:sz w:val="19"/>
                <w:szCs w:val="19"/>
              </w:rPr>
              <w:t xml:space="preserve">get_demand_forecast</w:t>
            </w:r>
          </w:p>
        </w:tc>
        <w:tc>
          <w:tcPr>
            <w:tcW w:w="3000" w:type="dxa"/>
            <w:tcMar>
              <w:top w:w="80" w:type="dxa"/>
              <w:left w:w="100" w:type="dxa"/>
              <w:bottom w:w="80" w:type="dxa"/>
              <w:right w:w="100" w:type="dxa"/>
            </w:tcMar>
          </w:tcPr>
          <w:p w:rsidR="00000000" w:rsidRDefault="00000000" w14:paraId="6B000062">
            <w:pPr>
              <w:rPr/>
            </w:pPr>
            <w:r>
              <w:rPr>
                <w:sz w:val="19"/>
                <w:szCs w:val="19"/>
              </w:rPr>
              <w:t xml:space="preserve">Expected Subscriber demand by category and region</w:t>
            </w:r>
          </w:p>
        </w:tc>
        <w:tc>
          <w:tcPr>
            <w:tcW w:w="2000" w:type="dxa"/>
            <w:tcMar>
              <w:top w:w="80" w:type="dxa"/>
              <w:left w:w="100" w:type="dxa"/>
              <w:bottom w:w="80" w:type="dxa"/>
              <w:right w:w="100" w:type="dxa"/>
            </w:tcMar>
          </w:tcPr>
          <w:p w:rsidR="00000000" w:rsidRDefault="00000000" w14:paraId="6B000063">
            <w:pPr>
              <w:rPr/>
            </w:pPr>
            <w:r>
              <w:rPr>
                <w:sz w:val="19"/>
                <w:szCs w:val="19"/>
              </w:rPr>
              <w:t xml:space="preserve">category, region, horizon</w:t>
            </w:r>
          </w:p>
        </w:tc>
        <w:tc>
          <w:tcPr>
            <w:tcW w:w="2000" w:type="dxa"/>
            <w:tcMar>
              <w:top w:w="80" w:type="dxa"/>
              <w:left w:w="100" w:type="dxa"/>
              <w:bottom w:w="80" w:type="dxa"/>
              <w:right w:w="100" w:type="dxa"/>
            </w:tcMar>
          </w:tcPr>
          <w:p w:rsidR="00000000" w:rsidRDefault="00000000" w14:paraId="6B000064">
            <w:pPr>
              <w:rPr/>
            </w:pPr>
            <w:r>
              <w:rPr>
                <w:sz w:val="19"/>
                <w:szCs w:val="19"/>
              </w:rPr>
              <w:t xml:space="preserve">Forecast volumes by credit_category</w:t>
            </w:r>
          </w:p>
        </w:tc>
      </w:tr>
      <w:tr>
        <w:trPr>
          <w:cantSplit/>
        </w:trPr>
        <w:tc>
          <w:tcPr>
            <w:tcW w:w="2600" w:type="dxa"/>
            <w:tcMar>
              <w:top w:w="80" w:type="dxa"/>
              <w:left w:w="100" w:type="dxa"/>
              <w:bottom w:w="80" w:type="dxa"/>
              <w:right w:w="100" w:type="dxa"/>
            </w:tcMar>
          </w:tcPr>
          <w:p w:rsidR="00000000" w:rsidRDefault="00000000" w14:paraId="6B000065">
            <w:pPr>
              <w:rPr/>
            </w:pPr>
            <w:r>
              <w:rPr>
                <w:sz w:val="19"/>
                <w:szCs w:val="19"/>
              </w:rPr>
              <w:t xml:space="preserve">list_orders</w:t>
            </w:r>
          </w:p>
        </w:tc>
        <w:tc>
          <w:tcPr>
            <w:tcW w:w="3000" w:type="dxa"/>
            <w:tcMar>
              <w:top w:w="80" w:type="dxa"/>
              <w:left w:w="100" w:type="dxa"/>
              <w:bottom w:w="80" w:type="dxa"/>
              <w:right w:w="100" w:type="dxa"/>
            </w:tcMar>
          </w:tcPr>
          <w:p w:rsidR="00000000" w:rsidRDefault="00000000" w14:paraId="6B000066">
            <w:pPr>
              <w:rPr/>
            </w:pPr>
            <w:r>
              <w:rPr>
                <w:sz w:val="19"/>
                <w:szCs w:val="19"/>
              </w:rPr>
              <w:t xml:space="preserve">Orders assigned to the Provider</w:t>
            </w:r>
          </w:p>
        </w:tc>
        <w:tc>
          <w:tcPr>
            <w:tcW w:w="2000" w:type="dxa"/>
            <w:tcMar>
              <w:top w:w="80" w:type="dxa"/>
              <w:left w:w="100" w:type="dxa"/>
              <w:bottom w:w="80" w:type="dxa"/>
              <w:right w:w="100" w:type="dxa"/>
            </w:tcMar>
          </w:tcPr>
          <w:p w:rsidR="00000000" w:rsidRDefault="00000000" w14:paraId="6B000067">
            <w:pPr>
              <w:rPr/>
            </w:pPr>
            <w:r>
              <w:rPr>
                <w:sz w:val="19"/>
                <w:szCs w:val="19"/>
              </w:rPr>
              <w:t xml:space="preserve">status, period</w:t>
            </w:r>
          </w:p>
        </w:tc>
        <w:tc>
          <w:tcPr>
            <w:tcW w:w="2000" w:type="dxa"/>
            <w:tcMar>
              <w:top w:w="80" w:type="dxa"/>
              <w:left w:w="100" w:type="dxa"/>
              <w:bottom w:w="80" w:type="dxa"/>
              <w:right w:w="100" w:type="dxa"/>
            </w:tcMar>
          </w:tcPr>
          <w:p w:rsidR="00000000" w:rsidRDefault="00000000" w14:paraId="6B000068">
            <w:pPr>
              <w:rPr/>
            </w:pPr>
            <w:r>
              <w:rPr>
                <w:sz w:val="19"/>
                <w:szCs w:val="19"/>
              </w:rPr>
              <w:t xml:space="preserve">Order records (§10.5)</w:t>
            </w:r>
          </w:p>
        </w:tc>
      </w:tr>
      <w:tr>
        <w:trPr>
          <w:cantSplit/>
        </w:trPr>
        <w:tc>
          <w:tcPr>
            <w:tcW w:w="2600" w:type="dxa"/>
            <w:tcMar>
              <w:top w:w="80" w:type="dxa"/>
              <w:left w:w="100" w:type="dxa"/>
              <w:bottom w:w="80" w:type="dxa"/>
              <w:right w:w="100" w:type="dxa"/>
            </w:tcMar>
          </w:tcPr>
          <w:p w:rsidR="00000000" w:rsidRDefault="00000000" w14:paraId="6B000069">
            <w:pPr>
              <w:rPr/>
            </w:pPr>
            <w:r>
              <w:rPr>
                <w:sz w:val="19"/>
                <w:szCs w:val="19"/>
              </w:rPr>
              <w:t xml:space="preserve">get_order_status</w:t>
            </w:r>
          </w:p>
        </w:tc>
        <w:tc>
          <w:tcPr>
            <w:tcW w:w="3000" w:type="dxa"/>
            <w:tcMar>
              <w:top w:w="80" w:type="dxa"/>
              <w:left w:w="100" w:type="dxa"/>
              <w:bottom w:w="80" w:type="dxa"/>
              <w:right w:w="100" w:type="dxa"/>
            </w:tcMar>
          </w:tcPr>
          <w:p w:rsidR="00000000" w:rsidRDefault="00000000" w14:paraId="6B00006A">
            <w:pPr>
              <w:rPr/>
            </w:pPr>
            <w:r>
              <w:rPr>
                <w:sz w:val="19"/>
                <w:szCs w:val="19"/>
              </w:rPr>
              <w:t xml:space="preserve">Fulfillment status of one order</w:t>
            </w:r>
          </w:p>
        </w:tc>
        <w:tc>
          <w:tcPr>
            <w:tcW w:w="2000" w:type="dxa"/>
            <w:tcMar>
              <w:top w:w="80" w:type="dxa"/>
              <w:left w:w="100" w:type="dxa"/>
              <w:bottom w:w="80" w:type="dxa"/>
              <w:right w:w="100" w:type="dxa"/>
            </w:tcMar>
          </w:tcPr>
          <w:p w:rsidR="00000000" w:rsidRDefault="00000000" w14:paraId="6B00006B">
            <w:pPr>
              <w:rPr/>
            </w:pPr>
            <w:r>
              <w:rPr>
                <w:sz w:val="19"/>
                <w:szCs w:val="19"/>
              </w:rPr>
              <w:t xml:space="preserve">order_id</w:t>
            </w:r>
          </w:p>
        </w:tc>
        <w:tc>
          <w:tcPr>
            <w:tcW w:w="2000" w:type="dxa"/>
            <w:tcMar>
              <w:top w:w="80" w:type="dxa"/>
              <w:left w:w="100" w:type="dxa"/>
              <w:bottom w:w="80" w:type="dxa"/>
              <w:right w:w="100" w:type="dxa"/>
            </w:tcMar>
          </w:tcPr>
          <w:p w:rsidR="00000000" w:rsidRDefault="00000000" w14:paraId="6B00006C">
            <w:pPr>
              <w:rPr/>
            </w:pPr>
            <w:r>
              <w:rPr>
                <w:sz w:val="19"/>
                <w:szCs w:val="19"/>
              </w:rPr>
              <w:t xml:space="preserve">Status, serials, retirement_ref</w:t>
            </w:r>
          </w:p>
        </w:tc>
      </w:tr>
      <w:tr>
        <w:trPr>
          <w:cantSplit/>
        </w:trPr>
        <w:tc>
          <w:tcPr>
            <w:tcW w:w="2600" w:type="dxa"/>
            <w:tcMar>
              <w:top w:w="80" w:type="dxa"/>
              <w:left w:w="100" w:type="dxa"/>
              <w:bottom w:w="80" w:type="dxa"/>
              <w:right w:w="100" w:type="dxa"/>
            </w:tcMar>
          </w:tcPr>
          <w:p w:rsidR="00000000" w:rsidRDefault="00000000" w14:paraId="6B00006D">
            <w:pPr>
              <w:rPr/>
            </w:pPr>
            <w:r>
              <w:rPr>
                <w:sz w:val="19"/>
                <w:szCs w:val="19"/>
              </w:rPr>
              <w:t xml:space="preserve">get_issuance_status</w:t>
            </w:r>
          </w:p>
        </w:tc>
        <w:tc>
          <w:tcPr>
            <w:tcW w:w="3000" w:type="dxa"/>
            <w:tcMar>
              <w:top w:w="80" w:type="dxa"/>
              <w:left w:w="100" w:type="dxa"/>
              <w:bottom w:w="80" w:type="dxa"/>
              <w:right w:w="100" w:type="dxa"/>
            </w:tcMar>
          </w:tcPr>
          <w:p w:rsidR="00000000" w:rsidRDefault="00000000" w14:paraId="6B00006E">
            <w:pPr>
              <w:rPr/>
            </w:pPr>
            <w:r>
              <w:rPr>
                <w:sz w:val="19"/>
                <w:szCs w:val="19"/>
              </w:rPr>
              <w:t xml:space="preserve">Issued and pending credits</w:t>
            </w:r>
          </w:p>
        </w:tc>
        <w:tc>
          <w:tcPr>
            <w:tcW w:w="2000" w:type="dxa"/>
            <w:tcMar>
              <w:top w:w="80" w:type="dxa"/>
              <w:left w:w="100" w:type="dxa"/>
              <w:bottom w:w="80" w:type="dxa"/>
              <w:right w:w="100" w:type="dxa"/>
            </w:tcMar>
          </w:tcPr>
          <w:p w:rsidR="00000000" w:rsidRDefault="00000000" w14:paraId="6B00006F">
            <w:pPr>
              <w:rPr/>
            </w:pPr>
            <w:r>
              <w:rPr>
                <w:sz w:val="19"/>
                <w:szCs w:val="19"/>
              </w:rPr>
              <w:t xml:space="preserve">period</w:t>
            </w:r>
          </w:p>
        </w:tc>
        <w:tc>
          <w:tcPr>
            <w:tcW w:w="2000" w:type="dxa"/>
            <w:tcMar>
              <w:top w:w="80" w:type="dxa"/>
              <w:left w:w="100" w:type="dxa"/>
              <w:bottom w:w="80" w:type="dxa"/>
              <w:right w:w="100" w:type="dxa"/>
            </w:tcMar>
          </w:tcPr>
          <w:p w:rsidR="00000000" w:rsidRDefault="00000000" w14:paraId="6B000070">
            <w:pPr>
              <w:rPr/>
            </w:pPr>
            <w:r>
              <w:rPr>
                <w:sz w:val="19"/>
                <w:szCs w:val="19"/>
              </w:rPr>
              <w:t xml:space="preserve">get_issuance() results (§22.5)</w:t>
            </w:r>
          </w:p>
        </w:tc>
      </w:tr>
      <w:tr>
        <w:trPr>
          <w:cantSplit/>
        </w:trPr>
        <w:tc>
          <w:tcPr>
            <w:tcW w:w="2600" w:type="dxa"/>
            <w:tcMar>
              <w:top w:w="80" w:type="dxa"/>
              <w:left w:w="100" w:type="dxa"/>
              <w:bottom w:w="80" w:type="dxa"/>
              <w:right w:w="100" w:type="dxa"/>
            </w:tcMar>
          </w:tcPr>
          <w:p w:rsidR="00000000" w:rsidRDefault="00000000" w14:paraId="6B000071">
            <w:pPr>
              <w:rPr/>
            </w:pPr>
            <w:r>
              <w:rPr>
                <w:sz w:val="19"/>
                <w:szCs w:val="19"/>
              </w:rPr>
              <w:t xml:space="preserve">get_telemetry_health</w:t>
            </w:r>
          </w:p>
        </w:tc>
        <w:tc>
          <w:tcPr>
            <w:tcW w:w="3000" w:type="dxa"/>
            <w:tcMar>
              <w:top w:w="80" w:type="dxa"/>
              <w:left w:w="100" w:type="dxa"/>
              <w:bottom w:w="80" w:type="dxa"/>
              <w:right w:w="100" w:type="dxa"/>
            </w:tcMar>
          </w:tcPr>
          <w:p w:rsidR="00000000" w:rsidRDefault="00000000" w14:paraId="6B000072">
            <w:pPr>
              <w:rPr/>
            </w:pPr>
            <w:r>
              <w:rPr>
                <w:sz w:val="19"/>
                <w:szCs w:val="19"/>
              </w:rPr>
              <w:t xml:space="preserve">Ingestion gaps, anomalies and data quality</w:t>
            </w:r>
          </w:p>
        </w:tc>
        <w:tc>
          <w:tcPr>
            <w:tcW w:w="2000" w:type="dxa"/>
            <w:tcMar>
              <w:top w:w="80" w:type="dxa"/>
              <w:left w:w="100" w:type="dxa"/>
              <w:bottom w:w="80" w:type="dxa"/>
              <w:right w:w="100" w:type="dxa"/>
            </w:tcMar>
          </w:tcPr>
          <w:p w:rsidR="00000000" w:rsidRDefault="00000000" w14:paraId="6B000073">
            <w:pPr>
              <w:rPr/>
            </w:pPr>
            <w:r>
              <w:rPr>
                <w:sz w:val="19"/>
                <w:szCs w:val="19"/>
              </w:rPr>
              <w:t xml:space="preserve">facility, period</w:t>
            </w:r>
          </w:p>
        </w:tc>
        <w:tc>
          <w:tcPr>
            <w:tcW w:w="2000" w:type="dxa"/>
            <w:tcMar>
              <w:top w:w="80" w:type="dxa"/>
              <w:left w:w="100" w:type="dxa"/>
              <w:bottom w:w="80" w:type="dxa"/>
              <w:right w:w="100" w:type="dxa"/>
            </w:tcMar>
          </w:tcPr>
          <w:p w:rsidR="00000000" w:rsidRDefault="00000000" w14:paraId="6B000074">
            <w:pPr>
              <w:rPr/>
            </w:pPr>
            <w:r>
              <w:rPr>
                <w:sz w:val="19"/>
                <w:szCs w:val="19"/>
              </w:rPr>
              <w:t xml:space="preserve">ADF, DQS, reporting gaps</w:t>
            </w:r>
          </w:p>
        </w:tc>
      </w:tr>
    </w:tbl>
    <w:p w:rsidR="00000000" w:rsidRDefault="00000000" w14:paraId="6B000075">
      <w:pPr>
        <w:spacing w:after="120"/>
        <w:rPr/>
      </w:pPr>
    </w:p>
    <w:p w:rsidR="00000000" w:rsidRDefault="00000000" w14:paraId="6B000076">
      <w:pPr>
        <w:pStyle w:val="Heading2"/>
        <w:spacing w:after="120" w:before="280" w:lineRule="auto"/>
        <w:rPr/>
      </w:pPr>
      <w:r>
        <w:rPr>
          <w:b w:val="1"/>
          <w:bCs w:val="1"/>
          <w:color w:val="1e7a4c"/>
          <w:sz w:val="24"/>
          <w:szCs w:val="24"/>
        </w:rPr>
        <w:t xml:space="preserve">23.5 Operator Lifecycle Tools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000"/>
        <w:gridCol w:w="2000"/>
        <w:gridCol w:w="2000"/>
      </w:tblGrid>
      <w:tr>
        <w:trPr>
          <w:tblHeader/>
        </w:trPr>
        <w:tc>
          <w:tcPr>
            <w:tcW w:w="2600" w:type="dxa"/>
            <w:shd w:val="clear" w:color="auto" w:fill="1e7a4c"/>
            <w:tcMar>
              <w:top w:w="80" w:type="dxa"/>
              <w:left w:w="100" w:type="dxa"/>
              <w:bottom w:w="80" w:type="dxa"/>
              <w:right w:w="100" w:type="dxa"/>
            </w:tcMar>
          </w:tcPr>
          <w:p w:rsidR="00000000" w:rsidRDefault="00000000" w14:paraId="6B000077">
            <w:pPr>
              <w:rPr/>
            </w:pPr>
            <w:r>
              <w:rPr>
                <w:b w:val="1"/>
                <w:bCs w:val="1"/>
                <w:color w:val="ffffff"/>
                <w:sz w:val="19"/>
                <w:szCs w:val="19"/>
              </w:rPr>
              <w:t xml:space="preserve">Tool</w:t>
            </w:r>
          </w:p>
        </w:tc>
        <w:tc>
          <w:tcPr>
            <w:tcW w:w="3000" w:type="dxa"/>
            <w:shd w:val="clear" w:color="auto" w:fill="1e7a4c"/>
            <w:tcMar>
              <w:top w:w="80" w:type="dxa"/>
              <w:left w:w="100" w:type="dxa"/>
              <w:bottom w:w="80" w:type="dxa"/>
              <w:right w:w="100" w:type="dxa"/>
            </w:tcMar>
          </w:tcPr>
          <w:p w:rsidR="00000000" w:rsidRDefault="00000000" w14:paraId="6B000078">
            <w:pPr>
              <w:rPr/>
            </w:pPr>
            <w:r>
              <w:rPr>
                <w:b w:val="1"/>
                <w:bCs w:val="1"/>
                <w:color w:val="ffffff"/>
                <w:sz w:val="19"/>
                <w:szCs w:val="19"/>
              </w:rPr>
              <w:t xml:space="preserve">Purpose</w:t>
            </w:r>
          </w:p>
        </w:tc>
        <w:tc>
          <w:tcPr>
            <w:tcW w:w="2000" w:type="dxa"/>
            <w:shd w:val="clear" w:color="auto" w:fill="1e7a4c"/>
            <w:tcMar>
              <w:top w:w="80" w:type="dxa"/>
              <w:left w:w="100" w:type="dxa"/>
              <w:bottom w:w="80" w:type="dxa"/>
              <w:right w:w="100" w:type="dxa"/>
            </w:tcMar>
          </w:tcPr>
          <w:p w:rsidR="00000000" w:rsidRDefault="00000000" w14:paraId="6B000079">
            <w:pPr>
              <w:rPr/>
            </w:pPr>
            <w:r>
              <w:rPr>
                <w:b w:val="1"/>
                <w:bCs w:val="1"/>
                <w:color w:val="ffffff"/>
                <w:sz w:val="19"/>
                <w:szCs w:val="19"/>
              </w:rPr>
              <w:t xml:space="preserve">Key inputs</w:t>
            </w:r>
          </w:p>
        </w:tc>
        <w:tc>
          <w:tcPr>
            <w:tcW w:w="2000" w:type="dxa"/>
            <w:shd w:val="clear" w:color="auto" w:fill="1e7a4c"/>
            <w:tcMar>
              <w:top w:w="80" w:type="dxa"/>
              <w:left w:w="100" w:type="dxa"/>
              <w:bottom w:w="80" w:type="dxa"/>
              <w:right w:w="100" w:type="dxa"/>
            </w:tcMar>
          </w:tcPr>
          <w:p w:rsidR="00000000" w:rsidRDefault="00000000" w14:paraId="6B00007A">
            <w:pPr>
              <w:rPr/>
            </w:pPr>
            <w:r>
              <w:rPr>
                <w:b w:val="1"/>
                <w:bCs w:val="1"/>
                <w:color w:val="ffffff"/>
                <w:sz w:val="19"/>
                <w:szCs w:val="19"/>
              </w:rPr>
              <w:t xml:space="preserve">Returns</w:t>
            </w:r>
          </w:p>
        </w:tc>
      </w:tr>
      <w:tr>
        <w:trPr>
          <w:cantSplit/>
        </w:trPr>
        <w:tc>
          <w:tcPr>
            <w:tcW w:w="2600" w:type="dxa"/>
            <w:tcMar>
              <w:top w:w="80" w:type="dxa"/>
              <w:left w:w="100" w:type="dxa"/>
              <w:bottom w:w="80" w:type="dxa"/>
              <w:right w:w="100" w:type="dxa"/>
            </w:tcMar>
          </w:tcPr>
          <w:p w:rsidR="00000000" w:rsidRDefault="00000000" w14:paraId="6B00007B">
            <w:pPr>
              <w:rPr/>
            </w:pPr>
            <w:r>
              <w:rPr>
                <w:sz w:val="19"/>
                <w:szCs w:val="19"/>
              </w:rPr>
              <w:t xml:space="preserve">list_assets</w:t>
            </w:r>
          </w:p>
        </w:tc>
        <w:tc>
          <w:tcPr>
            <w:tcW w:w="3000" w:type="dxa"/>
            <w:tcMar>
              <w:top w:w="80" w:type="dxa"/>
              <w:left w:w="100" w:type="dxa"/>
              <w:bottom w:w="80" w:type="dxa"/>
              <w:right w:w="100" w:type="dxa"/>
            </w:tcMar>
          </w:tcPr>
          <w:p w:rsidR="00000000" w:rsidRDefault="00000000" w14:paraId="6B00007C">
            <w:pPr>
              <w:rPr/>
            </w:pPr>
            <w:r>
              <w:rPr>
                <w:sz w:val="19"/>
                <w:szCs w:val="19"/>
              </w:rPr>
              <w:t xml:space="preserve">Assets filtered by lifecycle state or approaching refresh date</w:t>
            </w:r>
          </w:p>
        </w:tc>
        <w:tc>
          <w:tcPr>
            <w:tcW w:w="2000" w:type="dxa"/>
            <w:tcMar>
              <w:top w:w="80" w:type="dxa"/>
              <w:left w:w="100" w:type="dxa"/>
              <w:bottom w:w="80" w:type="dxa"/>
              <w:right w:w="100" w:type="dxa"/>
            </w:tcMar>
          </w:tcPr>
          <w:p w:rsidR="00000000" w:rsidRDefault="00000000" w14:paraId="6B00007D">
            <w:pPr>
              <w:rPr/>
            </w:pPr>
            <w:r>
              <w:rPr>
                <w:sz w:val="19"/>
                <w:szCs w:val="19"/>
              </w:rPr>
              <w:t xml:space="preserve">LCS, rcp_due_within</w:t>
            </w:r>
          </w:p>
        </w:tc>
        <w:tc>
          <w:tcPr>
            <w:tcW w:w="2000" w:type="dxa"/>
            <w:tcMar>
              <w:top w:w="80" w:type="dxa"/>
              <w:left w:w="100" w:type="dxa"/>
              <w:bottom w:w="80" w:type="dxa"/>
              <w:right w:w="100" w:type="dxa"/>
            </w:tcMar>
          </w:tcPr>
          <w:p w:rsidR="00000000" w:rsidRDefault="00000000" w14:paraId="6B00007E">
            <w:pPr>
              <w:rPr/>
            </w:pPr>
            <w:r>
              <w:rPr>
                <w:sz w:val="19"/>
                <w:szCs w:val="19"/>
              </w:rPr>
              <w:t xml:space="preserve">AID, LCS, DSD, RCP</w:t>
            </w:r>
          </w:p>
        </w:tc>
      </w:tr>
      <w:tr>
        <w:trPr>
          <w:cantSplit/>
        </w:trPr>
        <w:tc>
          <w:tcPr>
            <w:tcW w:w="2600" w:type="dxa"/>
            <w:tcMar>
              <w:top w:w="80" w:type="dxa"/>
              <w:left w:w="100" w:type="dxa"/>
              <w:bottom w:w="80" w:type="dxa"/>
              <w:right w:w="100" w:type="dxa"/>
            </w:tcMar>
          </w:tcPr>
          <w:p w:rsidR="00000000" w:rsidRDefault="00000000" w14:paraId="6B00007F">
            <w:pPr>
              <w:rPr/>
            </w:pPr>
            <w:r>
              <w:rPr>
                <w:sz w:val="19"/>
                <w:szCs w:val="19"/>
              </w:rPr>
              <w:t xml:space="preserve">get_asset_record</w:t>
            </w:r>
          </w:p>
        </w:tc>
        <w:tc>
          <w:tcPr>
            <w:tcW w:w="3000" w:type="dxa"/>
            <w:tcMar>
              <w:top w:w="80" w:type="dxa"/>
              <w:left w:w="100" w:type="dxa"/>
              <w:bottom w:w="80" w:type="dxa"/>
              <w:right w:w="100" w:type="dxa"/>
            </w:tcMar>
          </w:tcPr>
          <w:p w:rsidR="00000000" w:rsidRDefault="00000000" w14:paraId="6B000080">
            <w:pPr>
              <w:rPr/>
            </w:pPr>
            <w:r>
              <w:rPr>
                <w:sz w:val="19"/>
                <w:szCs w:val="19"/>
              </w:rPr>
              <w:t xml:space="preserve">Full lifecycle record for one asset</w:t>
            </w:r>
          </w:p>
        </w:tc>
        <w:tc>
          <w:tcPr>
            <w:tcW w:w="2000" w:type="dxa"/>
            <w:tcMar>
              <w:top w:w="80" w:type="dxa"/>
              <w:left w:w="100" w:type="dxa"/>
              <w:bottom w:w="80" w:type="dxa"/>
              <w:right w:w="100" w:type="dxa"/>
            </w:tcMar>
          </w:tcPr>
          <w:p w:rsidR="00000000" w:rsidRDefault="00000000" w14:paraId="6B000081">
            <w:pPr>
              <w:rPr/>
            </w:pPr>
            <w:r>
              <w:rPr>
                <w:sz w:val="19"/>
                <w:szCs w:val="19"/>
              </w:rPr>
              <w:t xml:space="preserve">AID</w:t>
            </w:r>
          </w:p>
        </w:tc>
        <w:tc>
          <w:tcPr>
            <w:tcW w:w="2000" w:type="dxa"/>
            <w:tcMar>
              <w:top w:w="80" w:type="dxa"/>
              <w:left w:w="100" w:type="dxa"/>
              <w:bottom w:w="80" w:type="dxa"/>
              <w:right w:w="100" w:type="dxa"/>
            </w:tcMar>
          </w:tcPr>
          <w:p w:rsidR="00000000" w:rsidRDefault="00000000" w14:paraId="6B000082">
            <w:pPr>
              <w:rPr/>
            </w:pPr>
            <w:r>
              <w:rPr>
                <w:sz w:val="19"/>
                <w:szCs w:val="19"/>
              </w:rPr>
              <w:t xml:space="preserve">§22.8.1 fields with PRV</w:t>
            </w:r>
          </w:p>
        </w:tc>
      </w:tr>
      <w:tr>
        <w:trPr>
          <w:cantSplit/>
        </w:trPr>
        <w:tc>
          <w:tcPr>
            <w:tcW w:w="2600" w:type="dxa"/>
            <w:tcMar>
              <w:top w:w="80" w:type="dxa"/>
              <w:left w:w="100" w:type="dxa"/>
              <w:bottom w:w="80" w:type="dxa"/>
              <w:right w:w="100" w:type="dxa"/>
            </w:tcMar>
          </w:tcPr>
          <w:p w:rsidR="00000000" w:rsidRDefault="00000000" w14:paraId="6B000083">
            <w:pPr>
              <w:rPr/>
            </w:pPr>
            <w:r>
              <w:rPr>
                <w:sz w:val="19"/>
                <w:szCs w:val="19"/>
              </w:rPr>
              <w:t xml:space="preserve">propose_lifecycle_update</w:t>
            </w:r>
          </w:p>
        </w:tc>
        <w:tc>
          <w:tcPr>
            <w:tcW w:w="3000" w:type="dxa"/>
            <w:tcMar>
              <w:top w:w="80" w:type="dxa"/>
              <w:left w:w="100" w:type="dxa"/>
              <w:bottom w:w="80" w:type="dxa"/>
              <w:right w:w="100" w:type="dxa"/>
            </w:tcMar>
          </w:tcPr>
          <w:p w:rsidR="00000000" w:rsidRDefault="00000000" w14:paraId="6B000084">
            <w:pPr>
              <w:rPr/>
            </w:pPr>
            <w:r>
              <w:rPr>
                <w:sz w:val="19"/>
                <w:szCs w:val="19"/>
              </w:rPr>
              <w:t xml:space="preserve">Draft a state change; returns a change_id and a before/after diff, writes nothing</w:t>
            </w:r>
          </w:p>
        </w:tc>
        <w:tc>
          <w:tcPr>
            <w:tcW w:w="2000" w:type="dxa"/>
            <w:tcMar>
              <w:top w:w="80" w:type="dxa"/>
              <w:left w:w="100" w:type="dxa"/>
              <w:bottom w:w="80" w:type="dxa"/>
              <w:right w:w="100" w:type="dxa"/>
            </w:tcMar>
          </w:tcPr>
          <w:p w:rsidR="00000000" w:rsidRDefault="00000000" w14:paraId="6B000085">
            <w:pPr>
              <w:rPr/>
            </w:pPr>
            <w:r>
              <w:rPr>
                <w:sz w:val="19"/>
                <w:szCs w:val="19"/>
              </w:rPr>
              <w:t xml:space="preserve">AID, LCS, OWN, RDP, notes</w:t>
            </w:r>
          </w:p>
        </w:tc>
        <w:tc>
          <w:tcPr>
            <w:tcW w:w="2000" w:type="dxa"/>
            <w:tcMar>
              <w:top w:w="80" w:type="dxa"/>
              <w:left w:w="100" w:type="dxa"/>
              <w:bottom w:w="80" w:type="dxa"/>
              <w:right w:w="100" w:type="dxa"/>
            </w:tcMar>
          </w:tcPr>
          <w:p w:rsidR="00000000" w:rsidRDefault="00000000" w14:paraId="6B000086">
            <w:pPr>
              <w:rPr/>
            </w:pPr>
            <w:r>
              <w:rPr>
                <w:sz w:val="19"/>
                <w:szCs w:val="19"/>
              </w:rPr>
              <w:t xml:space="preserve">Pending change</w:t>
            </w:r>
          </w:p>
        </w:tc>
      </w:tr>
      <w:tr>
        <w:trPr>
          <w:cantSplit/>
        </w:trPr>
        <w:tc>
          <w:tcPr>
            <w:tcW w:w="2600" w:type="dxa"/>
            <w:tcMar>
              <w:top w:w="80" w:type="dxa"/>
              <w:left w:w="100" w:type="dxa"/>
              <w:bottom w:w="80" w:type="dxa"/>
              <w:right w:w="100" w:type="dxa"/>
            </w:tcMar>
          </w:tcPr>
          <w:p w:rsidR="00000000" w:rsidRDefault="00000000" w14:paraId="6B000087">
            <w:pPr>
              <w:rPr/>
            </w:pPr>
            <w:r>
              <w:rPr>
                <w:sz w:val="19"/>
                <w:szCs w:val="19"/>
              </w:rPr>
              <w:t xml:space="preserve">confirm_lifecycle_update</w:t>
            </w:r>
          </w:p>
        </w:tc>
        <w:tc>
          <w:tcPr>
            <w:tcW w:w="3000" w:type="dxa"/>
            <w:tcMar>
              <w:top w:w="80" w:type="dxa"/>
              <w:left w:w="100" w:type="dxa"/>
              <w:bottom w:w="80" w:type="dxa"/>
              <w:right w:w="100" w:type="dxa"/>
            </w:tcMar>
          </w:tcPr>
          <w:p w:rsidR="00000000" w:rsidRDefault="00000000" w14:paraId="6B000088">
            <w:pPr>
              <w:rPr/>
            </w:pPr>
            <w:r>
              <w:rPr>
                <w:sz w:val="19"/>
                <w:szCs w:val="19"/>
              </w:rPr>
              <w:t xml:space="preserve">Apply a proposed change after the user confirms</w:t>
            </w:r>
          </w:p>
        </w:tc>
        <w:tc>
          <w:tcPr>
            <w:tcW w:w="2000" w:type="dxa"/>
            <w:tcMar>
              <w:top w:w="80" w:type="dxa"/>
              <w:left w:w="100" w:type="dxa"/>
              <w:bottom w:w="80" w:type="dxa"/>
              <w:right w:w="100" w:type="dxa"/>
            </w:tcMar>
          </w:tcPr>
          <w:p w:rsidR="00000000" w:rsidRDefault="00000000" w14:paraId="6B000089">
            <w:pPr>
              <w:rPr/>
            </w:pPr>
            <w:r>
              <w:rPr>
                <w:sz w:val="19"/>
                <w:szCs w:val="19"/>
              </w:rPr>
              <w:t xml:space="preserve">change_id</w:t>
            </w:r>
          </w:p>
        </w:tc>
        <w:tc>
          <w:tcPr>
            <w:tcW w:w="2000" w:type="dxa"/>
            <w:tcMar>
              <w:top w:w="80" w:type="dxa"/>
              <w:left w:w="100" w:type="dxa"/>
              <w:bottom w:w="80" w:type="dxa"/>
              <w:right w:w="100" w:type="dxa"/>
            </w:tcMar>
          </w:tcPr>
          <w:p w:rsidR="00000000" w:rsidRDefault="00000000" w14:paraId="6B00008A">
            <w:pPr>
              <w:rPr/>
            </w:pPr>
            <w:r>
              <w:rPr>
                <w:sz w:val="19"/>
                <w:szCs w:val="19"/>
              </w:rPr>
              <w:t xml:space="preserve">Updated record, audit reference</w:t>
            </w:r>
          </w:p>
        </w:tc>
      </w:tr>
      <w:tr>
        <w:trPr>
          <w:cantSplit/>
        </w:trPr>
        <w:tc>
          <w:tcPr>
            <w:tcW w:w="2600" w:type="dxa"/>
            <w:tcMar>
              <w:top w:w="80" w:type="dxa"/>
              <w:left w:w="100" w:type="dxa"/>
              <w:bottom w:w="80" w:type="dxa"/>
              <w:right w:w="100" w:type="dxa"/>
            </w:tcMar>
          </w:tcPr>
          <w:p w:rsidR="00000000" w:rsidRDefault="00000000" w14:paraId="6B00008B">
            <w:pPr>
              <w:rPr/>
            </w:pPr>
            <w:r>
              <w:rPr>
                <w:sz w:val="19"/>
                <w:szCs w:val="19"/>
              </w:rPr>
              <w:t xml:space="preserve">request_recycler_confirmation</w:t>
            </w:r>
          </w:p>
        </w:tc>
        <w:tc>
          <w:tcPr>
            <w:tcW w:w="3000" w:type="dxa"/>
            <w:tcMar>
              <w:top w:w="80" w:type="dxa"/>
              <w:left w:w="100" w:type="dxa"/>
              <w:bottom w:w="80" w:type="dxa"/>
              <w:right w:w="100" w:type="dxa"/>
            </w:tcMar>
          </w:tcPr>
          <w:p w:rsidR="00000000" w:rsidRDefault="00000000" w14:paraId="6B00008C">
            <w:pPr>
              <w:rPr/>
            </w:pPr>
            <w:r>
              <w:rPr>
                <w:sz w:val="19"/>
                <w:szCs w:val="19"/>
              </w:rPr>
              <w:t xml:space="preserve">Ask a certified recycler or refurbisher to confirm a transition</w:t>
            </w:r>
          </w:p>
        </w:tc>
        <w:tc>
          <w:tcPr>
            <w:tcW w:w="2000" w:type="dxa"/>
            <w:tcMar>
              <w:top w:w="80" w:type="dxa"/>
              <w:left w:w="100" w:type="dxa"/>
              <w:bottom w:w="80" w:type="dxa"/>
              <w:right w:w="100" w:type="dxa"/>
            </w:tcMar>
          </w:tcPr>
          <w:p w:rsidR="00000000" w:rsidRDefault="00000000" w14:paraId="6B00008D">
            <w:pPr>
              <w:rPr/>
            </w:pPr>
            <w:r>
              <w:rPr>
                <w:sz w:val="19"/>
                <w:szCs w:val="19"/>
              </w:rPr>
              <w:t xml:space="preserve">AID, recycler_id</w:t>
            </w:r>
          </w:p>
        </w:tc>
        <w:tc>
          <w:tcPr>
            <w:tcW w:w="2000" w:type="dxa"/>
            <w:tcMar>
              <w:top w:w="80" w:type="dxa"/>
              <w:left w:w="100" w:type="dxa"/>
              <w:bottom w:w="80" w:type="dxa"/>
              <w:right w:w="100" w:type="dxa"/>
            </w:tcMar>
          </w:tcPr>
          <w:p w:rsidR="00000000" w:rsidRDefault="00000000" w14:paraId="6B00008E">
            <w:pPr>
              <w:rPr/>
            </w:pPr>
            <w:r>
              <w:rPr>
                <w:sz w:val="19"/>
                <w:szCs w:val="19"/>
              </w:rPr>
              <w:t xml:space="preserve">Request status</w:t>
            </w:r>
          </w:p>
        </w:tc>
      </w:tr>
    </w:tbl>
    <w:p w:rsidR="00000000" w:rsidRDefault="00000000" w14:paraId="6B00008F">
      <w:pPr>
        <w:spacing w:after="120"/>
        <w:rPr/>
      </w:pPr>
    </w:p>
    <w:p w:rsidR="00000000" w:rsidRDefault="00000000" w14:paraId="6B000090">
      <w:pPr>
        <w:numPr>
          <w:ilvl w:val="0"/>
          <w:numId w:val="1"/>
        </w:numPr>
        <w:spacing w:after="60" w:before="0" w:line="240" w:lineRule="auto"/>
        <w:ind w:left="720" w:right="0" w:hanging="360"/>
        <w:rPr/>
      </w:pPr>
      <w:r>
        <w:rPr>
          <w:b w:val="1"/>
          <w:bCs w:val="1"/>
          <w:sz w:val="21"/>
          <w:szCs w:val="21"/>
        </w:rPr>
        <w:t xml:space="preserve">Two-step writes.</w:t>
      </w:r>
      <w:r>
        <w:rPr>
          <w:sz w:val="21"/>
          <w:szCs w:val="21"/>
        </w:rPr>
        <w:t xml:space="preserve"> Every change is proposed, shown to the user as a diff, then confirmed. Where the MCP client supports elicitation, the confirmation is requested through it; otherwise the model must call confirm_lifecycle_update after explicit user approval.</w:t>
      </w:r>
    </w:p>
    <w:p w:rsidR="00000000" w:rsidRDefault="00000000" w14:paraId="6B000091">
      <w:pPr>
        <w:numPr>
          <w:ilvl w:val="0"/>
          <w:numId w:val="1"/>
        </w:numPr>
        <w:spacing w:after="60" w:before="0" w:line="240" w:lineRule="auto"/>
        <w:ind w:left="720" w:right="0" w:hanging="360"/>
        <w:rPr/>
      </w:pPr>
      <w:r>
        <w:rPr>
          <w:b w:val="1"/>
          <w:bCs w:val="1"/>
          <w:sz w:val="21"/>
          <w:szCs w:val="21"/>
        </w:rPr>
        <w:t xml:space="preserve">Annotations.</w:t>
      </w:r>
      <w:r>
        <w:rPr>
          <w:sz w:val="21"/>
          <w:szCs w:val="21"/>
        </w:rPr>
        <w:t xml:space="preserve"> Read tools: readOnlyHint true. propose_lifecycle_update: readOnlyHint true (it writes nothing). confirm_lifecycle_update: readOnlyHint false, destructiveHint false, idempotentHint true (keyed on change_id).</w:t>
      </w:r>
    </w:p>
    <w:p w:rsidR="00000000" w:rsidRDefault="00000000" w14:paraId="6B000092">
      <w:pPr>
        <w:numPr>
          <w:ilvl w:val="0"/>
          <w:numId w:val="1"/>
        </w:numPr>
        <w:spacing w:after="60" w:before="0" w:line="240" w:lineRule="auto"/>
        <w:ind w:left="720" w:right="0" w:hanging="360"/>
        <w:rPr/>
      </w:pPr>
      <w:r>
        <w:rPr>
          <w:b w:val="1"/>
          <w:bCs w:val="1"/>
          <w:sz w:val="21"/>
          <w:szCs w:val="21"/>
        </w:rPr>
        <w:t xml:space="preserve">Provenance.</w:t>
      </w:r>
      <w:r>
        <w:rPr>
          <w:sz w:val="21"/>
          <w:szCs w:val="21"/>
        </w:rPr>
        <w:t xml:space="preserve"> Changes made here are recorded with PRV = operator-reported until confirmed by a certified recycler or refurbisher (§22.8.2). Bulk imports use the API, not MCP.</w:t>
      </w:r>
    </w:p>
    <w:p w:rsidR="00000000" w:rsidRDefault="00000000" w14:paraId="6B000093">
      <w:pPr>
        <w:pStyle w:val="Heading2"/>
        <w:spacing w:after="120" w:before="280" w:lineRule="auto"/>
        <w:rPr/>
      </w:pPr>
      <w:r>
        <w:rPr>
          <w:b w:val="1"/>
          <w:bCs w:val="1"/>
          <w:color w:val="1e7a4c"/>
          <w:sz w:val="24"/>
          <w:szCs w:val="24"/>
        </w:rPr>
        <w:t xml:space="preserve">23.6 Authorization and Security</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600"/>
      </w:tblGrid>
      <w:tr>
        <w:trPr>
          <w:tblHeader/>
        </w:trPr>
        <w:tc>
          <w:tcPr>
            <w:tcW w:w="3000" w:type="dxa"/>
            <w:shd w:val="clear" w:color="auto" w:fill="1e7a4c"/>
            <w:tcMar>
              <w:top w:w="80" w:type="dxa"/>
              <w:left w:w="100" w:type="dxa"/>
              <w:bottom w:w="80" w:type="dxa"/>
              <w:right w:w="100" w:type="dxa"/>
            </w:tcMar>
          </w:tcPr>
          <w:p w:rsidR="00000000" w:rsidRDefault="00000000" w14:paraId="6B000094">
            <w:pPr>
              <w:rPr/>
            </w:pPr>
            <w:r>
              <w:rPr>
                <w:b w:val="1"/>
                <w:bCs w:val="1"/>
                <w:color w:val="ffffff"/>
                <w:sz w:val="19"/>
                <w:szCs w:val="19"/>
              </w:rPr>
              <w:t xml:space="preserve">OAuth scope</w:t>
            </w:r>
          </w:p>
        </w:tc>
        <w:tc>
          <w:tcPr>
            <w:tcW w:w="6600" w:type="dxa"/>
            <w:shd w:val="clear" w:color="auto" w:fill="1e7a4c"/>
            <w:tcMar>
              <w:top w:w="80" w:type="dxa"/>
              <w:left w:w="100" w:type="dxa"/>
              <w:bottom w:w="80" w:type="dxa"/>
              <w:right w:w="100" w:type="dxa"/>
            </w:tcMar>
          </w:tcPr>
          <w:p w:rsidR="00000000" w:rsidRDefault="00000000" w14:paraId="6B000095">
            <w:pPr>
              <w:rPr/>
            </w:pPr>
            <w:r>
              <w:rPr>
                <w:b w:val="1"/>
                <w:bCs w:val="1"/>
                <w:color w:val="ffffff"/>
                <w:sz w:val="19"/>
                <w:szCs w:val="19"/>
              </w:rPr>
              <w:t xml:space="preserve">Grants</w:t>
            </w:r>
          </w:p>
        </w:tc>
      </w:tr>
      <w:tr>
        <w:trPr>
          <w:cantSplit/>
        </w:trPr>
        <w:tc>
          <w:tcPr>
            <w:tcW w:w="3000" w:type="dxa"/>
            <w:tcMar>
              <w:top w:w="80" w:type="dxa"/>
              <w:left w:w="100" w:type="dxa"/>
              <w:bottom w:w="80" w:type="dxa"/>
              <w:right w:w="100" w:type="dxa"/>
            </w:tcMar>
          </w:tcPr>
          <w:p w:rsidR="00000000" w:rsidRDefault="00000000" w14:paraId="6B000096">
            <w:pPr>
              <w:rPr/>
            </w:pPr>
            <w:r>
              <w:rPr>
                <w:sz w:val="19"/>
                <w:szCs w:val="19"/>
              </w:rPr>
              <w:t xml:space="preserve">reporting.read</w:t>
            </w:r>
          </w:p>
        </w:tc>
        <w:tc>
          <w:tcPr>
            <w:tcW w:w="6600" w:type="dxa"/>
            <w:tcMar>
              <w:top w:w="80" w:type="dxa"/>
              <w:left w:w="100" w:type="dxa"/>
              <w:bottom w:w="80" w:type="dxa"/>
              <w:right w:w="100" w:type="dxa"/>
            </w:tcMar>
          </w:tcPr>
          <w:p w:rsidR="00000000" w:rsidRDefault="00000000" w14:paraId="6B000097">
            <w:pPr>
              <w:rPr/>
            </w:pPr>
            <w:r>
              <w:rPr>
                <w:sz w:val="19"/>
                <w:szCs w:val="19"/>
              </w:rPr>
              <w:t xml:space="preserve">Subscriber reporting tools, limited to the caller’s own organization and permitted projects</w:t>
            </w:r>
          </w:p>
        </w:tc>
      </w:tr>
      <w:tr>
        <w:trPr>
          <w:cantSplit/>
        </w:trPr>
        <w:tc>
          <w:tcPr>
            <w:tcW w:w="3000" w:type="dxa"/>
            <w:tcMar>
              <w:top w:w="80" w:type="dxa"/>
              <w:left w:w="100" w:type="dxa"/>
              <w:bottom w:w="80" w:type="dxa"/>
              <w:right w:w="100" w:type="dxa"/>
            </w:tcMar>
          </w:tcPr>
          <w:p w:rsidR="00000000" w:rsidRDefault="00000000" w14:paraId="6B000098">
            <w:pPr>
              <w:rPr/>
            </w:pPr>
            <w:r>
              <w:rPr>
                <w:sz w:val="19"/>
                <w:szCs w:val="19"/>
              </w:rPr>
              <w:t xml:space="preserve">provider.read</w:t>
            </w:r>
          </w:p>
        </w:tc>
        <w:tc>
          <w:tcPr>
            <w:tcW w:w="6600" w:type="dxa"/>
            <w:tcMar>
              <w:top w:w="80" w:type="dxa"/>
              <w:left w:w="100" w:type="dxa"/>
              <w:bottom w:w="80" w:type="dxa"/>
              <w:right w:w="100" w:type="dxa"/>
            </w:tcMar>
          </w:tcPr>
          <w:p w:rsidR="00000000" w:rsidRDefault="00000000" w14:paraId="6B000099">
            <w:pPr>
              <w:rPr/>
            </w:pPr>
            <w:r>
              <w:rPr>
                <w:sz w:val="19"/>
                <w:szCs w:val="19"/>
              </w:rPr>
              <w:t xml:space="preserve">Provider insights tools, limited to the caller’s own Provider account</w:t>
            </w:r>
          </w:p>
        </w:tc>
      </w:tr>
      <w:tr>
        <w:trPr>
          <w:cantSplit/>
        </w:trPr>
        <w:tc>
          <w:tcPr>
            <w:tcW w:w="3000" w:type="dxa"/>
            <w:tcMar>
              <w:top w:w="80" w:type="dxa"/>
              <w:left w:w="100" w:type="dxa"/>
              <w:bottom w:w="80" w:type="dxa"/>
              <w:right w:w="100" w:type="dxa"/>
            </w:tcMar>
          </w:tcPr>
          <w:p w:rsidR="00000000" w:rsidRDefault="00000000" w14:paraId="6B00009A">
            <w:pPr>
              <w:rPr/>
            </w:pPr>
            <w:r>
              <w:rPr>
                <w:sz w:val="19"/>
                <w:szCs w:val="19"/>
              </w:rPr>
              <w:t xml:space="preserve">operator.lifecycle.read</w:t>
            </w:r>
          </w:p>
        </w:tc>
        <w:tc>
          <w:tcPr>
            <w:tcW w:w="6600" w:type="dxa"/>
            <w:tcMar>
              <w:top w:w="80" w:type="dxa"/>
              <w:left w:w="100" w:type="dxa"/>
              <w:bottom w:w="80" w:type="dxa"/>
              <w:right w:w="100" w:type="dxa"/>
            </w:tcMar>
          </w:tcPr>
          <w:p w:rsidR="00000000" w:rsidRDefault="00000000" w14:paraId="6B00009B">
            <w:pPr>
              <w:rPr/>
            </w:pPr>
            <w:r>
              <w:rPr>
                <w:sz w:val="19"/>
                <w:szCs w:val="19"/>
              </w:rPr>
              <w:t xml:space="preserve">Operator read tools</w:t>
            </w:r>
          </w:p>
        </w:tc>
      </w:tr>
      <w:tr>
        <w:trPr>
          <w:cantSplit/>
        </w:trPr>
        <w:tc>
          <w:tcPr>
            <w:tcW w:w="3000" w:type="dxa"/>
            <w:tcMar>
              <w:top w:w="80" w:type="dxa"/>
              <w:left w:w="100" w:type="dxa"/>
              <w:bottom w:w="80" w:type="dxa"/>
              <w:right w:w="100" w:type="dxa"/>
            </w:tcMar>
          </w:tcPr>
          <w:p w:rsidR="00000000" w:rsidRDefault="00000000" w14:paraId="6B00009C">
            <w:pPr>
              <w:rPr/>
            </w:pPr>
            <w:r>
              <w:rPr>
                <w:sz w:val="19"/>
                <w:szCs w:val="19"/>
              </w:rPr>
              <w:t xml:space="preserve">operator.lifecycle.write</w:t>
            </w:r>
          </w:p>
        </w:tc>
        <w:tc>
          <w:tcPr>
            <w:tcW w:w="6600" w:type="dxa"/>
            <w:tcMar>
              <w:top w:w="80" w:type="dxa"/>
              <w:left w:w="100" w:type="dxa"/>
              <w:bottom w:w="80" w:type="dxa"/>
              <w:right w:w="100" w:type="dxa"/>
            </w:tcMar>
          </w:tcPr>
          <w:p w:rsidR="00000000" w:rsidRDefault="00000000" w14:paraId="6B00009D">
            <w:pPr>
              <w:rPr/>
            </w:pPr>
            <w:r>
              <w:rPr>
                <w:sz w:val="19"/>
                <w:szCs w:val="19"/>
              </w:rPr>
              <w:t xml:space="preserve">propose_lifecycle_update, confirm_lifecycle_update, request_recycler_confirmation</w:t>
            </w:r>
          </w:p>
        </w:tc>
      </w:tr>
    </w:tbl>
    <w:p w:rsidR="00000000" w:rsidRDefault="00000000" w14:paraId="6B00009E">
      <w:pPr>
        <w:spacing w:after="120"/>
        <w:rPr/>
      </w:pPr>
    </w:p>
    <w:p w:rsidR="00000000" w:rsidRDefault="00000000" w14:paraId="6B00009F">
      <w:pPr>
        <w:numPr>
          <w:ilvl w:val="0"/>
          <w:numId w:val="1"/>
        </w:numPr>
        <w:spacing w:after="60" w:before="0" w:line="240" w:lineRule="auto"/>
        <w:ind w:left="720" w:right="0" w:hanging="360"/>
        <w:rPr/>
      </w:pPr>
      <w:r>
        <w:rPr>
          <w:sz w:val="21"/>
          <w:szCs w:val="21"/>
        </w:rPr>
        <w:t xml:space="preserve">Tenant isolation is enforced server-side on every call; scopes never widen across organizations.</w:t>
      </w:r>
    </w:p>
    <w:p w:rsidR="00000000" w:rsidRDefault="00000000" w14:paraId="6B0000A0">
      <w:pPr>
        <w:numPr>
          <w:ilvl w:val="0"/>
          <w:numId w:val="1"/>
        </w:numPr>
        <w:spacing w:after="60" w:before="0" w:line="240" w:lineRule="auto"/>
        <w:ind w:left="720" w:right="0" w:hanging="360"/>
        <w:rPr/>
      </w:pPr>
      <w:r>
        <w:rPr>
          <w:sz w:val="21"/>
          <w:szCs w:val="21"/>
        </w:rPr>
        <w:t xml:space="preserve">Every write is audit-logged with actor, time, tool, change_id and before/after values.</w:t>
      </w:r>
    </w:p>
    <w:p w:rsidR="00000000" w:rsidRDefault="00000000" w14:paraId="6B0000A1">
      <w:pPr>
        <w:numPr>
          <w:ilvl w:val="0"/>
          <w:numId w:val="1"/>
        </w:numPr>
        <w:spacing w:after="60" w:before="0" w:line="240" w:lineRule="auto"/>
        <w:ind w:left="720" w:right="0" w:hanging="360"/>
        <w:rPr/>
      </w:pPr>
      <w:r>
        <w:rPr>
          <w:sz w:val="21"/>
          <w:szCs w:val="21"/>
        </w:rPr>
        <w:t xml:space="preserve">Per-user and per-organization rate limits apply; limits are published with each server version.</w:t>
      </w:r>
    </w:p>
    <w:p w:rsidR="00000000" w:rsidRDefault="00000000" w14:paraId="6B0000A2">
      <w:pPr>
        <w:pStyle w:val="Heading2"/>
        <w:spacing w:after="120" w:before="280" w:lineRule="auto"/>
        <w:rPr/>
      </w:pPr>
      <w:r>
        <w:rPr>
          <w:b w:val="1"/>
          <w:bCs w:val="1"/>
          <w:color w:val="1e7a4c"/>
          <w:sz w:val="24"/>
          <w:szCs w:val="24"/>
        </w:rPr>
        <w:t xml:space="preserve">23.7 Response Conventions</w:t>
      </w:r>
    </w:p>
    <w:p w:rsidR="00000000" w:rsidRDefault="00000000" w14:paraId="6B0000A3">
      <w:pPr>
        <w:numPr>
          <w:ilvl w:val="0"/>
          <w:numId w:val="1"/>
        </w:numPr>
        <w:spacing w:after="60" w:before="0" w:line="240" w:lineRule="auto"/>
        <w:ind w:left="720" w:right="0" w:hanging="360"/>
        <w:rPr/>
      </w:pPr>
      <w:r>
        <w:rPr>
          <w:sz w:val="21"/>
          <w:szCs w:val="21"/>
        </w:rPr>
        <w:t xml:space="preserve">Each result carries structured content (JSON validated against the tool’s output schema) plus a short plain-language summary.</w:t>
      </w:r>
    </w:p>
    <w:p w:rsidR="00000000" w:rsidRDefault="00000000" w14:paraId="6B0000A4">
      <w:pPr>
        <w:numPr>
          <w:ilvl w:val="0"/>
          <w:numId w:val="1"/>
        </w:numPr>
        <w:spacing w:after="60" w:before="0" w:line="240" w:lineRule="auto"/>
        <w:ind w:left="720" w:right="0" w:hanging="360"/>
        <w:rPr/>
      </w:pPr>
      <w:r>
        <w:rPr>
          <w:sz w:val="21"/>
          <w:szCs w:val="21"/>
        </w:rPr>
        <w:t xml:space="preserve">Every value includes its unit, field code, period, confidence tag (§8.1–§8.3) and accounting basis where relevant, plus the Stardust spec version and a deep link to the matching dashboard view.</w:t>
      </w:r>
    </w:p>
    <w:p w:rsidR="00000000" w:rsidRDefault="00000000" w14:paraId="6B0000A5">
      <w:pPr>
        <w:numPr>
          <w:ilvl w:val="0"/>
          <w:numId w:val="1"/>
        </w:numPr>
        <w:spacing w:after="60" w:before="0" w:line="240" w:lineRule="auto"/>
        <w:ind w:left="720" w:right="0" w:hanging="360"/>
        <w:rPr/>
      </w:pPr>
      <w:r>
        <w:rPr>
          <w:sz w:val="21"/>
          <w:szCs w:val="21"/>
        </w:rPr>
        <w:t xml:space="preserve">Errors use standard MCP error responses with Stardust reason codes: unauthorized, forbidden_scope, not_found, invalid_period, rate_limited, and a stale_data warning when telemetry is older than the reporting window.</w:t>
      </w:r>
    </w:p>
    <w:p w:rsidR="00000000" w:rsidRDefault="00000000" w14:paraId="6B0000A6">
      <w:pPr>
        <w:pStyle w:val="Heading2"/>
        <w:spacing w:after="120" w:before="280" w:lineRule="auto"/>
        <w:rPr/>
      </w:pPr>
      <w:r>
        <w:rPr>
          <w:b w:val="1"/>
          <w:bCs w:val="1"/>
          <w:color w:val="1e7a4c"/>
          <w:sz w:val="24"/>
          <w:szCs w:val="24"/>
        </w:rPr>
        <w:t xml:space="preserve">23.8 Versioning</w:t>
      </w:r>
    </w:p>
    <w:p w:rsidR="00000000" w:rsidRDefault="00000000" w14:paraId="6B0000A7">
      <w:pPr>
        <w:numPr>
          <w:ilvl w:val="0"/>
          <w:numId w:val="1"/>
        </w:numPr>
        <w:spacing w:after="60" w:before="0" w:line="240" w:lineRule="auto"/>
        <w:ind w:left="720" w:right="0" w:hanging="360"/>
        <w:rPr/>
      </w:pPr>
      <w:r>
        <w:rPr>
          <w:sz w:val="21"/>
          <w:szCs w:val="21"/>
        </w:rPr>
        <w:t xml:space="preserve">Tool names are stable. Adding optional inputs or output fields is a minor change.</w:t>
      </w:r>
    </w:p>
    <w:p w:rsidR="00000000" w:rsidRDefault="00000000" w14:paraId="6B0000A8">
      <w:pPr>
        <w:numPr>
          <w:ilvl w:val="0"/>
          <w:numId w:val="1"/>
        </w:numPr>
        <w:spacing w:after="60" w:before="0" w:line="240" w:lineRule="auto"/>
        <w:ind w:left="720" w:right="0" w:hanging="360"/>
        <w:rPr/>
      </w:pPr>
      <w:r>
        <w:rPr>
          <w:sz w:val="21"/>
          <w:szCs w:val="21"/>
        </w:rPr>
        <w:t xml:space="preserve">Breaking changes ship as a new tool (for example get_usage_summary_v2) and the old tool remains for a published deprecation window of at least six months.</w:t>
      </w:r>
    </w:p>
    <w:p w:rsidR="00000000" w:rsidRDefault="00000000" w14:paraId="6B0000A9">
      <w:pPr>
        <w:numPr>
          <w:ilvl w:val="0"/>
          <w:numId w:val="1"/>
        </w:numPr>
        <w:spacing w:after="60" w:before="0" w:line="240" w:lineRule="auto"/>
        <w:ind w:left="720" w:right="0" w:hanging="360"/>
        <w:rPr/>
      </w:pPr>
      <w:r>
        <w:rPr>
          <w:sz w:val="21"/>
          <w:szCs w:val="21"/>
        </w:rPr>
        <w:t xml:space="preserve">Each server reports the Stardust spec version and MCP protocol revision it implements.</w:t>
      </w:r>
    </w:p>
    <w:p w:rsidR="00000000" w:rsidDel="00000000" w:rsidP="00000000" w:rsidRDefault="00000000" w:rsidRPr="00000000" w14:paraId="000002F7">
      <w:pPr>
        <w:pStyle w:val="Heading1"/>
        <w:spacing w:after="160" w:before="360" w:lineRule="auto"/>
        <w:rPr/>
      </w:pPr>
      <w:r>
        <w:rPr>
          <w:b w:val="1"/>
          <w:bCs w:val="1"/>
          <w:color w:val="0f4a2e"/>
          <w:sz w:val="30"/>
          <w:szCs w:val="30"/>
          <w:rtl w:val="0"/>
        </w:rPr>
        <w:t xml:space="preserve">Appendix A: Cited Sources</w:t>
      </w:r>
      <w:r>
        <w:rPr>
          <w:rtl w:val="0"/>
        </w:rPr>
      </w:r>
    </w:p>
    <w:p w:rsidR="00000000" w:rsidDel="00000000" w:rsidP="00000000" w:rsidRDefault="00000000" w:rsidRPr="00000000" w14:paraId="000002F8">
      <w:pPr>
        <w:spacing w:after="140" w:lineRule="auto"/>
        <w:rPr/>
      </w:pPr>
      <w:r>
        <w:rPr>
          <w:sz w:val="21"/>
          <w:szCs w:val="21"/>
          <w:rtl w:val="0"/>
        </w:rPr>
        <w:t xml:space="preserve">Sources referenced in §8.5–§8.7 as of this draft. As stated in §8.4, the source list is versioned configuration and is expected to be updated as better data becomes available.</w:t>
      </w:r>
      <w:r>
        <w:rPr>
          <w:rtl w:val="0"/>
        </w:rPr>
      </w:r>
    </w:p>
    <w:p w:rsidR="00000000" w:rsidDel="00000000" w:rsidP="00000000" w:rsidRDefault="00000000" w:rsidRPr="00000000" w14:paraId="000002F9">
      <w:pPr>
        <w:pStyle w:val="Heading3"/>
        <w:spacing w:after="100" w:before="200" w:lineRule="auto"/>
        <w:rPr/>
      </w:pPr>
      <w:r>
        <w:rPr>
          <w:b w:val="1"/>
          <w:bCs w:val="1"/>
          <w:color w:val="333333"/>
          <w:sz w:val="21"/>
          <w:szCs w:val="21"/>
          <w:rtl w:val="0"/>
        </w:rPr>
        <w:t xml:space="preserve">Energy-per-token / per-query research</w:t>
      </w:r>
      <w:r>
        <w:rPr>
          <w:rtl w:val="0"/>
        </w:rPr>
      </w:r>
    </w:p>
    <w:p w:rsidR="00000000" w:rsidDel="00000000" w:rsidP="00000000" w:rsidRDefault="00000000" w:rsidRPr="00000000" w14:paraId="000002FA">
      <w:pPr>
        <w:spacing w:after="140" w:lineRule="auto"/>
        <w:rPr/>
      </w:pPr>
      <w:r>
        <w:rPr>
          <w:sz w:val="21"/>
          <w:szCs w:val="21"/>
          <w:rtl w:val="0"/>
        </w:rPr>
        <w:t xml:space="preserve">Oviedo, F. et al. “Energy Use of AI Inference, Efficiency Pathways, and Test-Time Scaling.” Joule (2026). DOI: 10.1016/j.joule.2026.102430; arXiv:2509.20241.</w:t>
      </w:r>
      <w:r>
        <w:rPr>
          <w:rtl w:val="0"/>
        </w:rPr>
      </w:r>
    </w:p>
    <w:p w:rsidR="00000000" w:rsidDel="00000000" w:rsidP="00000000" w:rsidRDefault="00000000" w:rsidRPr="00000000" w14:paraId="000002FB">
      <w:pPr>
        <w:spacing w:after="140" w:lineRule="auto"/>
        <w:rPr/>
      </w:pPr>
      <w:r>
        <w:rPr>
          <w:sz w:val="21"/>
          <w:szCs w:val="21"/>
          <w:rtl w:val="0"/>
        </w:rPr>
        <w:t xml:space="preserve">You, J. “How much energy does ChatGPT use?” Epoch AI, Gradient Updates (2025). epoch.ai/gradient-updates/how-much-energy-does-chatgpt-use.</w:t>
      </w:r>
      <w:r>
        <w:rPr>
          <w:rtl w:val="0"/>
        </w:rPr>
      </w:r>
    </w:p>
    <w:p w:rsidR="00000000" w:rsidDel="00000000" w:rsidP="00000000" w:rsidRDefault="00000000" w:rsidRPr="00000000" w14:paraId="000002FC">
      <w:pPr>
        <w:spacing w:after="140" w:lineRule="auto"/>
        <w:rPr/>
      </w:pPr>
      <w:r>
        <w:rPr>
          <w:sz w:val="21"/>
          <w:szCs w:val="21"/>
          <w:rtl w:val="0"/>
        </w:rPr>
        <w:t xml:space="preserve">Google. “Measuring the environmental impact of delivering AI at Google Scale.” (2026). arXiv:2508.15734.</w:t>
      </w:r>
      <w:r>
        <w:rPr>
          <w:rtl w:val="0"/>
        </w:rPr>
      </w:r>
    </w:p>
    <w:p w:rsidR="00000000" w:rsidDel="00000000" w:rsidP="00000000" w:rsidRDefault="00000000" w:rsidRPr="00000000" w14:paraId="000002FD">
      <w:pPr>
        <w:spacing w:after="140" w:lineRule="auto"/>
        <w:rPr/>
      </w:pPr>
      <w:sdt>
        <w:sdtPr>
          <w:id w:val="-242708702"/>
          <w:tag w:val="goog_rdk_15"/>
        </w:sdtPr>
        <w:sdtContent>
          <w:r>
            <w:rPr>
              <w:rFonts w:ascii="Gungsuh" w:cs="Gungsuh" w:eastAsia="Gungsuh" w:hAnsi="Gungsuh"/>
              <w:sz w:val="21"/>
              <w:szCs w:val="21"/>
              <w:rtl w:val="0"/>
            </w:rPr>
            <w:t xml:space="preserve">De Vries, A. “The growing energy footprint of artificial intelligence.” Joule (2023) — cited as the earlier, now-superseded ≈3 Wh/prompt estimate.</w:t>
          </w:r>
        </w:sdtContent>
      </w:sdt>
      <w:r>
        <w:rPr>
          <w:rtl w:val="0"/>
        </w:rPr>
      </w:r>
    </w:p>
    <w:p w:rsidR="00000000" w:rsidDel="00000000" w:rsidP="00000000" w:rsidRDefault="00000000" w:rsidRPr="00000000" w14:paraId="000002FE">
      <w:pPr>
        <w:spacing w:after="140" w:lineRule="auto"/>
        <w:rPr/>
      </w:pPr>
      <w:r>
        <w:rPr>
          <w:sz w:val="21"/>
          <w:szCs w:val="21"/>
          <w:rtl w:val="0"/>
        </w:rPr>
        <w:t xml:space="preserve">Wilhelm, P., Wittkopp, T. &amp; Kao, O. “Beyond Test-Time Compute Strategies: Advocating Energy-per-Token in LLM Inference.” EuroMLSys '25, ACM. DOI: 10.1145/3721146.3721953.</w:t>
      </w:r>
      <w:r>
        <w:rPr>
          <w:rtl w:val="0"/>
        </w:rPr>
      </w:r>
    </w:p>
    <w:p w:rsidR="00000000" w:rsidDel="00000000" w:rsidP="00000000" w:rsidRDefault="00000000" w:rsidRPr="00000000" w14:paraId="000002FF">
      <w:pPr>
        <w:spacing w:after="140" w:lineRule="auto"/>
        <w:rPr/>
      </w:pPr>
      <w:r>
        <w:rPr>
          <w:sz w:val="21"/>
          <w:szCs w:val="21"/>
          <w:rtl w:val="0"/>
        </w:rPr>
        <w:t xml:space="preserve">Chung, J. et al. “The ML.ENERGY Benchmark: Toward Automated Inference Energy Measurement and Optimization.” (2025). arXiv:2505.06371.</w:t>
      </w:r>
      <w:r>
        <w:rPr>
          <w:rtl w:val="0"/>
        </w:rPr>
      </w:r>
    </w:p>
    <w:p w:rsidR="00000000" w:rsidDel="00000000" w:rsidP="00000000" w:rsidRDefault="00000000" w:rsidRPr="00000000" w14:paraId="00000300">
      <w:pPr>
        <w:spacing w:after="140" w:lineRule="auto"/>
        <w:rPr/>
      </w:pPr>
      <w:r>
        <w:rPr>
          <w:sz w:val="21"/>
          <w:szCs w:val="21"/>
          <w:rtl w:val="0"/>
        </w:rPr>
        <w:t xml:space="preserve">“Where Do the Joules Go? Diagnosing Inference Energy Consumption.” (2026). arXiv:2601.22076.</w:t>
      </w:r>
      <w:r>
        <w:rPr>
          <w:rtl w:val="0"/>
        </w:rPr>
      </w:r>
    </w:p>
    <w:p w:rsidR="00000000" w:rsidDel="00000000" w:rsidP="00000000" w:rsidRDefault="00000000" w:rsidRPr="00000000" w14:paraId="00000301">
      <w:pPr>
        <w:spacing w:after="140" w:lineRule="auto"/>
        <w:rPr/>
      </w:pPr>
      <w:r>
        <w:rPr>
          <w:sz w:val="21"/>
          <w:szCs w:val="21"/>
          <w:rtl w:val="0"/>
        </w:rPr>
        <w:t xml:space="preserve">Niu, C., Zhang, W., Li, J., Zhao, Y., Wang, T., Wang, X. &amp; Chen, Y. “TokenPowerBench: Benchmarking the Power Consumption of LLM Inference.” AAAI Conference on Artificial Intelligence, Vol. 40 (2026), pp. 32582–32590.</w:t>
      </w:r>
      <w:r>
        <w:rPr>
          <w:rtl w:val="0"/>
        </w:rPr>
      </w:r>
    </w:p>
    <w:p w:rsidR="00000000" w:rsidDel="00000000" w:rsidP="00000000" w:rsidRDefault="00000000" w:rsidRPr="00000000" w14:paraId="00000302">
      <w:pPr>
        <w:spacing w:after="140" w:lineRule="auto"/>
        <w:rPr/>
      </w:pPr>
      <w:r>
        <w:rPr>
          <w:sz w:val="21"/>
          <w:szCs w:val="21"/>
          <w:rtl w:val="0"/>
        </w:rPr>
        <w:t xml:space="preserve">Samsi, S. et al. “From Words to Watts: Benchmarking the Energy Costs of Large Language Model Inference.” IEEE High Performance Extreme Computing Conference (2023). arXiv:2310.03003.</w:t>
      </w:r>
      <w:r>
        <w:rPr>
          <w:rtl w:val="0"/>
        </w:rPr>
      </w:r>
    </w:p>
    <w:p w:rsidR="00000000" w:rsidDel="00000000" w:rsidP="00000000" w:rsidRDefault="00000000" w:rsidRPr="00000000" w14:paraId="00000303">
      <w:pPr>
        <w:spacing w:after="140" w:lineRule="auto"/>
        <w:rPr/>
      </w:pPr>
      <w:r>
        <w:rPr>
          <w:sz w:val="21"/>
          <w:szCs w:val="21"/>
          <w:rtl w:val="0"/>
        </w:rPr>
        <w:t xml:space="preserve">John Snow Labs. “Tokens per Joule: How to Quantify and Reduce the Energy Footprint of Clinical LLM Inference.” (2026).</w:t>
      </w:r>
      <w:r>
        <w:rPr>
          <w:rtl w:val="0"/>
        </w:rPr>
      </w:r>
    </w:p>
    <w:p w:rsidR="00000000" w:rsidDel="00000000" w:rsidP="00000000" w:rsidRDefault="00000000" w:rsidRPr="00000000" w14:paraId="00000304">
      <w:pPr>
        <w:pStyle w:val="Heading3"/>
        <w:spacing w:after="100" w:before="200" w:lineRule="auto"/>
        <w:rPr/>
      </w:pPr>
      <w:r>
        <w:rPr>
          <w:b w:val="1"/>
          <w:bCs w:val="1"/>
          <w:color w:val="333333"/>
          <w:sz w:val="21"/>
          <w:szCs w:val="21"/>
          <w:rtl w:val="0"/>
        </w:rPr>
        <w:t xml:space="preserve">Electricity price and grid data</w:t>
      </w:r>
      <w:r>
        <w:rPr>
          <w:rtl w:val="0"/>
        </w:rPr>
      </w:r>
    </w:p>
    <w:p w:rsidR="00000000" w:rsidDel="00000000" w:rsidP="00000000" w:rsidRDefault="00000000" w:rsidRPr="00000000" w14:paraId="00000305">
      <w:pPr>
        <w:spacing w:after="140" w:lineRule="auto"/>
        <w:rPr/>
      </w:pPr>
      <w:r>
        <w:rPr>
          <w:sz w:val="21"/>
          <w:szCs w:val="21"/>
          <w:rtl w:val="0"/>
        </w:rPr>
        <w:t xml:space="preserve">U.S. Energy Information Administration (EIA). Electric Power Monthly, Table 5.6.A (commercial electricity rates by state). eia.gov.</w:t>
      </w:r>
      <w:r>
        <w:rPr>
          <w:rtl w:val="0"/>
        </w:rPr>
      </w:r>
    </w:p>
    <w:p w:rsidR="00000000" w:rsidDel="00000000" w:rsidP="00000000" w:rsidRDefault="00000000" w:rsidRPr="00000000" w14:paraId="00000306">
      <w:pPr>
        <w:spacing w:after="140" w:lineRule="auto"/>
        <w:rPr/>
      </w:pPr>
      <w:r>
        <w:rPr>
          <w:sz w:val="21"/>
          <w:szCs w:val="21"/>
          <w:rtl w:val="0"/>
        </w:rPr>
        <w:t xml:space="preserve">U.S. Energy Information Administration (EIA). Electricity Retail Sales, Form EIA-826 (industrial sector). eia.gov.</w:t>
      </w:r>
      <w:r>
        <w:rPr>
          <w:rtl w:val="0"/>
        </w:rPr>
      </w:r>
    </w:p>
    <w:p w:rsidR="00000000" w:rsidDel="00000000" w:rsidP="00000000" w:rsidRDefault="00000000" w:rsidRPr="00000000" w14:paraId="00000307">
      <w:pPr>
        <w:spacing w:after="140" w:lineRule="auto"/>
        <w:rPr/>
      </w:pPr>
      <w:r>
        <w:rPr>
          <w:sz w:val="21"/>
          <w:szCs w:val="21"/>
          <w:rtl w:val="0"/>
        </w:rPr>
        <w:t xml:space="preserve">U.S. Energy Information Administration (EIA). Hourly Electric Grid Monitor and Open Data API. eia.gov/opendata; eia.gov/electricity/gridmonitor.</w:t>
      </w:r>
      <w:r>
        <w:rPr>
          <w:rtl w:val="0"/>
        </w:rPr>
      </w:r>
    </w:p>
    <w:p w:rsidR="00000000" w:rsidDel="00000000" w:rsidP="00000000" w:rsidRDefault="00000000" w:rsidRPr="00000000" w14:paraId="00000308">
      <w:pPr>
        <w:spacing w:after="140" w:lineRule="auto"/>
        <w:rPr/>
      </w:pPr>
      <w:r>
        <w:rPr>
          <w:sz w:val="21"/>
          <w:szCs w:val="21"/>
          <w:rtl w:val="0"/>
        </w:rPr>
        <w:t xml:space="preserve">U.S. Energy Information Administration (EIA) wholesale price data, cited via Utility Dive, “Average US electricity prices rose 9% year over year in February.” (Apr 2026).</w:t>
      </w:r>
      <w:r>
        <w:rPr>
          <w:rtl w:val="0"/>
        </w:rPr>
      </w:r>
    </w:p>
    <w:p w:rsidR="00000000" w:rsidDel="00000000" w:rsidP="00000000" w:rsidRDefault="00000000" w:rsidRPr="00000000" w14:paraId="00000309">
      <w:pPr>
        <w:spacing w:after="140" w:lineRule="auto"/>
        <w:rPr/>
      </w:pPr>
      <w:r>
        <w:rPr>
          <w:sz w:val="21"/>
          <w:szCs w:val="21"/>
          <w:rtl w:val="0"/>
        </w:rPr>
        <w:t xml:space="preserve">Electricity Maps. Developer Hub API documentation (real-time and day-ahead carbon intensity and price signals). app.electricitymaps.com/developer-hub.</w:t>
      </w:r>
      <w:r>
        <w:rPr>
          <w:rtl w:val="0"/>
        </w:rPr>
      </w:r>
    </w:p>
    <w:p w:rsidR="00000000" w:rsidDel="00000000" w:rsidP="00000000" w:rsidRDefault="00000000" w:rsidRPr="00000000" w14:paraId="0000030A">
      <w:pPr>
        <w:spacing w:after="140" w:lineRule="auto"/>
        <w:rPr/>
      </w:pPr>
      <w:r>
        <w:rPr>
          <w:sz w:val="21"/>
          <w:szCs w:val="21"/>
          <w:rtl w:val="0"/>
        </w:rPr>
        <w:t xml:space="preserve">ENTSO-E Transparency Platform (European day-ahead electricity prices by bidding zone). transparency.entsoe.eu.</w:t>
      </w:r>
      <w:r>
        <w:rPr>
          <w:rtl w:val="0"/>
        </w:rPr>
      </w:r>
    </w:p>
    <w:p w:rsidR="00000000" w:rsidDel="00000000" w:rsidP="00000000" w:rsidRDefault="00000000" w:rsidRPr="00000000" w14:paraId="0000030B">
      <w:pPr>
        <w:spacing w:after="140" w:lineRule="auto"/>
        <w:rPr/>
      </w:pPr>
      <w:r>
        <w:rPr>
          <w:sz w:val="21"/>
          <w:szCs w:val="21"/>
          <w:rtl w:val="0"/>
        </w:rPr>
        <w:t xml:space="preserve">International Energy Agency (IEA). “Energy and AI.” Special Report (2025). iea.org/reports/energy-and-ai.</w:t>
      </w:r>
      <w:r>
        <w:rPr>
          <w:rtl w:val="0"/>
        </w:rPr>
      </w:r>
    </w:p>
    <w:p w:rsidR="00000000" w:rsidDel="00000000" w:rsidP="00000000" w:rsidRDefault="00000000" w:rsidRPr="00000000" w14:paraId="0000030C">
      <w:pPr>
        <w:spacing w:after="140" w:lineRule="auto"/>
        <w:rPr/>
      </w:pPr>
      <w:r>
        <w:rPr>
          <w:sz w:val="21"/>
          <w:szCs w:val="21"/>
          <w:rtl w:val="0"/>
        </w:rPr>
        <w:t xml:space="preserve">International Energy Agency (IEA). Real-Time Electricity Tracker. iea.org/data-and-statistics/data-tools/real-time-electricity-tracker.</w:t>
      </w:r>
      <w:r>
        <w:rPr>
          <w:rtl w:val="0"/>
        </w:rPr>
      </w:r>
    </w:p>
    <w:p w:rsidR="00000000" w:rsidDel="00000000" w:rsidP="00000000" w:rsidRDefault="00000000" w:rsidRPr="00000000" w14:paraId="0000030D">
      <w:pPr>
        <w:spacing w:after="140" w:lineRule="auto"/>
        <w:rPr/>
      </w:pPr>
      <w:r>
        <w:rPr>
          <w:sz w:val="21"/>
          <w:szCs w:val="21"/>
          <w:rtl w:val="0"/>
        </w:rPr>
        <w:t xml:space="preserve">WattTime. Data API (real-time marginal emissions signals). watttime.org.</w:t>
      </w:r>
      <w:r>
        <w:rPr>
          <w:rtl w:val="0"/>
        </w:rPr>
      </w:r>
    </w:p>
    <w:p w:rsidR="00000000" w:rsidRDefault="00000000" w14:paraId="7C000040">
      <w:pPr>
        <w:pStyle w:val="Heading3"/>
        <w:spacing w:after="100" w:before="200" w:lineRule="auto"/>
        <w:rPr/>
      </w:pPr>
      <w:r>
        <w:rPr>
          <w:b w:val="1"/>
          <w:bCs w:val="1"/>
          <w:color w:val="333333"/>
          <w:sz w:val="21"/>
          <w:szCs w:val="21"/>
        </w:rPr>
        <w:t xml:space="preserve">Lifecycle, training and embodied emissions (§8.8)</w:t>
      </w:r>
    </w:p>
    <w:p w:rsidR="00000000" w:rsidRDefault="00000000" w14:paraId="7C000041">
      <w:pPr>
        <w:spacing w:after="140" w:lineRule="auto"/>
        <w:rPr/>
      </w:pPr>
      <w:r>
        <w:rPr>
          <w:sz w:val="21"/>
          <w:szCs w:val="21"/>
        </w:rPr>
        <w:t xml:space="preserve">Mistral AI. “Our contribution to a global environmental standard for AI.” July 22, 2025 (lifecycle analysis with Carbone 4 and ADEME). mistral.ai/news/our-contribution-to-a-global-environmental-standard-for-ai.</w:t>
      </w:r>
    </w:p>
    <w:p w:rsidR="00000000" w:rsidRDefault="00000000" w14:paraId="7C000042">
      <w:pPr>
        <w:spacing w:after="140" w:lineRule="auto"/>
        <w:rPr/>
      </w:pPr>
      <w:r>
        <w:rPr>
          <w:sz w:val="21"/>
          <w:szCs w:val="21"/>
        </w:rPr>
        <w:t xml:space="preserve">Elsworth, C. et al. “Measuring the environmental impact of delivering AI at Google Scale.” Google (Aug 2025). arXiv:2508.15734.</w:t>
      </w:r>
    </w:p>
    <w:p w:rsidR="00000000" w:rsidRDefault="00000000" w14:paraId="7C000043">
      <w:pPr>
        <w:spacing w:after="140" w:lineRule="auto"/>
        <w:rPr/>
      </w:pPr>
      <w:r>
        <w:rPr>
          <w:sz w:val="21"/>
          <w:szCs w:val="21"/>
        </w:rPr>
        <w:t xml:space="preserve">Meta. Llama 3.1 model card: Training Greenhouse Gas Emissions (Jul 2024). huggingface.co/meta-llama.</w:t>
      </w:r>
    </w:p>
    <w:p w:rsidR="00000000" w:rsidRDefault="00000000" w14:paraId="7C000044">
      <w:pPr>
        <w:spacing w:after="140" w:lineRule="auto"/>
        <w:rPr/>
      </w:pPr>
      <w:r>
        <w:rPr>
          <w:sz w:val="21"/>
          <w:szCs w:val="21"/>
        </w:rPr>
        <w:t xml:space="preserve">Luccioni, A. S., Viguier, S., Ligozat, A.-L. “Estimating the Carbon Footprint of BLOOM, a 176B Parameter Language Model.” JMLR (2023).</w:t>
      </w:r>
    </w:p>
    <w:p w:rsidR="00000000" w:rsidRDefault="00000000" w14:paraId="7C000045">
      <w:pPr>
        <w:spacing w:after="140" w:lineRule="auto"/>
        <w:rPr/>
      </w:pPr>
      <w:r>
        <w:rPr>
          <w:sz w:val="21"/>
          <w:szCs w:val="21"/>
        </w:rPr>
        <w:t xml:space="preserve">NVIDIA. Product Carbon Footprint summaries, HGX H100 and HGX B200 (2025); “NVIDIA HGX B200 Reduces Embodied Carbon Emissions Intensity.” developer.nvidia.com.</w:t>
      </w:r>
    </w:p>
    <w:p w:rsidR="00000000" w:rsidRDefault="00000000" w14:paraId="7C000046">
      <w:pPr>
        <w:spacing w:after="140" w:lineRule="auto"/>
        <w:rPr/>
      </w:pPr>
      <w:r>
        <w:rPr>
          <w:sz w:val="21"/>
          <w:szCs w:val="21"/>
        </w:rPr>
        <w:t xml:space="preserve">Falk, S. et al. “More than carbon: Cradle-to-grave environmental impacts of GenAI training on the Nvidia A100 GPU.” Environmental Impact Assessment Review (2026). sciencedirect.com.</w:t>
      </w:r>
    </w:p>
    <w:p w:rsidR="00000000" w:rsidRDefault="00000000" w14:paraId="7D00011D">
      <w:pPr>
        <w:pStyle w:val="Heading3"/>
        <w:spacing w:after="100" w:before="200" w:lineRule="auto"/>
        <w:rPr/>
      </w:pPr>
      <w:r>
        <w:rPr>
          <w:b w:val="1"/>
          <w:bCs w:val="1"/>
          <w:color w:val="333333"/>
          <w:sz w:val="21"/>
          <w:szCs w:val="21"/>
        </w:rPr>
        <w:t xml:space="preserve">Multi-attribute credits and measurement standards (§22)</w:t>
      </w:r>
    </w:p>
    <w:p w:rsidR="00000000" w:rsidRDefault="00000000" w14:paraId="7D00011E">
      <w:pPr>
        <w:spacing w:after="140" w:lineRule="auto"/>
        <w:rPr/>
      </w:pPr>
      <w:r>
        <w:rPr>
          <w:sz w:val="21"/>
          <w:szCs w:val="21"/>
        </w:rPr>
        <w:t xml:space="preserve">Bonneville Environmental Foundation. Water Restoration Certificates program. b-e-f.org/programs/water-restoration-certificates.</w:t>
      </w:r>
    </w:p>
    <w:p w:rsidR="00000000" w:rsidRDefault="00000000" w14:paraId="7D00011F">
      <w:pPr>
        <w:spacing w:after="140" w:lineRule="auto"/>
        <w:rPr/>
      </w:pPr>
      <w:r>
        <w:rPr>
          <w:sz w:val="21"/>
          <w:szCs w:val="21"/>
        </w:rPr>
        <w:t xml:space="preserve">World Resources Institute. Volumetric Water Benefit Accounting (VWBA) 2.0.</w:t>
      </w:r>
    </w:p>
    <w:p w:rsidR="00000000" w:rsidRDefault="00000000" w14:paraId="7D000120">
      <w:pPr>
        <w:spacing w:after="140" w:lineRule="auto"/>
        <w:rPr/>
      </w:pPr>
      <w:r>
        <w:rPr>
          <w:sz w:val="21"/>
          <w:szCs w:val="21"/>
        </w:rPr>
        <w:t xml:space="preserve">ISO/IEC 30134-6:2021. Data centres key performance indicators, Part 6: Energy Reuse Factor (ERF). iso.org/standard/71717.html.</w:t>
      </w:r>
    </w:p>
    <w:p w:rsidR="00000000" w:rsidRDefault="00000000" w14:paraId="7D000121">
      <w:pPr>
        <w:spacing w:after="140" w:lineRule="auto"/>
        <w:rPr/>
      </w:pPr>
      <w:r>
        <w:rPr>
          <w:sz w:val="21"/>
          <w:szCs w:val="21"/>
        </w:rPr>
        <w:t xml:space="preserve">Germany. Energy Efficiency Act (Energieeffizienzgesetz, EnEfG), 2023: data-center ERF requirements.</w:t>
      </w:r>
    </w:p>
    <w:p w:rsidR="00000000" w:rsidRDefault="00000000" w14:paraId="7D000122">
      <w:pPr>
        <w:spacing w:after="140" w:lineRule="auto"/>
        <w:rPr/>
      </w:pPr>
      <w:r>
        <w:rPr>
          <w:sz w:val="21"/>
          <w:szCs w:val="21"/>
        </w:rPr>
        <w:t xml:space="preserve">EnergyTag. Granular Certificate Scheme Standard; I-TRACK Foundation (I-REC Standard) endorsement. trackingstandard.org.</w:t>
      </w:r>
    </w:p>
    <w:p w:rsidR="00000000" w:rsidRDefault="00000000" w14:paraId="7D000123">
      <w:pPr>
        <w:spacing w:after="140" w:lineRule="auto"/>
        <w:rPr/>
      </w:pPr>
      <w:r>
        <w:rPr>
          <w:sz w:val="21"/>
          <w:szCs w:val="21"/>
        </w:rPr>
        <w:t xml:space="preserve">Verra. Plastic Waste Reduction Standard. verra.org.</w:t>
      </w:r>
    </w:p>
    <w:p w:rsidR="00000000" w:rsidRDefault="00000000" w14:paraId="7F000002">
      <w:pPr>
        <w:pStyle w:val="Heading3"/>
        <w:spacing w:after="100" w:before="200" w:lineRule="auto"/>
        <w:rPr/>
      </w:pPr>
      <w:r>
        <w:rPr>
          <w:b w:val="1"/>
          <w:bCs w:val="1"/>
          <w:color w:val="333333"/>
          <w:sz w:val="21"/>
          <w:szCs w:val="21"/>
        </w:rPr>
        <w:t xml:space="preserve">Time-of-use, embodied and lifecycle telemetry (§8.8.8, §11.5, §21.7, §22.8)</w:t>
      </w:r>
    </w:p>
    <w:p w:rsidR="00000000" w:rsidRDefault="00000000" w14:paraId="7F000003">
      <w:pPr>
        <w:spacing w:after="140" w:lineRule="auto"/>
        <w:rPr/>
      </w:pPr>
      <w:r>
        <w:rPr>
          <w:sz w:val="21"/>
          <w:szCs w:val="21"/>
        </w:rPr>
        <w:t xml:space="preserve">OpenTelemetry. Semantic conventions for hardware metrics (hw.*), Development status. opentelemetry.io/docs/specs/semconv/hardware/.</w:t>
      </w:r>
    </w:p>
    <w:p w:rsidR="00000000" w:rsidRDefault="00000000" w14:paraId="7F000004">
      <w:pPr>
        <w:spacing w:after="140" w:lineRule="auto"/>
        <w:rPr/>
      </w:pPr>
      <w:r>
        <w:rPr>
          <w:sz w:val="21"/>
          <w:szCs w:val="21"/>
        </w:rPr>
        <w:t xml:space="preserve">Green Software Foundation. Carbon Aware SDK (Graduated Project). carbon-aware-sdk.greensoftware.foundation.</w:t>
      </w:r>
    </w:p>
    <w:p w:rsidR="00000000" w:rsidRDefault="00000000" w14:paraId="7F000005">
      <w:pPr>
        <w:spacing w:after="140" w:lineRule="auto"/>
        <w:rPr/>
      </w:pPr>
      <w:r>
        <w:rPr>
          <w:sz w:val="21"/>
          <w:szCs w:val="21"/>
        </w:rPr>
        <w:t xml:space="preserve">WattTime. Marginal emissions API. watttime.org. Electricity Maps. Carbon intensity API. electricitymaps.com.</w:t>
      </w:r>
    </w:p>
    <w:p w:rsidR="00000000" w:rsidRDefault="00000000" w14:paraId="7F000006">
      <w:pPr>
        <w:spacing w:after="140" w:lineRule="auto"/>
        <w:rPr/>
      </w:pPr>
      <w:r>
        <w:rPr>
          <w:sz w:val="21"/>
          <w:szCs w:val="21"/>
        </w:rPr>
        <w:t xml:space="preserve">OpenADR Alliance. OpenADR 3.0 (dynamic pricing and greenhouse gas signals). openadr.org.</w:t>
      </w:r>
    </w:p>
    <w:p w:rsidR="00000000" w:rsidRDefault="00000000" w14:paraId="7F000007">
      <w:pPr>
        <w:spacing w:after="140" w:lineRule="auto"/>
        <w:rPr/>
      </w:pPr>
      <w:r>
        <w:rPr>
          <w:sz w:val="21"/>
          <w:szCs w:val="21"/>
        </w:rPr>
        <w:t xml:space="preserve">OpenEI. Utility Rate Database. openei.org. Green Button Alliance. Green Button data standard. greenbuttonalliance.org.</w:t>
      </w:r>
    </w:p>
    <w:p w:rsidR="00000000" w:rsidRDefault="00000000" w14:paraId="7F000008">
      <w:pPr>
        <w:spacing w:after="140" w:lineRule="auto"/>
        <w:rPr/>
      </w:pPr>
      <w:r>
        <w:rPr>
          <w:sz w:val="21"/>
          <w:szCs w:val="21"/>
        </w:rPr>
        <w:t xml:space="preserve">Boavizta. BoaviztAPI: bottom-up environmental impacts of ICT equipment and cloud services (AGPL-3.0). github.com/Boavizta/boaviztapi; Simon et al., HotCarbon ’24.</w:t>
      </w:r>
    </w:p>
    <w:p w:rsidR="00000000" w:rsidRDefault="00000000" w14:paraId="7F000009">
      <w:pPr>
        <w:spacing w:after="140" w:lineRule="auto"/>
        <w:rPr/>
      </w:pPr>
      <w:r>
        <w:rPr>
          <w:sz w:val="21"/>
          <w:szCs w:val="21"/>
        </w:rPr>
        <w:t xml:space="preserve">ISO 14067:2018. Greenhouse gases: Carbon footprint of products.</w:t>
      </w:r>
    </w:p>
    <w:p w:rsidR="00000000" w:rsidRDefault="00000000" w14:paraId="7F00000A">
      <w:pPr>
        <w:spacing w:after="140" w:lineRule="auto"/>
        <w:rPr/>
      </w:pPr>
      <w:r>
        <w:rPr>
          <w:sz w:val="21"/>
          <w:szCs w:val="21"/>
        </w:rPr>
        <w:t xml:space="preserve">IEC 62474. Material declaration for products of and for the electrotechnical industry.</w:t>
      </w:r>
    </w:p>
    <w:p w:rsidR="00000000" w:rsidRDefault="00000000" w14:paraId="7F00000B">
      <w:pPr>
        <w:spacing w:after="140" w:lineRule="auto"/>
        <w:rPr/>
      </w:pPr>
      <w:r>
        <w:rPr>
          <w:sz w:val="21"/>
          <w:szCs w:val="21"/>
        </w:rPr>
        <w:t xml:space="preserve">ISO 59020:2024. Circular economy: Measuring and assessing circularity performance.</w:t>
      </w:r>
    </w:p>
    <w:p w:rsidR="00000000" w:rsidRDefault="00000000" w14:paraId="7F00000C">
      <w:pPr>
        <w:spacing w:after="140" w:lineRule="auto"/>
        <w:rPr/>
      </w:pPr>
      <w:r>
        <w:rPr>
          <w:sz w:val="21"/>
          <w:szCs w:val="21"/>
        </w:rPr>
        <w:t xml:space="preserve">DMTF. Redfish standard (hardware inventory and power telemetry). dmtf.org/standards/redfish.</w:t>
      </w:r>
    </w:p>
    <w:p w:rsidR="00000000" w:rsidRDefault="00000000" w14:paraId="7F00000D">
      <w:pPr>
        <w:spacing w:after="140" w:lineRule="auto"/>
        <w:rPr/>
      </w:pPr>
      <w:r>
        <w:rPr>
          <w:sz w:val="21"/>
          <w:szCs w:val="21"/>
        </w:rPr>
        <w:t xml:space="preserve">European Union. Ecodesign for Sustainable Products Regulation (EU) 2024/1781, Digital Product Passport.</w:t>
      </w:r>
    </w:p>
    <w:p w:rsidR="00000000" w:rsidRDefault="00000000" w14:paraId="6B0000AA">
      <w:pPr>
        <w:pStyle w:val="Heading3"/>
        <w:spacing w:after="100" w:before="200" w:lineRule="auto"/>
        <w:rPr/>
      </w:pPr>
      <w:r>
        <w:rPr>
          <w:b w:val="1"/>
          <w:bCs w:val="1"/>
          <w:color w:val="333333"/>
          <w:sz w:val="21"/>
          <w:szCs w:val="21"/>
        </w:rPr>
        <w:t xml:space="preserve">MCP interface (§23)</w:t>
      </w:r>
    </w:p>
    <w:p w:rsidR="00000000" w:rsidRDefault="00000000" w14:paraId="6B0000AB">
      <w:pPr>
        <w:spacing w:after="140" w:lineRule="auto"/>
        <w:rPr/>
      </w:pPr>
      <w:r>
        <w:rPr>
          <w:sz w:val="21"/>
          <w:szCs w:val="21"/>
        </w:rPr>
        <w:t xml:space="preserve">Model Context Protocol specification: tools, tool annotations, structured output, elicitation, Streamable HTTP transport and authorization. modelcontextprotocol.io/specification.</w:t>
      </w:r>
    </w:p>
    <w:p w:rsidR="00000000" w:rsidRDefault="00000000" w14:paraId="6B0000AC">
      <w:pPr>
        <w:spacing w:after="140" w:lineRule="auto"/>
        <w:rPr/>
      </w:pPr>
      <w:r>
        <w:rPr>
          <w:sz w:val="21"/>
          <w:szCs w:val="21"/>
        </w:rPr>
        <w:t xml:space="preserve">The OAuth 2.1 Authorization Framework (IETF draft). datatracker.ietf.org/doc/draft-ietf-oauth-v2-1.</w:t>
      </w:r>
    </w:p>
    <w:sectPr>
      <w:pgSz w:h="15840" w:w="12240" w:orient="portrait"/>
      <w:pgMar w:bottom="1080" w:top="108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es Finkelstein" w:id="0" w:date="2026-09-01T06:37:39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@jack@aifore.org plese scan over this one - significant changes based on your feedback and more thinking on my part...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jack@aifore.org_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9" Type="http://schemas.openxmlformats.org/officeDocument/2006/relationships/image" Target="media/image1.png"/><Relationship Id="rId101" Type="http://schemas.openxmlformats.org/officeDocument/2006/relationships/image" Target="media/fig_dataflow.png"/><Relationship Id="rId102" Type="http://schemas.openxmlformats.org/officeDocument/2006/relationships/image" Target="media/fig_marketplace.png"/><Relationship Id="rId103" Type="http://schemas.openxmlformats.org/officeDocument/2006/relationships/image" Target="media/fig_rightsizing.png"/><Relationship Id="rId104" Type="http://schemas.openxmlformats.org/officeDocument/2006/relationships/image" Target="media/fig_multicredit.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TgWZ4aI2+dnSUdrfqUhRrWxIQ==">CgMxLjAaJwoBMBIiCiAIBCocCgtBQUFDR1N4X3hmVRAIGgtBQUFDR1N4X3hmVR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TCgIxMxINCgsIB0IHEgVDYXJkbxokCgIxNBIeChwIB0IYCg9UaW1lcyBOZXcgUm9tYW4SBUNhcmRvGhUKAjE1Eg8KDQgHQgkSB0d1bmdzdWgitwUKC0FBQUNHU3hfeGZVEoUFCgtBQUFDR1N4X3hmVRILQUFBQ0dTeF94ZlUaugEKCXRleHQvaHRtbBKsAUA8YSBocmVmPSJtYWlsdG86amFja0BhaWZvcmUub3JnIiB0YXJnZXQ9Il9ibGFuayI+amFja0BhaWZvcmUub3JnPC9hPiBwbGVzZSBzY2FuIG92ZXIgdGhpcyBvbmUgLSBzaWduaWZpY2FudMKgY2hhbmdlcyBiYXNlZCBvbiB5b3VyIGZlZWRiYWNrIGFuZCBtb3JlIHRoaW5raW5nIG9uIG15IHBhcnQuLi4ihQEKCnRleHQvcGxhaW4Sd0BqYWNrQGFpZm9yZS5vcmcgcGxlc2Ugc2NhbiBvdmVyIHRoaXMgb25lIC0gc2lnbmlmaWNhbnTCoGNoYW5nZXMgYmFzZWQgb24geW91ciBmZWVkYmFjayBhbmQgbW9yZSB0aGlua2luZyBvbiBteSBwYXJ0Li4uKhsiFTEwNjc2MTM5MjgzNTgwODY0OTQyNCgAOAAwkpnA3YU0OJKZwN2FNFAEWgxlNzBvdGZkd2E5YzdyAiAAeACSAR0KGyIVMTExNjcxMDExODk2MDA0MTY1MTU1KAA4AJoBBggAEAAYAKoBrwESrAFAPGEgaHJlZj0ibWFpbHRvOmphY2tAYWlmb3JlLm9yZyIgdGFyZ2V0PSJfYmxhbmsiPmphY2tAYWlmb3JlLm9yZzwvYT4gcGxlc2Ugc2NhbiBvdmVyIHRoaXMgb25lIC0gc2lnbmlmaWNhbnTCoGNoYW5nZXMgYmFzZWQgb24geW91ciBmZWVkYmFjayBhbmQgbW9yZSB0aGlua2luZyBvbiBteSBwYXJ0Li4usAEAuAEAyAEAGJKZwN2FNCCSmcDdhTQwAEIQa2l4LjJjenpnMzU0c21mNzgAciExSTVfUXVlV01qNmdNeE9qaFI5OGhnMm1EVEpmR1c4R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2026-09-01T06:33:24.597Z</dcterms:created>
  <dc:creator>Un-named</dc:creator>
</cp:coreProperties>
</file>

<file path=docProps/custom.xml><?xml version="1.0" encoding="utf-8"?>
<Properties xmlns="http://schemas.openxmlformats.org/officeDocument/2006/custom-properties" xmlns:vt="http://schemas.openxmlformats.org/officeDocument/2006/docPropsVTypes"/>
</file>