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513E5" w14:textId="108C65D0" w:rsidR="00841521" w:rsidRPr="00B46E5E" w:rsidRDefault="00995AF9">
      <w:pPr>
        <w:rPr>
          <w:b/>
        </w:rPr>
      </w:pPr>
      <w:r w:rsidRPr="00B46E5E">
        <w:rPr>
          <w:b/>
        </w:rPr>
        <w:t>Overview</w:t>
      </w:r>
    </w:p>
    <w:p w14:paraId="752A8686" w14:textId="7B77A8BB" w:rsidR="00995AF9" w:rsidRDefault="00995AF9"/>
    <w:p w14:paraId="3890F70F" w14:textId="62AF17C4" w:rsidR="00995AF9" w:rsidRDefault="00995AF9" w:rsidP="007C1C9B">
      <w:r>
        <w:t>We used a</w:t>
      </w:r>
      <w:r w:rsidR="00B46E5E">
        <w:t xml:space="preserve"> spatially explicit</w:t>
      </w:r>
      <w:r>
        <w:t xml:space="preserve"> individual-based model to track a simulated </w:t>
      </w:r>
      <w:r w:rsidR="00B46E5E">
        <w:t xml:space="preserve">COVID-19 </w:t>
      </w:r>
      <w:r>
        <w:t>epidemic unfolding in a refugee camp</w:t>
      </w:r>
      <w:r w:rsidR="00B46E5E">
        <w:t xml:space="preserve"> </w:t>
      </w:r>
      <w:r w:rsidR="008C5E54">
        <w:t>over</w:t>
      </w:r>
      <w:r w:rsidR="00B46E5E">
        <w:t xml:space="preserve"> discrete timesteps that correspond to days. </w:t>
      </w:r>
      <w:r>
        <w:t xml:space="preserve">The infection starts in </w:t>
      </w:r>
      <w:r w:rsidR="001F330E">
        <w:t>one</w:t>
      </w:r>
      <w:r>
        <w:t xml:space="preserve"> individual, and is transmitted probabilistically among individuals as they interact during daily activities.</w:t>
      </w:r>
      <w:r w:rsidR="00B46E5E">
        <w:t xml:space="preserve"> The parameters that describe </w:t>
      </w:r>
      <w:r w:rsidR="008C5E54">
        <w:t xml:space="preserve">the population and </w:t>
      </w:r>
      <w:r w:rsidR="00B46E5E">
        <w:t xml:space="preserve">the camp simulate the </w:t>
      </w:r>
      <w:proofErr w:type="spellStart"/>
      <w:r w:rsidR="00B46E5E">
        <w:t>Moria</w:t>
      </w:r>
      <w:proofErr w:type="spellEnd"/>
      <w:r w:rsidR="00B46E5E">
        <w:t xml:space="preserve"> refugee camp on Lesbos, Greece. The parameters that describe disease progression and transmission are drawn from the literature on COVID-19. </w:t>
      </w:r>
      <w:commentRangeStart w:id="0"/>
      <w:r w:rsidR="00B46E5E">
        <w:t xml:space="preserve">The parameters that describe individuals’ movements about the camp are heuristic, but our qualitative predictions </w:t>
      </w:r>
      <w:r w:rsidR="008C5E54">
        <w:t xml:space="preserve">hold </w:t>
      </w:r>
      <w:r w:rsidR="00B46E5E">
        <w:t>under other reasonable sets of parameter values</w:t>
      </w:r>
      <w:commentRangeEnd w:id="0"/>
      <w:r w:rsidR="008C5E54">
        <w:rPr>
          <w:rStyle w:val="CommentReference"/>
        </w:rPr>
        <w:commentReference w:id="0"/>
      </w:r>
      <w:r w:rsidR="00B46E5E">
        <w:t>.</w:t>
      </w:r>
      <w:r w:rsidR="008C5E54">
        <w:t xml:space="preserve"> We modelled epidemics with no interventions, and epidemic</w:t>
      </w:r>
      <w:r w:rsidR="001F330E">
        <w:t>s</w:t>
      </w:r>
      <w:r w:rsidR="008C5E54">
        <w:t xml:space="preserve"> where interventions or combinations of interventions were used to reduce disease transmission. To assess the </w:t>
      </w:r>
      <w:r w:rsidR="008628F9">
        <w:t>effect</w:t>
      </w:r>
      <w:r w:rsidR="008C5E54">
        <w:t xml:space="preserve"> of interevtions, we compared the peak number of infected individuals, the time to peak infection, and the total number of </w:t>
      </w:r>
      <w:r w:rsidR="008628F9">
        <w:t>individuals</w:t>
      </w:r>
      <w:r w:rsidR="008C5E54">
        <w:t xml:space="preserve"> infected</w:t>
      </w:r>
      <w:r w:rsidR="008628F9">
        <w:t>,</w:t>
      </w:r>
      <w:r w:rsidR="008C5E54">
        <w:t xml:space="preserve"> with interventions and in the baseline case.</w:t>
      </w:r>
    </w:p>
    <w:p w14:paraId="2BD91388" w14:textId="417E86C7" w:rsidR="008628F9" w:rsidRDefault="008628F9"/>
    <w:p w14:paraId="2E0545FA" w14:textId="72C95D5B" w:rsidR="008628F9" w:rsidRDefault="008628F9" w:rsidP="007C1C9B">
      <w:r>
        <w:t xml:space="preserve">Throughout this manuscript, </w:t>
      </w:r>
      <w:r w:rsidR="00643433">
        <w:t>we use “</w:t>
      </w:r>
      <w:proofErr w:type="spellStart"/>
      <w:r w:rsidR="00643433">
        <w:t>Moria</w:t>
      </w:r>
      <w:proofErr w:type="spellEnd"/>
      <w:r w:rsidR="00643433">
        <w:t xml:space="preserve">” to refer the </w:t>
      </w:r>
      <w:proofErr w:type="spellStart"/>
      <w:r w:rsidR="00643433">
        <w:t>Moria</w:t>
      </w:r>
      <w:proofErr w:type="spellEnd"/>
      <w:r w:rsidR="00643433">
        <w:t xml:space="preserve"> refugee camp</w:t>
      </w:r>
      <w:r w:rsidR="007B7100">
        <w:t>, and</w:t>
      </w:r>
      <w:r w:rsidR="00643433">
        <w:t xml:space="preserve"> </w:t>
      </w:r>
      <w:r w:rsidR="007B7100">
        <w:t>“camp” to refer to the camp in our model</w:t>
      </w:r>
      <w:r w:rsidR="00643433">
        <w:t>. W</w:t>
      </w:r>
      <w:r>
        <w:t>e use</w:t>
      </w:r>
      <w:r w:rsidR="007B7100">
        <w:t xml:space="preserve"> “person” or “people” to refer to people in </w:t>
      </w:r>
      <w:proofErr w:type="spellStart"/>
      <w:r w:rsidR="007B7100">
        <w:t>Moria</w:t>
      </w:r>
      <w:proofErr w:type="spellEnd"/>
      <w:r w:rsidR="007B7100">
        <w:t>,</w:t>
      </w:r>
      <w:r w:rsidR="00643433">
        <w:t xml:space="preserve"> </w:t>
      </w:r>
      <w:r w:rsidR="007B7100">
        <w:t xml:space="preserve">and we use </w:t>
      </w:r>
      <w:r w:rsidR="00643433">
        <w:t xml:space="preserve">“individuals” to refer to individuals in </w:t>
      </w:r>
      <w:r w:rsidR="00F7219E">
        <w:t>the</w:t>
      </w:r>
      <w:r w:rsidR="00643433">
        <w:t xml:space="preserve"> model population</w:t>
      </w:r>
      <w:r>
        <w:t>.</w:t>
      </w:r>
    </w:p>
    <w:p w14:paraId="74827E6D" w14:textId="4D390D57" w:rsidR="00995AF9" w:rsidRDefault="00995AF9"/>
    <w:p w14:paraId="03E11D35" w14:textId="4C35E507" w:rsidR="001F330E" w:rsidRPr="001F330E" w:rsidRDefault="001F330E" w:rsidP="001F330E">
      <w:pPr>
        <w:rPr>
          <w:b/>
        </w:rPr>
      </w:pPr>
      <w:r w:rsidRPr="001F330E">
        <w:rPr>
          <w:b/>
        </w:rPr>
        <w:t xml:space="preserve">The </w:t>
      </w:r>
      <w:r w:rsidR="00E8491E">
        <w:rPr>
          <w:b/>
        </w:rPr>
        <w:t>p</w:t>
      </w:r>
      <w:r w:rsidRPr="001F330E">
        <w:rPr>
          <w:b/>
        </w:rPr>
        <w:t>opulation</w:t>
      </w:r>
    </w:p>
    <w:p w14:paraId="1EDEAD7C" w14:textId="77777777" w:rsidR="001F330E" w:rsidRDefault="001F330E">
      <w:pPr>
        <w:rPr>
          <w:b/>
        </w:rPr>
      </w:pPr>
    </w:p>
    <w:p w14:paraId="3C15D9FD" w14:textId="543BA1F2" w:rsidR="00B26B1F" w:rsidRDefault="001F330E" w:rsidP="007C1C9B">
      <w:r>
        <w:t xml:space="preserve">The model population </w:t>
      </w:r>
      <w:r w:rsidR="00FB6CFE">
        <w:t>is comprised of 18,</w:t>
      </w:r>
      <w:r w:rsidR="00E5432C">
        <w:t>7</w:t>
      </w:r>
      <w:r w:rsidR="00FB6CFE">
        <w:t>00 individuals</w:t>
      </w:r>
      <w:r w:rsidR="00E9180B">
        <w:t>.</w:t>
      </w:r>
      <w:r w:rsidR="00FB6CFE">
        <w:t xml:space="preserve"> Each individual is characterised by </w:t>
      </w:r>
      <w:r w:rsidR="008D3AC7">
        <w:t xml:space="preserve">its </w:t>
      </w:r>
      <w:r w:rsidR="00FB6CFE">
        <w:t>age, sex, condition, and disease state. Condition describes whether an individual is</w:t>
      </w:r>
      <w:r w:rsidR="00E9180B">
        <w:t xml:space="preserve"> </w:t>
      </w:r>
      <w:r w:rsidR="00FB6CFE">
        <w:t xml:space="preserve">healthy or has a </w:t>
      </w:r>
      <w:r w:rsidR="00B26B1F">
        <w:t xml:space="preserve">pre-existing condition </w:t>
      </w:r>
      <w:r w:rsidR="008D3AC7">
        <w:t>that</w:t>
      </w:r>
      <w:r w:rsidR="00B26B1F">
        <w:t xml:space="preserve"> increase</w:t>
      </w:r>
      <w:r w:rsidR="008D3AC7">
        <w:t>s</w:t>
      </w:r>
      <w:r w:rsidR="00B26B1F">
        <w:t xml:space="preserve"> the risk of </w:t>
      </w:r>
      <w:r w:rsidR="007B7100">
        <w:t xml:space="preserve">severe infection or </w:t>
      </w:r>
      <w:r w:rsidR="00B26B1F">
        <w:t>mortality from COVID-19 (</w:t>
      </w:r>
      <w:proofErr w:type="gramStart"/>
      <w:r w:rsidR="00B26B1F">
        <w:t>i.</w:t>
      </w:r>
      <w:commentRangeStart w:id="1"/>
      <w:r w:rsidR="00B26B1F">
        <w:t>e</w:t>
      </w:r>
      <w:commentRangeEnd w:id="1"/>
      <w:proofErr w:type="gramEnd"/>
      <w:r w:rsidR="00B26B1F">
        <w:rPr>
          <w:rStyle w:val="CommentReference"/>
        </w:rPr>
        <w:commentReference w:id="1"/>
      </w:r>
      <w:r w:rsidR="00B26B1F">
        <w:t xml:space="preserve">., ). Age, sex, and condition </w:t>
      </w:r>
      <w:r w:rsidR="008628F9">
        <w:t>are fixed characteristics</w:t>
      </w:r>
      <w:r w:rsidR="00B26B1F">
        <w:t xml:space="preserve">. </w:t>
      </w:r>
      <w:r w:rsidR="008D3AC7">
        <w:t>Each individual is</w:t>
      </w:r>
      <w:r w:rsidR="00B26B1F">
        <w:t xml:space="preserve"> assign</w:t>
      </w:r>
      <w:r w:rsidR="008D3AC7">
        <w:t>ed</w:t>
      </w:r>
      <w:r w:rsidR="00B26B1F">
        <w:t xml:space="preserve"> an age, sex and condition </w:t>
      </w:r>
      <w:r w:rsidR="008D3AC7">
        <w:t xml:space="preserve">that </w:t>
      </w:r>
      <w:r w:rsidR="00B26B1F">
        <w:t>match</w:t>
      </w:r>
      <w:r w:rsidR="008D3AC7">
        <w:t>es</w:t>
      </w:r>
      <w:r w:rsidR="00B26B1F">
        <w:t xml:space="preserve"> a randomly selected </w:t>
      </w:r>
      <w:r w:rsidR="008628F9">
        <w:t>person</w:t>
      </w:r>
      <w:r w:rsidR="00B26B1F">
        <w:t xml:space="preserve"> from </w:t>
      </w:r>
      <w:commentRangeStart w:id="2"/>
      <w:r w:rsidR="00B26B1F">
        <w:t xml:space="preserve">the </w:t>
      </w:r>
      <w:r w:rsidR="008D3AC7">
        <w:t xml:space="preserve">medical </w:t>
      </w:r>
      <w:r w:rsidR="00B26B1F">
        <w:t xml:space="preserve">records of the </w:t>
      </w:r>
      <w:proofErr w:type="spellStart"/>
      <w:r w:rsidR="00B26B1F">
        <w:t>Moria</w:t>
      </w:r>
      <w:proofErr w:type="spellEnd"/>
      <w:r w:rsidR="00B26B1F">
        <w:t xml:space="preserve"> camp</w:t>
      </w:r>
      <w:commentRangeEnd w:id="2"/>
      <w:r w:rsidR="008D3AC7">
        <w:rPr>
          <w:rStyle w:val="CommentReference"/>
        </w:rPr>
        <w:commentReference w:id="2"/>
      </w:r>
      <w:r w:rsidR="00B26B1F">
        <w:t>.</w:t>
      </w:r>
      <w:r w:rsidR="008D3AC7">
        <w:t xml:space="preserve"> </w:t>
      </w:r>
      <w:r w:rsidR="00150038">
        <w:t>D</w:t>
      </w:r>
      <w:r w:rsidR="008D3AC7">
        <w:t>isease state describes the progression of a COVID-19 infection in an individual</w:t>
      </w:r>
      <w:r w:rsidR="00E9180B">
        <w:t xml:space="preserve">, and </w:t>
      </w:r>
      <w:r w:rsidR="00150038">
        <w:t>thus</w:t>
      </w:r>
      <w:r w:rsidR="00E9180B">
        <w:t xml:space="preserve"> change</w:t>
      </w:r>
      <w:r w:rsidR="00150038">
        <w:t>s</w:t>
      </w:r>
      <w:r w:rsidR="00E9180B">
        <w:t xml:space="preserve"> over time</w:t>
      </w:r>
      <w:r w:rsidR="008D3AC7">
        <w:t>. The initial disease state for all individuals is “susceptible.”</w:t>
      </w:r>
    </w:p>
    <w:p w14:paraId="522F83D3" w14:textId="77777777" w:rsidR="001F330E" w:rsidRDefault="001F330E">
      <w:pPr>
        <w:rPr>
          <w:b/>
        </w:rPr>
      </w:pPr>
    </w:p>
    <w:p w14:paraId="0C316A2A" w14:textId="7E1A94D3" w:rsidR="00995AF9" w:rsidRPr="008C5E54" w:rsidRDefault="00995AF9">
      <w:pPr>
        <w:rPr>
          <w:b/>
        </w:rPr>
      </w:pPr>
      <w:r w:rsidRPr="008C5E54">
        <w:rPr>
          <w:b/>
        </w:rPr>
        <w:t xml:space="preserve">The </w:t>
      </w:r>
      <w:r w:rsidR="00E8491E">
        <w:rPr>
          <w:b/>
        </w:rPr>
        <w:t>c</w:t>
      </w:r>
      <w:commentRangeStart w:id="3"/>
      <w:r w:rsidRPr="008C5E54">
        <w:rPr>
          <w:b/>
        </w:rPr>
        <w:t>amp</w:t>
      </w:r>
      <w:commentRangeEnd w:id="3"/>
      <w:r w:rsidR="006C2283">
        <w:rPr>
          <w:rStyle w:val="CommentReference"/>
        </w:rPr>
        <w:commentReference w:id="3"/>
      </w:r>
    </w:p>
    <w:p w14:paraId="421F7EB0" w14:textId="595608DF" w:rsidR="00B46E5E" w:rsidRDefault="00B46E5E"/>
    <w:p w14:paraId="5B77484F" w14:textId="40D86F9A" w:rsidR="00314D4D" w:rsidRDefault="00F31932" w:rsidP="007C1C9B">
      <w:r>
        <w:t xml:space="preserve">Each individual </w:t>
      </w:r>
      <w:r w:rsidR="00314D4D">
        <w:t>is a member of</w:t>
      </w:r>
      <w:r>
        <w:t xml:space="preserve"> a household </w:t>
      </w:r>
      <w:r w:rsidR="00314D4D">
        <w:t>that occupies</w:t>
      </w:r>
      <w:r>
        <w:t xml:space="preserve"> either an </w:t>
      </w:r>
      <w:proofErr w:type="spellStart"/>
      <w:r>
        <w:t>isobox</w:t>
      </w:r>
      <w:proofErr w:type="spellEnd"/>
      <w:r w:rsidR="00E5432C">
        <w:t xml:space="preserve"> </w:t>
      </w:r>
      <w:r>
        <w:t xml:space="preserve">or a tent. </w:t>
      </w:r>
      <w:proofErr w:type="spellStart"/>
      <w:r>
        <w:t>Isoboxes</w:t>
      </w:r>
      <w:proofErr w:type="spellEnd"/>
      <w:r>
        <w:t xml:space="preserve"> are prefabricated housing units</w:t>
      </w:r>
      <w:r w:rsidR="00E5432C">
        <w:t xml:space="preserve"> with</w:t>
      </w:r>
      <w:r>
        <w:t xml:space="preserve"> a mean occupancy of 10 individuals. Tents </w:t>
      </w:r>
      <w:r w:rsidR="00E5432C">
        <w:t xml:space="preserve">have a mean occupancy of 4 individuals. A total of 8100 individuals occupy </w:t>
      </w:r>
      <w:proofErr w:type="spellStart"/>
      <w:r w:rsidR="00E5432C">
        <w:t>isoboxes</w:t>
      </w:r>
      <w:proofErr w:type="spellEnd"/>
      <w:r w:rsidR="00E5432C">
        <w:t xml:space="preserve">, and 10,600 individuals occupy tents. The exact occupancy of each </w:t>
      </w:r>
      <w:proofErr w:type="spellStart"/>
      <w:r w:rsidR="00E5432C">
        <w:t>isobox</w:t>
      </w:r>
      <w:proofErr w:type="spellEnd"/>
      <w:r w:rsidR="00314D4D">
        <w:t xml:space="preserve"> or tent</w:t>
      </w:r>
      <w:r w:rsidR="00E5432C">
        <w:t xml:space="preserve"> is drawn from a Poisson distribution, and individuals are assigned to </w:t>
      </w:r>
      <w:proofErr w:type="spellStart"/>
      <w:r w:rsidR="00E5432C">
        <w:t>isoboxes</w:t>
      </w:r>
      <w:proofErr w:type="spellEnd"/>
      <w:r w:rsidR="00E5432C">
        <w:t xml:space="preserve"> or tents randomly without regard to sex or age. This is appropriate because many people arrive at </w:t>
      </w:r>
      <w:proofErr w:type="spellStart"/>
      <w:r w:rsidR="00643433">
        <w:t>Moria</w:t>
      </w:r>
      <w:proofErr w:type="spellEnd"/>
      <w:r w:rsidR="00E5432C">
        <w:t xml:space="preserve"> travelling alone, and thus </w:t>
      </w:r>
      <w:proofErr w:type="spellStart"/>
      <w:r w:rsidR="00314D4D">
        <w:t>isoboxes</w:t>
      </w:r>
      <w:proofErr w:type="spellEnd"/>
      <w:r w:rsidR="00314D4D">
        <w:t xml:space="preserve"> or tents</w:t>
      </w:r>
      <w:r w:rsidR="00E5432C">
        <w:t xml:space="preserve"> may not represent family units.</w:t>
      </w:r>
      <w:r w:rsidR="00314D4D">
        <w:t xml:space="preserve"> </w:t>
      </w:r>
    </w:p>
    <w:p w14:paraId="39A3AE4B" w14:textId="77777777" w:rsidR="00314D4D" w:rsidRDefault="00314D4D"/>
    <w:p w14:paraId="34E18131" w14:textId="6504EC44" w:rsidR="00314D4D" w:rsidRDefault="00314D4D" w:rsidP="007C1C9B">
      <w:r>
        <w:t xml:space="preserve">The entire camp </w:t>
      </w:r>
      <w:r w:rsidR="00643433">
        <w:t>cover</w:t>
      </w:r>
      <w:r>
        <w:t xml:space="preserve">s a 1 x 1 (e.g., km) square. </w:t>
      </w:r>
      <w:proofErr w:type="spellStart"/>
      <w:r>
        <w:t>Isoboxes</w:t>
      </w:r>
      <w:proofErr w:type="spellEnd"/>
      <w:r>
        <w:t xml:space="preserve"> are assigned to random locations in a central square that co</w:t>
      </w:r>
      <w:r w:rsidR="00643433">
        <w:t>vers</w:t>
      </w:r>
      <w:r>
        <w:t xml:space="preserve"> one half of the area of the camp. Tents are assigned to random locations in the camp outside of the central square.</w:t>
      </w:r>
      <w:r w:rsidR="00643433">
        <w:t xml:space="preserve"> There are 144 toilets evenly distributed throughout the camp. Toilets are placed at the centr</w:t>
      </w:r>
      <w:r w:rsidR="00E8491E">
        <w:t>e</w:t>
      </w:r>
      <w:r w:rsidR="00643433">
        <w:t xml:space="preserve">s of the squares that form a 12 x 12 grid </w:t>
      </w:r>
      <w:r w:rsidR="00E8491E">
        <w:t>covering</w:t>
      </w:r>
      <w:r w:rsidR="00643433">
        <w:t xml:space="preserve"> the camp. The camp </w:t>
      </w:r>
      <w:r w:rsidR="00F7219E">
        <w:t>has one food line. The position of the food line is not explicitly modelled.</w:t>
      </w:r>
    </w:p>
    <w:p w14:paraId="14A0D51C" w14:textId="166A5B93" w:rsidR="00F7219E" w:rsidRDefault="00EC4662" w:rsidP="007C1C9B">
      <w:r>
        <w:lastRenderedPageBreak/>
        <w:t xml:space="preserve">In </w:t>
      </w:r>
      <w:proofErr w:type="spellStart"/>
      <w:r>
        <w:t>Moria</w:t>
      </w:r>
      <w:proofErr w:type="spellEnd"/>
      <w:r>
        <w:t>, the</w:t>
      </w:r>
      <w:r w:rsidR="00F7219E">
        <w:t xml:space="preserve"> homes of people </w:t>
      </w:r>
      <w:r>
        <w:t>with the same ethnic or national</w:t>
      </w:r>
      <w:r w:rsidR="00F7219E">
        <w:t xml:space="preserve"> background are spatial</w:t>
      </w:r>
      <w:r>
        <w:t>ly</w:t>
      </w:r>
      <w:r w:rsidR="00F7219E">
        <w:t xml:space="preserve"> clustered, and people interact more frequently with others from </w:t>
      </w:r>
      <w:r>
        <w:t xml:space="preserve">the same </w:t>
      </w:r>
      <w:r w:rsidR="00F7219E">
        <w:t>background</w:t>
      </w:r>
      <w:r w:rsidR="00245345">
        <w:t xml:space="preserve"> as themselves</w:t>
      </w:r>
      <w:r w:rsidR="00F7219E">
        <w:t xml:space="preserve">. To simulate </w:t>
      </w:r>
      <w:r>
        <w:t>ethnicities</w:t>
      </w:r>
      <w:r w:rsidR="00245345">
        <w:t xml:space="preserve"> or nationalities</w:t>
      </w:r>
      <w:r w:rsidR="00F7219E">
        <w:t xml:space="preserve"> in our camp, we assigned </w:t>
      </w:r>
      <w:r>
        <w:t xml:space="preserve">each </w:t>
      </w:r>
      <w:r w:rsidR="00F7219E">
        <w:t>household to</w:t>
      </w:r>
      <w:r>
        <w:t xml:space="preserve"> one of eight</w:t>
      </w:r>
      <w:r w:rsidR="00F7219E">
        <w:t xml:space="preserve"> </w:t>
      </w:r>
      <w:r>
        <w:t>“</w:t>
      </w:r>
      <w:r w:rsidR="00F7219E">
        <w:t>backgrounds</w:t>
      </w:r>
      <w:r>
        <w:t>”</w:t>
      </w:r>
      <w:r w:rsidR="00F7219E">
        <w:t xml:space="preserve"> in proportion to the self-reported national origins </w:t>
      </w:r>
      <w:r>
        <w:t>of people in</w:t>
      </w:r>
      <w:r w:rsidR="006C2283">
        <w:t xml:space="preserve"> the</w:t>
      </w:r>
      <w:r>
        <w:t xml:space="preserve"> </w:t>
      </w:r>
      <w:proofErr w:type="spellStart"/>
      <w:r>
        <w:t>Moria</w:t>
      </w:r>
      <w:proofErr w:type="spellEnd"/>
      <w:r>
        <w:t xml:space="preserve"> medical records. For each of the eight simulated backgrounds, we randomly selected one household to be the </w:t>
      </w:r>
      <w:r w:rsidR="00245345">
        <w:t>seed</w:t>
      </w:r>
      <w:r>
        <w:t xml:space="preserve"> </w:t>
      </w:r>
      <w:r w:rsidR="00245345">
        <w:t>for</w:t>
      </w:r>
      <w:r>
        <w:t xml:space="preserve"> the cluster. </w:t>
      </w:r>
      <w:r w:rsidR="00245345">
        <w:t>W</w:t>
      </w:r>
      <w:r>
        <w:t xml:space="preserve">e assigned the </w:t>
      </w:r>
      <w:r w:rsidRPr="00EC4662">
        <w:rPr>
          <w:i/>
        </w:rPr>
        <w:t>x</w:t>
      </w:r>
      <w:r>
        <w:t xml:space="preserve"> nearest unassigned households to that background, where </w:t>
      </w:r>
      <w:r w:rsidRPr="00EC4662">
        <w:rPr>
          <w:i/>
        </w:rPr>
        <w:t>x</w:t>
      </w:r>
      <w:r>
        <w:t xml:space="preserve"> is the number of households in th</w:t>
      </w:r>
      <w:r w:rsidR="006C2283">
        <w:t>e</w:t>
      </w:r>
      <w:r>
        <w:t xml:space="preserve"> background.</w:t>
      </w:r>
      <w:r w:rsidR="006C2283">
        <w:t xml:space="preserve"> Thus, the first background occupies an area that is roughly circular, but other backgrounds may occupy crescents or less regular shapes.</w:t>
      </w:r>
    </w:p>
    <w:p w14:paraId="30E43D10" w14:textId="77777777" w:rsidR="00314D4D" w:rsidRDefault="00314D4D"/>
    <w:p w14:paraId="5EA1A272" w14:textId="2F85396D" w:rsidR="00995AF9" w:rsidRPr="00865669" w:rsidRDefault="00995AF9">
      <w:pPr>
        <w:rPr>
          <w:b/>
        </w:rPr>
      </w:pPr>
      <w:r w:rsidRPr="00865669">
        <w:rPr>
          <w:b/>
        </w:rPr>
        <w:t>Disease Progression</w:t>
      </w:r>
    </w:p>
    <w:p w14:paraId="24F8CCD6" w14:textId="4E4A4B9B" w:rsidR="00995AF9" w:rsidRDefault="00995AF9"/>
    <w:p w14:paraId="7D104E19" w14:textId="0DD23B7F" w:rsidR="00865669" w:rsidRDefault="00865669" w:rsidP="007C1C9B">
      <w:r>
        <w:t>If an individual becomes infected, the infection progresses through a series of disease states (figure #).</w:t>
      </w:r>
      <w:r w:rsidR="00E50102">
        <w:t xml:space="preserve"> The time from exposure until symptoms appear</w:t>
      </w:r>
      <w:r w:rsidR="00AA4069">
        <w:t xml:space="preserve"> (</w:t>
      </w:r>
      <w:r w:rsidR="00AA4069" w:rsidRPr="009C560C">
        <w:rPr>
          <w:i/>
        </w:rPr>
        <w:t>i.e</w:t>
      </w:r>
      <w:r w:rsidR="00AA4069">
        <w:t>., the incubation period)</w:t>
      </w:r>
      <w:r w:rsidR="00E50102">
        <w:t xml:space="preserve"> is drawn from a Weibul</w:t>
      </w:r>
      <w:r w:rsidR="00864B06">
        <w:t>l</w:t>
      </w:r>
      <w:r w:rsidR="00E50102">
        <w:t xml:space="preserve"> distribution with </w:t>
      </w:r>
      <w:r w:rsidR="00EE2E67">
        <w:t xml:space="preserve">a </w:t>
      </w:r>
      <w:r w:rsidR="00E50102">
        <w:t xml:space="preserve">mean </w:t>
      </w:r>
      <w:r w:rsidR="00EE2E67">
        <w:t xml:space="preserve">of </w:t>
      </w:r>
      <w:r w:rsidR="00E50102">
        <w:t xml:space="preserve">6.4 days and </w:t>
      </w:r>
      <w:r w:rsidR="00EE2E67">
        <w:t xml:space="preserve">a </w:t>
      </w:r>
      <w:r w:rsidR="00E50102">
        <w:t xml:space="preserve">standard deviation of 2.3 days (Backer et al. 2020). In the first half of this period, the individual is “exposed” but not infectious. In the second half, the individual is “pre-symptomatic” and infectious. </w:t>
      </w:r>
      <w:r w:rsidR="009C560C">
        <w:t>Fractional days are rounded to the nearest day in discrete-time simulations.</w:t>
      </w:r>
      <w:r w:rsidR="00F33154">
        <w:t xml:space="preserve"> </w:t>
      </w:r>
      <w:r w:rsidR="00EE2E67">
        <w:t>After</w:t>
      </w:r>
      <w:r w:rsidR="00AA4069">
        <w:t xml:space="preserve"> the incubation period, the individual enter</w:t>
      </w:r>
      <w:r w:rsidR="00EE2E67">
        <w:t>s</w:t>
      </w:r>
      <w:r w:rsidR="00AA4069">
        <w:t xml:space="preserve"> one of two states: “symptomatic” or “</w:t>
      </w:r>
      <w:r w:rsidR="00EE2E67">
        <w:t>1</w:t>
      </w:r>
      <w:r w:rsidR="00EE2E67" w:rsidRPr="00EE2E67">
        <w:rPr>
          <w:vertAlign w:val="superscript"/>
        </w:rPr>
        <w:t>st</w:t>
      </w:r>
      <w:r w:rsidR="00EE2E67">
        <w:t xml:space="preserve"> </w:t>
      </w:r>
      <w:r w:rsidR="00AA4069">
        <w:t xml:space="preserve">asymptomatic.” </w:t>
      </w:r>
      <w:r w:rsidR="009C560C">
        <w:t>A</w:t>
      </w:r>
      <w:r w:rsidR="00AA4069">
        <w:t xml:space="preserve">ll children under the age of 16 become asymptomatic (ref), and others become asymptomatic with probability </w:t>
      </w:r>
      <w:commentRangeStart w:id="4"/>
      <w:r w:rsidR="00AA4069">
        <w:t xml:space="preserve">0.178 </w:t>
      </w:r>
      <w:commentRangeEnd w:id="4"/>
      <w:r w:rsidR="001262AB">
        <w:rPr>
          <w:rStyle w:val="CommentReference"/>
        </w:rPr>
        <w:commentReference w:id="4"/>
      </w:r>
      <w:r w:rsidR="00AA4069">
        <w:t>(</w:t>
      </w:r>
      <w:proofErr w:type="spellStart"/>
      <w:r w:rsidR="00AA4069">
        <w:t>Mizumoto</w:t>
      </w:r>
      <w:proofErr w:type="spellEnd"/>
      <w:r w:rsidR="00AA4069">
        <w:t xml:space="preserve"> et al. 2020). Individuals remain in the symptomatic or </w:t>
      </w:r>
      <w:r w:rsidR="00EE2E67">
        <w:t>1</w:t>
      </w:r>
      <w:r w:rsidR="00EE2E67" w:rsidRPr="00EE2E67">
        <w:rPr>
          <w:vertAlign w:val="superscript"/>
        </w:rPr>
        <w:t>st</w:t>
      </w:r>
      <w:r w:rsidR="00EE2E67">
        <w:t xml:space="preserve"> </w:t>
      </w:r>
      <w:r w:rsidR="00AA4069">
        <w:t>asymptomatic</w:t>
      </w:r>
      <w:r w:rsidR="00EE2E67">
        <w:t xml:space="preserve"> </w:t>
      </w:r>
      <w:r w:rsidR="00AA4069">
        <w:t xml:space="preserve">states for 5 days, and are infectious during this period. </w:t>
      </w:r>
      <w:r w:rsidR="00EE2E67">
        <w:t>After 5 days, individuals pass from the symptomatic to the “mild” or “severe” states, with age</w:t>
      </w:r>
      <w:r w:rsidR="009E2C04">
        <w:t>- and condition</w:t>
      </w:r>
      <w:r w:rsidR="00EE2E67">
        <w:t>-</w:t>
      </w:r>
      <w:r w:rsidR="009E2C04">
        <w:t>dependent</w:t>
      </w:r>
      <w:r w:rsidR="00EE2E67">
        <w:t xml:space="preserve"> probabilities </w:t>
      </w:r>
      <w:r w:rsidR="009C560C">
        <w:t>following</w:t>
      </w:r>
      <w:r w:rsidR="00EE2E67">
        <w:t xml:space="preserve"> Verity </w:t>
      </w:r>
      <w:r w:rsidR="001262AB">
        <w:t xml:space="preserve">and colleagues </w:t>
      </w:r>
      <w:r w:rsidR="00EE2E67">
        <w:t>(2020)</w:t>
      </w:r>
      <w:r w:rsidR="009E2C04">
        <w:t xml:space="preserve"> and Tuite and colleagues (preprint)</w:t>
      </w:r>
      <w:r w:rsidR="00EE2E67">
        <w:t xml:space="preserve">. </w:t>
      </w:r>
      <w:r w:rsidR="009C560C">
        <w:t>All i</w:t>
      </w:r>
      <w:r w:rsidR="00EE2E67">
        <w:t>ndividuals in the 1</w:t>
      </w:r>
      <w:r w:rsidR="00EE2E67" w:rsidRPr="00EE2E67">
        <w:rPr>
          <w:vertAlign w:val="superscript"/>
        </w:rPr>
        <w:t>st</w:t>
      </w:r>
      <w:r w:rsidR="00EE2E67">
        <w:t xml:space="preserve"> asymptomatic state pass to the “2</w:t>
      </w:r>
      <w:r w:rsidR="00EE2E67" w:rsidRPr="00EE2E67">
        <w:rPr>
          <w:vertAlign w:val="superscript"/>
        </w:rPr>
        <w:t>nd</w:t>
      </w:r>
      <w:r w:rsidR="00EE2E67">
        <w:t xml:space="preserve"> asymptomatic” state. Individuals are infectious in these states. On each day, individuals in the mild or 2</w:t>
      </w:r>
      <w:r w:rsidR="00EE2E67" w:rsidRPr="00EE2E67">
        <w:rPr>
          <w:vertAlign w:val="superscript"/>
        </w:rPr>
        <w:t>nd</w:t>
      </w:r>
      <w:r w:rsidR="00EE2E67">
        <w:t xml:space="preserve"> asymptomatic state pass to the recovered state with probability </w:t>
      </w:r>
      <w:r w:rsidR="00C20F56">
        <w:t>0.37 (</w:t>
      </w:r>
      <w:proofErr w:type="spellStart"/>
      <w:r w:rsidR="00C20F56">
        <w:t>Lui</w:t>
      </w:r>
      <w:proofErr w:type="spellEnd"/>
      <w:r w:rsidR="00C20F56">
        <w:t xml:space="preserve"> et al. 2020), and individual</w:t>
      </w:r>
      <w:r w:rsidR="009C560C">
        <w:t>s</w:t>
      </w:r>
      <w:r w:rsidR="00C20F56">
        <w:t xml:space="preserve"> in the severe state pass to the recovered state with probability 0.071 (Cai et al., preprint).</w:t>
      </w:r>
      <w:r w:rsidR="009C560C">
        <w:t xml:space="preserve"> Recovered individuals are not infectious, and are not susceptible to reinfection. We do not model deaths explicitly, but this is unlikely to affect the dynamics of the epidemic if neither recovered nor dead individuals are infectious. </w:t>
      </w:r>
    </w:p>
    <w:p w14:paraId="0CD24D42" w14:textId="7AEA8210" w:rsidR="00995AF9" w:rsidRDefault="00995AF9"/>
    <w:p w14:paraId="118C9CA5" w14:textId="21F1F110" w:rsidR="00995AF9" w:rsidRPr="001E4882" w:rsidRDefault="00995AF9">
      <w:pPr>
        <w:rPr>
          <w:b/>
        </w:rPr>
      </w:pPr>
      <w:r w:rsidRPr="001E4882">
        <w:rPr>
          <w:b/>
        </w:rPr>
        <w:t>Infection Dynamics</w:t>
      </w:r>
    </w:p>
    <w:p w14:paraId="59B9C36F" w14:textId="468B643F" w:rsidR="00995AF9" w:rsidRDefault="00995AF9"/>
    <w:p w14:paraId="1891543F" w14:textId="4324A5BD" w:rsidR="00AA04D5" w:rsidRDefault="002A05CC">
      <w:r>
        <w:t>I</w:t>
      </w:r>
      <w:r w:rsidR="001E4882">
        <w:t xml:space="preserve">nfections </w:t>
      </w:r>
      <w:r w:rsidR="00BC6CD2">
        <w:t>can be</w:t>
      </w:r>
      <w:r w:rsidR="001E4882">
        <w:t xml:space="preserve"> transmitted </w:t>
      </w:r>
      <w:r w:rsidR="00BC6CD2">
        <w:t>from infectious to susceptible</w:t>
      </w:r>
      <w:r w:rsidR="001E4882">
        <w:t xml:space="preserve"> individuals in four ways: within households, at toilets, in </w:t>
      </w:r>
      <w:r w:rsidR="00914A60">
        <w:t xml:space="preserve">the </w:t>
      </w:r>
      <w:r w:rsidR="001E4882">
        <w:t>food line</w:t>
      </w:r>
      <w:r w:rsidR="00914A60">
        <w:t>,</w:t>
      </w:r>
      <w:r w:rsidR="001E4882">
        <w:t xml:space="preserve"> </w:t>
      </w:r>
      <w:r w:rsidR="00291611">
        <w:t>or</w:t>
      </w:r>
      <w:r w:rsidR="001E4882">
        <w:t xml:space="preserve"> </w:t>
      </w:r>
      <w:r w:rsidR="007C4CDB">
        <w:t xml:space="preserve">as individuals move about the camp. </w:t>
      </w:r>
      <w:r w:rsidR="00AA04D5">
        <w:t xml:space="preserve">Let </w:t>
      </w:r>
      <w:proofErr w:type="spellStart"/>
      <w:r w:rsidR="00AA04D5" w:rsidRPr="00AA04D5">
        <w:rPr>
          <w:i/>
        </w:rPr>
        <w:t>p</w:t>
      </w:r>
      <w:r w:rsidR="00AA04D5" w:rsidRPr="00AA04D5">
        <w:rPr>
          <w:i/>
          <w:vertAlign w:val="subscript"/>
        </w:rPr>
        <w:t>idw</w:t>
      </w:r>
      <w:proofErr w:type="spellEnd"/>
      <w:r w:rsidR="00AA04D5">
        <w:t xml:space="preserve"> denote the probability that</w:t>
      </w:r>
      <w:r w:rsidR="00BC6CD2">
        <w:t xml:space="preserve"> susceptible</w:t>
      </w:r>
      <w:r w:rsidR="00AA04D5">
        <w:t xml:space="preserve"> individual </w:t>
      </w:r>
      <w:proofErr w:type="spellStart"/>
      <w:r w:rsidR="00AA04D5" w:rsidRPr="00AA04D5">
        <w:rPr>
          <w:i/>
        </w:rPr>
        <w:t>i</w:t>
      </w:r>
      <w:proofErr w:type="spellEnd"/>
      <w:r w:rsidR="00AA04D5">
        <w:t xml:space="preserve"> becomes infected on day </w:t>
      </w:r>
      <w:r w:rsidR="00AA04D5" w:rsidRPr="00AA04D5">
        <w:rPr>
          <w:i/>
        </w:rPr>
        <w:t>d</w:t>
      </w:r>
      <w:r w:rsidR="00AA04D5">
        <w:t xml:space="preserve"> by transmission </w:t>
      </w:r>
      <w:r w:rsidR="00DE5854">
        <w:t>route</w:t>
      </w:r>
      <w:r w:rsidR="00AA04D5">
        <w:t xml:space="preserve"> </w:t>
      </w:r>
      <w:r w:rsidR="00AA04D5" w:rsidRPr="00AA04D5">
        <w:rPr>
          <w:i/>
        </w:rPr>
        <w:t>w</w:t>
      </w:r>
      <w:r w:rsidR="00AA04D5">
        <w:t xml:space="preserve">, where </w:t>
      </w:r>
      <w:r w:rsidR="00AA04D5" w:rsidRPr="00AA04D5">
        <w:rPr>
          <w:i/>
        </w:rPr>
        <w:t>w</w:t>
      </w:r>
      <w:r w:rsidR="00AA04D5">
        <w:sym w:font="Symbol" w:char="F0CE"/>
      </w:r>
      <w:r w:rsidR="00AA04D5">
        <w:t>{</w:t>
      </w:r>
      <w:proofErr w:type="spellStart"/>
      <w:proofErr w:type="gramStart"/>
      <w:r w:rsidR="00AA04D5" w:rsidRPr="00AA04D5">
        <w:rPr>
          <w:i/>
        </w:rPr>
        <w:t>h,t</w:t>
      </w:r>
      <w:proofErr w:type="gramEnd"/>
      <w:r w:rsidR="00AA04D5" w:rsidRPr="00AA04D5">
        <w:rPr>
          <w:i/>
        </w:rPr>
        <w:t>,f,m</w:t>
      </w:r>
      <w:proofErr w:type="spellEnd"/>
      <w:r w:rsidR="00AA04D5">
        <w:t>} indicates transmission within the household, at toilets, in</w:t>
      </w:r>
      <w:r w:rsidR="00914A60">
        <w:t xml:space="preserve"> the</w:t>
      </w:r>
      <w:r w:rsidR="00AA04D5">
        <w:t xml:space="preserve"> food line, </w:t>
      </w:r>
      <w:r w:rsidR="00291611">
        <w:t>or</w:t>
      </w:r>
      <w:r w:rsidR="00AA04D5">
        <w:t xml:space="preserve"> as individuals move about the camp, respectively. The probability that</w:t>
      </w:r>
      <w:r w:rsidR="00BC6CD2">
        <w:t xml:space="preserve"> susceptible</w:t>
      </w:r>
      <w:r w:rsidR="00AA04D5">
        <w:t xml:space="preserve"> individual </w:t>
      </w:r>
      <w:proofErr w:type="spellStart"/>
      <w:r w:rsidR="00AA04D5" w:rsidRPr="002A05CC">
        <w:rPr>
          <w:i/>
        </w:rPr>
        <w:t>i</w:t>
      </w:r>
      <w:proofErr w:type="spellEnd"/>
      <w:r w:rsidR="00AA04D5">
        <w:t xml:space="preserve"> becomes infected on day </w:t>
      </w:r>
      <w:r w:rsidR="00AA04D5" w:rsidRPr="002A05CC">
        <w:rPr>
          <w:i/>
        </w:rPr>
        <w:t>d</w:t>
      </w:r>
      <w:r w:rsidR="00AA04D5">
        <w:t xml:space="preserve"> is</w:t>
      </w:r>
      <w:r w:rsidR="00841521">
        <w:t xml:space="preserve"> th</w:t>
      </w:r>
      <w:r w:rsidR="00DE5854">
        <w:t>us</w:t>
      </w:r>
    </w:p>
    <w:p w14:paraId="700465DE" w14:textId="63582435" w:rsidR="00DE5854" w:rsidRDefault="00DE585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18"/>
      </w:tblGrid>
      <w:tr w:rsidR="00DE5854" w14:paraId="36148D5C" w14:textId="77777777" w:rsidTr="00DE5854">
        <w:tc>
          <w:tcPr>
            <w:tcW w:w="7792" w:type="dxa"/>
            <w:vAlign w:val="center"/>
          </w:tcPr>
          <w:p w14:paraId="72A12139" w14:textId="4771FEDD" w:rsidR="00DE5854" w:rsidRPr="00DE5854" w:rsidRDefault="001C568B" w:rsidP="00DE5854">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id</m:t>
                    </m:r>
                  </m:sub>
                </m:sSub>
                <m:r>
                  <w:rPr>
                    <w:rFonts w:ascii="Cambria Math" w:hAnsi="Cambria Math"/>
                  </w:rPr>
                  <m:t>=1-</m:t>
                </m:r>
                <m:nary>
                  <m:naryPr>
                    <m:chr m:val="∏"/>
                    <m:limLoc m:val="undOvr"/>
                    <m:supHide m:val="1"/>
                    <m:ctrlPr>
                      <w:rPr>
                        <w:rFonts w:ascii="Cambria Math" w:hAnsi="Cambria Math"/>
                        <w:i/>
                      </w:rPr>
                    </m:ctrlPr>
                  </m:naryPr>
                  <m:sub>
                    <m:r>
                      <w:rPr>
                        <w:rFonts w:ascii="Cambria Math" w:hAnsi="Cambria Math"/>
                      </w:rPr>
                      <m:t>w∈</m:t>
                    </m:r>
                    <m:d>
                      <m:dPr>
                        <m:begChr m:val="{"/>
                        <m:endChr m:val="}"/>
                        <m:ctrlPr>
                          <w:rPr>
                            <w:rFonts w:ascii="Cambria Math" w:hAnsi="Cambria Math"/>
                            <w:i/>
                          </w:rPr>
                        </m:ctrlPr>
                      </m:dPr>
                      <m:e>
                        <m:r>
                          <w:rPr>
                            <w:rFonts w:ascii="Cambria Math" w:hAnsi="Cambria Math"/>
                          </w:rPr>
                          <m:t>h,t,f,m</m:t>
                        </m:r>
                      </m:e>
                    </m:d>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idw</m:t>
                            </m:r>
                          </m:sub>
                        </m:sSub>
                      </m:e>
                    </m:d>
                  </m:e>
                </m:nary>
                <m:r>
                  <w:rPr>
                    <w:rFonts w:ascii="Cambria Math" w:eastAsiaTheme="minorEastAsia" w:hAnsi="Cambria Math"/>
                  </w:rPr>
                  <m:t>.</m:t>
                </m:r>
              </m:oMath>
            </m:oMathPara>
          </w:p>
        </w:tc>
        <w:tc>
          <w:tcPr>
            <w:tcW w:w="1218" w:type="dxa"/>
            <w:vAlign w:val="center"/>
          </w:tcPr>
          <w:p w14:paraId="2A8471F5" w14:textId="78FCB0C3" w:rsidR="00DE5854" w:rsidRDefault="00DE5854" w:rsidP="00DE5854">
            <w:pPr>
              <w:jc w:val="right"/>
            </w:pPr>
            <w:r>
              <w:t>(1)</w:t>
            </w:r>
          </w:p>
        </w:tc>
      </w:tr>
    </w:tbl>
    <w:p w14:paraId="5659E982" w14:textId="18C16D4D" w:rsidR="00AA04D5" w:rsidRDefault="00AA04D5"/>
    <w:p w14:paraId="2EC33C24" w14:textId="3FCFEF54" w:rsidR="00BC6CD2" w:rsidRDefault="00BC6CD2">
      <w:r w:rsidRPr="00BC6CD2">
        <w:rPr>
          <w:i/>
        </w:rPr>
        <w:t>Infection within the household</w:t>
      </w:r>
      <w:r>
        <w:t xml:space="preserve">. </w:t>
      </w:r>
      <w:r w:rsidR="00841521">
        <w:t xml:space="preserve">On each day, </w:t>
      </w:r>
      <w:r>
        <w:t xml:space="preserve">each infectious individual in a household infects each susceptible individual </w:t>
      </w:r>
      <w:r w:rsidR="00291611">
        <w:t xml:space="preserve">in that household </w:t>
      </w:r>
      <w:r>
        <w:t xml:space="preserve">with </w:t>
      </w:r>
      <w:r w:rsidR="0018771E">
        <w:t xml:space="preserve">probability </w:t>
      </w:r>
      <w:r w:rsidR="0018771E" w:rsidRPr="0018771E">
        <w:rPr>
          <w:i/>
        </w:rPr>
        <w:t>p</w:t>
      </w:r>
      <w:r w:rsidR="0018771E" w:rsidRPr="0018771E">
        <w:rPr>
          <w:i/>
          <w:vertAlign w:val="subscript"/>
        </w:rPr>
        <w:t>h</w:t>
      </w:r>
      <w:r w:rsidR="0018771E">
        <w:t>.</w:t>
      </w:r>
      <w:r>
        <w:t xml:space="preserve"> </w:t>
      </w:r>
      <w:r w:rsidR="0018771E">
        <w:t xml:space="preserve">Thus, if individual </w:t>
      </w:r>
      <w:proofErr w:type="spellStart"/>
      <w:r w:rsidR="0018771E" w:rsidRPr="0018771E">
        <w:rPr>
          <w:i/>
        </w:rPr>
        <w:t>i</w:t>
      </w:r>
      <w:proofErr w:type="spellEnd"/>
      <w:r w:rsidR="0018771E">
        <w:t xml:space="preserve"> shares its household with </w:t>
      </w:r>
      <w:proofErr w:type="spellStart"/>
      <w:r w:rsidR="00841521">
        <w:rPr>
          <w:i/>
        </w:rPr>
        <w:t>h</w:t>
      </w:r>
      <w:r w:rsidR="00841521" w:rsidRPr="00841521">
        <w:rPr>
          <w:i/>
          <w:vertAlign w:val="subscript"/>
        </w:rPr>
        <w:t>c</w:t>
      </w:r>
      <w:r w:rsidR="00841521">
        <w:rPr>
          <w:i/>
          <w:vertAlign w:val="subscript"/>
        </w:rPr>
        <w:t>i</w:t>
      </w:r>
      <w:r w:rsidR="00690A3A">
        <w:rPr>
          <w:i/>
          <w:vertAlign w:val="subscript"/>
        </w:rPr>
        <w:t>d</w:t>
      </w:r>
      <w:proofErr w:type="spellEnd"/>
      <w:r w:rsidR="0018771E" w:rsidRPr="00841521">
        <w:rPr>
          <w:vertAlign w:val="subscript"/>
        </w:rPr>
        <w:t xml:space="preserve"> </w:t>
      </w:r>
      <w:r w:rsidR="0018771E">
        <w:t xml:space="preserve">infectious individuals on day </w:t>
      </w:r>
      <w:r w:rsidR="0018771E" w:rsidRPr="0018771E">
        <w:rPr>
          <w:i/>
        </w:rPr>
        <w:t>d</w:t>
      </w:r>
      <w:r w:rsidR="0018771E">
        <w:t xml:space="preserve">, </w:t>
      </w:r>
      <w:r w:rsidR="00841521">
        <w:t>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18"/>
      </w:tblGrid>
      <w:tr w:rsidR="00690A3A" w14:paraId="6E8818D2" w14:textId="77777777" w:rsidTr="001C568B">
        <w:tc>
          <w:tcPr>
            <w:tcW w:w="7792" w:type="dxa"/>
            <w:vAlign w:val="center"/>
          </w:tcPr>
          <w:p w14:paraId="69D718EB" w14:textId="45CEA1A4" w:rsidR="00690A3A" w:rsidRPr="00DE5854" w:rsidRDefault="001C568B" w:rsidP="001C568B">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idh</m:t>
                    </m:r>
                  </m:sub>
                </m:sSub>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h</m:t>
                            </m:r>
                          </m:sub>
                        </m:sSub>
                      </m:e>
                    </m:d>
                  </m:e>
                  <m:sup>
                    <m:sSub>
                      <m:sSubPr>
                        <m:ctrlPr>
                          <w:rPr>
                            <w:rFonts w:ascii="Cambria Math" w:hAnsi="Cambria Math"/>
                            <w:i/>
                          </w:rPr>
                        </m:ctrlPr>
                      </m:sSubPr>
                      <m:e>
                        <m:r>
                          <w:rPr>
                            <w:rFonts w:ascii="Cambria Math" w:hAnsi="Cambria Math"/>
                          </w:rPr>
                          <m:t>h</m:t>
                        </m:r>
                      </m:e>
                      <m:sub>
                        <m:r>
                          <w:rPr>
                            <w:rFonts w:ascii="Cambria Math" w:hAnsi="Cambria Math"/>
                          </w:rPr>
                          <m:t>cid</m:t>
                        </m:r>
                      </m:sub>
                    </m:sSub>
                  </m:sup>
                </m:sSup>
                <m:r>
                  <w:rPr>
                    <w:rFonts w:ascii="Cambria Math" w:eastAsiaTheme="minorEastAsia" w:hAnsi="Cambria Math"/>
                  </w:rPr>
                  <m:t>.</m:t>
                </m:r>
              </m:oMath>
            </m:oMathPara>
          </w:p>
        </w:tc>
        <w:tc>
          <w:tcPr>
            <w:tcW w:w="1218" w:type="dxa"/>
            <w:vAlign w:val="center"/>
          </w:tcPr>
          <w:p w14:paraId="7BE3D5A5" w14:textId="39D05B64" w:rsidR="00690A3A" w:rsidRDefault="00690A3A" w:rsidP="001C568B">
            <w:pPr>
              <w:jc w:val="right"/>
            </w:pPr>
            <w:r>
              <w:t>(2)</w:t>
            </w:r>
          </w:p>
        </w:tc>
      </w:tr>
    </w:tbl>
    <w:p w14:paraId="380D923B" w14:textId="7BAFA564" w:rsidR="0018771E" w:rsidRDefault="0018771E"/>
    <w:p w14:paraId="1C68E3DE" w14:textId="15DFC8BA" w:rsidR="0018771E" w:rsidRDefault="0018771E">
      <w:r>
        <w:t xml:space="preserve">We set </w:t>
      </w:r>
      <m:oMath>
        <m:sSub>
          <m:sSubPr>
            <m:ctrlPr>
              <w:rPr>
                <w:rFonts w:ascii="Cambria Math" w:hAnsi="Cambria Math"/>
                <w:i/>
              </w:rPr>
            </m:ctrlPr>
          </m:sSubPr>
          <m:e>
            <m:r>
              <w:rPr>
                <w:rFonts w:ascii="Cambria Math" w:hAnsi="Cambria Math"/>
              </w:rPr>
              <m:t>p</m:t>
            </m:r>
          </m:e>
          <m:sub>
            <m:r>
              <w:rPr>
                <w:rFonts w:ascii="Cambria Math" w:hAnsi="Cambria Math"/>
              </w:rPr>
              <m:t>h</m:t>
            </m:r>
          </m:sub>
        </m:sSub>
        <m:r>
          <w:rPr>
            <w:rFonts w:ascii="Cambria Math" w:hAnsi="Cambria Math"/>
          </w:rPr>
          <m:t>=0.5</m:t>
        </m:r>
      </m:oMath>
      <w:r>
        <w:rPr>
          <w:rFonts w:eastAsiaTheme="minorEastAsia"/>
        </w:rPr>
        <w:t xml:space="preserve"> in our baseline </w:t>
      </w:r>
      <w:r w:rsidR="00841521">
        <w:rPr>
          <w:rFonts w:eastAsiaTheme="minorEastAsia"/>
        </w:rPr>
        <w:t>model</w:t>
      </w:r>
      <w:r>
        <w:rPr>
          <w:rFonts w:eastAsiaTheme="minorEastAsia"/>
        </w:rPr>
        <w:t>.</w:t>
      </w:r>
    </w:p>
    <w:p w14:paraId="5F4F14FF" w14:textId="77E5622F" w:rsidR="00BC6CD2" w:rsidRDefault="00BC6CD2"/>
    <w:p w14:paraId="35F4A654" w14:textId="15E6F33A" w:rsidR="00BC6CD2" w:rsidRDefault="0018771E">
      <w:r w:rsidRPr="0018771E">
        <w:rPr>
          <w:i/>
        </w:rPr>
        <w:t>Infection at toilets</w:t>
      </w:r>
      <w:r>
        <w:t xml:space="preserve">. We assume that every individual </w:t>
      </w:r>
      <w:proofErr w:type="gramStart"/>
      <w:r>
        <w:t>visits</w:t>
      </w:r>
      <w:proofErr w:type="gramEnd"/>
      <w:r>
        <w:t xml:space="preserve"> the toilet nearest </w:t>
      </w:r>
      <w:r w:rsidR="00690A3A">
        <w:t>its</w:t>
      </w:r>
      <w:r>
        <w:t xml:space="preserve"> ho</w:t>
      </w:r>
      <w:r w:rsidR="00E86736">
        <w:t>usehold</w:t>
      </w:r>
      <w:r>
        <w:t xml:space="preserve"> 3 times per day. On each visit, </w:t>
      </w:r>
      <w:r w:rsidR="00690A3A">
        <w:t>it</w:t>
      </w:r>
      <w:r>
        <w:t xml:space="preserve"> interact</w:t>
      </w:r>
      <w:r w:rsidR="00690A3A">
        <w:t>s</w:t>
      </w:r>
      <w:r>
        <w:t xml:space="preserve"> with the </w:t>
      </w:r>
      <w:r w:rsidR="00690A3A">
        <w:t>individual</w:t>
      </w:r>
      <w:r>
        <w:t xml:space="preserve"> in front of </w:t>
      </w:r>
      <w:r w:rsidR="00806F42">
        <w:t xml:space="preserve">it </w:t>
      </w:r>
      <w:r>
        <w:t xml:space="preserve">and the </w:t>
      </w:r>
      <w:r w:rsidR="00690A3A">
        <w:t>individual</w:t>
      </w:r>
      <w:r>
        <w:t xml:space="preserve"> behind </w:t>
      </w:r>
      <w:r w:rsidR="00690A3A">
        <w:t>it</w:t>
      </w:r>
      <w:r>
        <w:t xml:space="preserve"> in the toilet line.</w:t>
      </w:r>
      <w:r w:rsidR="00A506D2">
        <w:t xml:space="preserve"> </w:t>
      </w:r>
      <w:r w:rsidR="009C2DD7">
        <w:t xml:space="preserve">If a susceptible </w:t>
      </w:r>
      <w:r w:rsidR="00785206">
        <w:t>and</w:t>
      </w:r>
      <w:r w:rsidR="009C2DD7">
        <w:t xml:space="preserve"> an infectious individual</w:t>
      </w:r>
      <w:r w:rsidR="00785206">
        <w:t xml:space="preserve"> interact</w:t>
      </w:r>
      <w:r w:rsidR="009C2DD7">
        <w:t xml:space="preserve">, </w:t>
      </w:r>
      <w:r w:rsidR="00785206">
        <w:t xml:space="preserve">then </w:t>
      </w:r>
      <w:r w:rsidR="009C2DD7">
        <w:t xml:space="preserve">the infection is transmitted </w:t>
      </w:r>
      <w:r w:rsidR="00A506D2">
        <w:t xml:space="preserve">with probability </w:t>
      </w:r>
      <w:r w:rsidR="00A506D2" w:rsidRPr="00A506D2">
        <w:rPr>
          <w:i/>
        </w:rPr>
        <w:t>p</w:t>
      </w:r>
      <w:r w:rsidR="00A506D2" w:rsidRPr="00A506D2">
        <w:rPr>
          <w:i/>
          <w:vertAlign w:val="subscript"/>
        </w:rPr>
        <w:t>a</w:t>
      </w:r>
      <w:r w:rsidR="00A506D2">
        <w:t xml:space="preserve">. Thus, the probability that susceptible individual </w:t>
      </w:r>
      <w:proofErr w:type="spellStart"/>
      <w:r w:rsidR="00A506D2" w:rsidRPr="00A506D2">
        <w:rPr>
          <w:i/>
        </w:rPr>
        <w:t>i</w:t>
      </w:r>
      <w:proofErr w:type="spellEnd"/>
      <w:r w:rsidR="00A506D2">
        <w:t xml:space="preserve"> is infected at the toilet on day </w:t>
      </w:r>
      <w:r w:rsidR="00A506D2" w:rsidRPr="00A506D2">
        <w:rPr>
          <w:i/>
        </w:rPr>
        <w:t>d</w:t>
      </w:r>
      <w:r w:rsidR="00A506D2">
        <w:t xml:space="preserve"> is</w:t>
      </w:r>
    </w:p>
    <w:p w14:paraId="376CFA14" w14:textId="6AC29E11" w:rsidR="00785206" w:rsidRDefault="0078520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18"/>
      </w:tblGrid>
      <w:tr w:rsidR="00785206" w14:paraId="13A77A8A" w14:textId="77777777" w:rsidTr="001C568B">
        <w:tc>
          <w:tcPr>
            <w:tcW w:w="7792" w:type="dxa"/>
            <w:vAlign w:val="center"/>
          </w:tcPr>
          <w:p w14:paraId="1D48DB1A" w14:textId="36C7EE24" w:rsidR="00785206" w:rsidRPr="00DE5854" w:rsidRDefault="001C568B" w:rsidP="001C568B">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idt</m:t>
                    </m:r>
                  </m:sub>
                </m:sSub>
                <m:r>
                  <w:rPr>
                    <w:rFonts w:ascii="Cambria Math" w:hAnsi="Cambria Math"/>
                  </w:rPr>
                  <m:t>=1-</m:t>
                </m:r>
                <m:nary>
                  <m:naryPr>
                    <m:chr m:val="∑"/>
                    <m:limLoc m:val="undOvr"/>
                    <m:ctrlPr>
                      <w:rPr>
                        <w:rFonts w:ascii="Cambria Math" w:hAnsi="Cambria Math"/>
                        <w:i/>
                      </w:rPr>
                    </m:ctrlPr>
                  </m:naryPr>
                  <m:sub>
                    <m:r>
                      <w:rPr>
                        <w:rFonts w:ascii="Cambria Math" w:hAnsi="Cambria Math"/>
                      </w:rPr>
                      <m:t>j=0</m:t>
                    </m:r>
                  </m:sub>
                  <m:sup>
                    <m:r>
                      <w:rPr>
                        <w:rFonts w:ascii="Cambria Math" w:hAnsi="Cambria Math"/>
                      </w:rPr>
                      <m:t>6</m:t>
                    </m:r>
                  </m:sup>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j</m:t>
                          </m:r>
                        </m:e>
                      </m:mr>
                    </m:m>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cid</m:t>
                                    </m:r>
                                  </m:sub>
                                </m:sSub>
                              </m:num>
                              <m:den>
                                <m:sSub>
                                  <m:sSubPr>
                                    <m:ctrlPr>
                                      <w:rPr>
                                        <w:rFonts w:ascii="Cambria Math" w:hAnsi="Cambria Math"/>
                                        <w:i/>
                                      </w:rPr>
                                    </m:ctrlPr>
                                  </m:sSubPr>
                                  <m:e>
                                    <m:r>
                                      <w:rPr>
                                        <w:rFonts w:ascii="Cambria Math" w:hAnsi="Cambria Math"/>
                                      </w:rPr>
                                      <m:t>t</m:t>
                                    </m:r>
                                  </m:e>
                                  <m:sub>
                                    <m:r>
                                      <w:rPr>
                                        <w:rFonts w:ascii="Cambria Math" w:hAnsi="Cambria Math"/>
                                      </w:rPr>
                                      <m:t>id</m:t>
                                    </m:r>
                                  </m:sub>
                                </m:sSub>
                              </m:den>
                            </m:f>
                          </m:e>
                        </m:d>
                      </m:e>
                      <m:sup>
                        <m:r>
                          <w:rPr>
                            <w:rFonts w:ascii="Cambria Math" w:hAnsi="Cambria Math"/>
                          </w:rPr>
                          <m:t>6-j</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cid</m:t>
                                    </m:r>
                                  </m:sub>
                                </m:sSub>
                              </m:num>
                              <m:den>
                                <m:sSub>
                                  <m:sSubPr>
                                    <m:ctrlPr>
                                      <w:rPr>
                                        <w:rFonts w:ascii="Cambria Math" w:hAnsi="Cambria Math"/>
                                        <w:i/>
                                      </w:rPr>
                                    </m:ctrlPr>
                                  </m:sSubPr>
                                  <m:e>
                                    <m:r>
                                      <w:rPr>
                                        <w:rFonts w:ascii="Cambria Math" w:hAnsi="Cambria Math"/>
                                      </w:rPr>
                                      <m:t>t</m:t>
                                    </m:r>
                                  </m:e>
                                  <m:sub>
                                    <m:r>
                                      <w:rPr>
                                        <w:rFonts w:ascii="Cambria Math" w:hAnsi="Cambria Math"/>
                                      </w:rPr>
                                      <m:t>id</m:t>
                                    </m:r>
                                  </m:sub>
                                </m:sSub>
                              </m:den>
                            </m:f>
                          </m:e>
                        </m:d>
                      </m:e>
                      <m:sup>
                        <m:r>
                          <w:rPr>
                            <w:rFonts w:ascii="Cambria Math" w:hAnsi="Cambria Math"/>
                          </w:rPr>
                          <m:t>j</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a</m:t>
                                </m:r>
                              </m:sub>
                            </m:sSub>
                          </m:e>
                        </m:d>
                      </m:e>
                      <m:sup>
                        <m:r>
                          <w:rPr>
                            <w:rFonts w:ascii="Cambria Math" w:hAnsi="Cambria Math"/>
                          </w:rPr>
                          <m:t>j</m:t>
                        </m:r>
                      </m:sup>
                    </m:sSup>
                  </m:e>
                </m:nary>
                <m:r>
                  <w:rPr>
                    <w:rFonts w:ascii="Cambria Math" w:eastAsiaTheme="minorEastAsia" w:hAnsi="Cambria Math"/>
                  </w:rPr>
                  <m:t>,</m:t>
                </m:r>
              </m:oMath>
            </m:oMathPara>
          </w:p>
        </w:tc>
        <w:tc>
          <w:tcPr>
            <w:tcW w:w="1218" w:type="dxa"/>
            <w:vAlign w:val="center"/>
          </w:tcPr>
          <w:p w14:paraId="0F0A27D9" w14:textId="04C81303" w:rsidR="00785206" w:rsidRDefault="00785206" w:rsidP="001C568B">
            <w:pPr>
              <w:jc w:val="right"/>
            </w:pPr>
            <w:r>
              <w:t>(3)</w:t>
            </w:r>
          </w:p>
        </w:tc>
      </w:tr>
    </w:tbl>
    <w:p w14:paraId="6F2824AB" w14:textId="77777777" w:rsidR="00A506D2" w:rsidRDefault="00A506D2"/>
    <w:p w14:paraId="38C6CF0E" w14:textId="6C7BA9FB" w:rsidR="00841521" w:rsidRPr="00366E2E" w:rsidRDefault="00785206">
      <w:r>
        <w:t>w</w:t>
      </w:r>
      <w:r w:rsidR="00690A3A">
        <w:t xml:space="preserve">here </w:t>
      </w:r>
      <w:proofErr w:type="spellStart"/>
      <w:r w:rsidRPr="00690A3A">
        <w:rPr>
          <w:i/>
        </w:rPr>
        <w:t>t</w:t>
      </w:r>
      <w:r w:rsidRPr="00690A3A">
        <w:rPr>
          <w:i/>
          <w:vertAlign w:val="subscript"/>
        </w:rPr>
        <w:t>ci</w:t>
      </w:r>
      <w:r>
        <w:rPr>
          <w:i/>
          <w:vertAlign w:val="subscript"/>
        </w:rPr>
        <w:t>d</w:t>
      </w:r>
      <w:proofErr w:type="spellEnd"/>
      <w:r>
        <w:t xml:space="preserve"> and </w:t>
      </w:r>
      <w:proofErr w:type="spellStart"/>
      <w:r w:rsidR="00690A3A" w:rsidRPr="00690A3A">
        <w:rPr>
          <w:i/>
        </w:rPr>
        <w:t>t</w:t>
      </w:r>
      <w:r w:rsidR="00690A3A" w:rsidRPr="00690A3A">
        <w:rPr>
          <w:i/>
          <w:vertAlign w:val="subscript"/>
        </w:rPr>
        <w:t>i</w:t>
      </w:r>
      <w:r w:rsidR="00690A3A">
        <w:rPr>
          <w:i/>
          <w:vertAlign w:val="subscript"/>
        </w:rPr>
        <w:t>d</w:t>
      </w:r>
      <w:proofErr w:type="spellEnd"/>
      <w:r w:rsidR="00690A3A">
        <w:t xml:space="preserve"> are the numbers of </w:t>
      </w:r>
      <w:r>
        <w:t xml:space="preserve">infectious </w:t>
      </w:r>
      <w:r w:rsidR="00690A3A">
        <w:t xml:space="preserve">individuals and </w:t>
      </w:r>
      <w:r w:rsidR="00806F42">
        <w:t xml:space="preserve">of </w:t>
      </w:r>
      <w:r>
        <w:t xml:space="preserve">all </w:t>
      </w:r>
      <w:r w:rsidR="00690A3A">
        <w:t>individuals</w:t>
      </w:r>
      <w:r w:rsidR="00806F42">
        <w:t>, respectively,</w:t>
      </w:r>
      <w:r w:rsidR="00690A3A">
        <w:t xml:space="preserve"> that share a toilet with individual </w:t>
      </w:r>
      <w:proofErr w:type="spellStart"/>
      <w:r w:rsidR="00690A3A" w:rsidRPr="00690A3A">
        <w:rPr>
          <w:i/>
        </w:rPr>
        <w:t>i</w:t>
      </w:r>
      <w:proofErr w:type="spellEnd"/>
      <w:r w:rsidR="00690A3A">
        <w:rPr>
          <w:i/>
        </w:rPr>
        <w:t xml:space="preserve"> </w:t>
      </w:r>
      <w:r w:rsidR="00690A3A">
        <w:t xml:space="preserve">on day </w:t>
      </w:r>
      <w:r w:rsidR="00690A3A" w:rsidRPr="00690A3A">
        <w:rPr>
          <w:i/>
        </w:rPr>
        <w:t>d</w:t>
      </w:r>
      <w:r w:rsidR="00690A3A">
        <w:t xml:space="preserve">. </w:t>
      </w:r>
      <w:r w:rsidR="00806F42">
        <w:t>In our baseline model, w</w:t>
      </w:r>
      <w:r w:rsidR="00366E2E">
        <w:t xml:space="preserve">e set </w:t>
      </w:r>
      <w:r w:rsidR="00366E2E" w:rsidRPr="00A506D2">
        <w:rPr>
          <w:i/>
        </w:rPr>
        <w:t>p</w:t>
      </w:r>
      <w:r w:rsidR="00366E2E" w:rsidRPr="00A506D2">
        <w:rPr>
          <w:i/>
          <w:vertAlign w:val="subscript"/>
        </w:rPr>
        <w:t>a</w:t>
      </w:r>
      <w:r w:rsidR="00806F42">
        <w:t> </w:t>
      </w:r>
      <w:r w:rsidR="00366E2E">
        <w:t>=</w:t>
      </w:r>
      <w:r w:rsidR="00806F42">
        <w:t> </w:t>
      </w:r>
      <w:r w:rsidR="001262AB">
        <w:t>0.1 following Fang and colleagues (2020).</w:t>
      </w:r>
    </w:p>
    <w:p w14:paraId="732DEA00" w14:textId="77777777" w:rsidR="00841521" w:rsidRDefault="00841521"/>
    <w:p w14:paraId="1D51B452" w14:textId="3A90400F" w:rsidR="000348D8" w:rsidRDefault="002078B7" w:rsidP="000348D8">
      <w:r w:rsidRPr="0018771E">
        <w:rPr>
          <w:i/>
        </w:rPr>
        <w:t xml:space="preserve">Infection </w:t>
      </w:r>
      <w:r w:rsidR="00914A60">
        <w:rPr>
          <w:i/>
        </w:rPr>
        <w:t>in the food line</w:t>
      </w:r>
      <w:r>
        <w:t xml:space="preserve">. </w:t>
      </w:r>
      <w:r w:rsidR="00914A60">
        <w:t>The f</w:t>
      </w:r>
      <w:r>
        <w:t>ood line form</w:t>
      </w:r>
      <w:r w:rsidR="00914A60">
        <w:t>s</w:t>
      </w:r>
      <w:r>
        <w:t xml:space="preserve"> 3 times per day. </w:t>
      </w:r>
      <w:r w:rsidR="00914A60">
        <w:t xml:space="preserve">We assume that only individuals without symptoms (i.e., susceptible, exposed, pre-symptomatic, asymptomatic, and recovered) attend food lines. Food is delivered to individuals with symptoms by others, without interaction (e.g., food might be left outside homes). </w:t>
      </w:r>
      <w:r>
        <w:t xml:space="preserve">We assume that each individual </w:t>
      </w:r>
      <w:r w:rsidR="00914A60">
        <w:t xml:space="preserve">without symptoms </w:t>
      </w:r>
      <w:r>
        <w:t xml:space="preserve">attends </w:t>
      </w:r>
      <w:r w:rsidR="00163BD6">
        <w:t>the food line on</w:t>
      </w:r>
      <w:r w:rsidR="00914A60">
        <w:t>ce per day on 3 out of 4 days</w:t>
      </w:r>
      <w:r>
        <w:t>. On other occasions, food is brought to th</w:t>
      </w:r>
      <w:r w:rsidR="00914A60">
        <w:t>at</w:t>
      </w:r>
      <w:r>
        <w:t xml:space="preserve"> individual by another individual without additional interactions. </w:t>
      </w:r>
      <w:r w:rsidR="00914A60">
        <w:t>For example,</w:t>
      </w:r>
      <w:r>
        <w:t xml:space="preserve"> food </w:t>
      </w:r>
      <w:r w:rsidR="00914A60">
        <w:t>might be</w:t>
      </w:r>
      <w:r>
        <w:t xml:space="preserve"> brought by a member of the same household, or by a neighbour with whom the individual would otherwise interact (see below). </w:t>
      </w:r>
      <w:r w:rsidR="00163BD6">
        <w:t xml:space="preserve">If an individual </w:t>
      </w:r>
      <w:r w:rsidR="00914A60">
        <w:t>attends</w:t>
      </w:r>
      <w:r w:rsidR="00163BD6">
        <w:t xml:space="preserve"> the food line, </w:t>
      </w:r>
      <w:r w:rsidR="000348D8">
        <w:t xml:space="preserve">it interacts with the individual in front of and the individual behind it in the line. Thus, the probability that susceptible individual </w:t>
      </w:r>
      <w:proofErr w:type="spellStart"/>
      <w:r w:rsidR="000348D8" w:rsidRPr="00A506D2">
        <w:rPr>
          <w:i/>
        </w:rPr>
        <w:t>i</w:t>
      </w:r>
      <w:proofErr w:type="spellEnd"/>
      <w:r w:rsidR="000348D8">
        <w:t xml:space="preserve"> is infected in the food line on day </w:t>
      </w:r>
      <w:r w:rsidR="000348D8" w:rsidRPr="00A506D2">
        <w:rPr>
          <w:i/>
        </w:rPr>
        <w:t>d</w:t>
      </w:r>
      <w:r w:rsidR="000348D8">
        <w:t xml:space="preserve"> is</w:t>
      </w:r>
    </w:p>
    <w:p w14:paraId="45BC4C29" w14:textId="7C8F3784" w:rsidR="00841521" w:rsidRDefault="0084152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18"/>
      </w:tblGrid>
      <w:tr w:rsidR="000348D8" w14:paraId="1D9E81CA" w14:textId="77777777" w:rsidTr="001C568B">
        <w:tc>
          <w:tcPr>
            <w:tcW w:w="7792" w:type="dxa"/>
            <w:vAlign w:val="center"/>
          </w:tcPr>
          <w:p w14:paraId="134765A0" w14:textId="3486E213" w:rsidR="000348D8" w:rsidRPr="00DE5854" w:rsidRDefault="001C568B" w:rsidP="001C568B">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idf</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j=0</m:t>
                        </m:r>
                      </m:sub>
                      <m:sup>
                        <m:r>
                          <w:rPr>
                            <w:rFonts w:ascii="Cambria Math" w:hAnsi="Cambria Math"/>
                          </w:rPr>
                          <m:t>2</m:t>
                        </m:r>
                      </m:sup>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j</m:t>
                              </m:r>
                            </m:e>
                          </m:mr>
                        </m:m>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yd</m:t>
                                        </m:r>
                                      </m:sub>
                                    </m:sSub>
                                  </m:num>
                                  <m:den>
                                    <m:sSub>
                                      <m:sSubPr>
                                        <m:ctrlPr>
                                          <w:rPr>
                                            <w:rFonts w:ascii="Cambria Math" w:hAnsi="Cambria Math"/>
                                            <w:i/>
                                          </w:rPr>
                                        </m:ctrlPr>
                                      </m:sSubPr>
                                      <m:e>
                                        <m:r>
                                          <w:rPr>
                                            <w:rFonts w:ascii="Cambria Math" w:hAnsi="Cambria Math"/>
                                          </w:rPr>
                                          <m:t>n</m:t>
                                        </m:r>
                                      </m:e>
                                      <m:sub>
                                        <m:r>
                                          <w:rPr>
                                            <w:rFonts w:ascii="Cambria Math" w:hAnsi="Cambria Math"/>
                                          </w:rPr>
                                          <m:t>zd</m:t>
                                        </m:r>
                                      </m:sub>
                                    </m:sSub>
                                  </m:den>
                                </m:f>
                              </m:e>
                            </m:d>
                          </m:e>
                          <m:sup>
                            <m:r>
                              <w:rPr>
                                <w:rFonts w:ascii="Cambria Math" w:hAnsi="Cambria Math"/>
                              </w:rPr>
                              <m:t>2-j</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yd</m:t>
                                        </m:r>
                                      </m:sub>
                                    </m:sSub>
                                  </m:num>
                                  <m:den>
                                    <m:sSub>
                                      <m:sSubPr>
                                        <m:ctrlPr>
                                          <w:rPr>
                                            <w:rFonts w:ascii="Cambria Math" w:hAnsi="Cambria Math"/>
                                            <w:i/>
                                          </w:rPr>
                                        </m:ctrlPr>
                                      </m:sSubPr>
                                      <m:e>
                                        <m:r>
                                          <w:rPr>
                                            <w:rFonts w:ascii="Cambria Math" w:hAnsi="Cambria Math"/>
                                          </w:rPr>
                                          <m:t>n</m:t>
                                        </m:r>
                                      </m:e>
                                      <m:sub>
                                        <m:r>
                                          <w:rPr>
                                            <w:rFonts w:ascii="Cambria Math" w:hAnsi="Cambria Math"/>
                                          </w:rPr>
                                          <m:t>zd</m:t>
                                        </m:r>
                                      </m:sub>
                                    </m:sSub>
                                  </m:den>
                                </m:f>
                              </m:e>
                            </m:d>
                          </m:e>
                          <m:sup>
                            <m:r>
                              <w:rPr>
                                <w:rFonts w:ascii="Cambria Math" w:hAnsi="Cambria Math"/>
                              </w:rPr>
                              <m:t>j</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a</m:t>
                                    </m:r>
                                  </m:sub>
                                </m:sSub>
                              </m:e>
                            </m:d>
                          </m:e>
                          <m:sup>
                            <m:r>
                              <w:rPr>
                                <w:rFonts w:ascii="Cambria Math" w:hAnsi="Cambria Math"/>
                              </w:rPr>
                              <m:t>j</m:t>
                            </m:r>
                          </m:sup>
                        </m:sSup>
                      </m:e>
                    </m:nary>
                  </m:e>
                </m:d>
                <m:r>
                  <w:rPr>
                    <w:rFonts w:ascii="Cambria Math" w:hAnsi="Cambria Math"/>
                  </w:rPr>
                  <m:t xml:space="preserve"> </m:t>
                </m:r>
                <m:r>
                  <w:rPr>
                    <w:rFonts w:ascii="Cambria Math" w:eastAsiaTheme="minorEastAsia" w:hAnsi="Cambria Math"/>
                  </w:rPr>
                  <m:t>,</m:t>
                </m:r>
              </m:oMath>
            </m:oMathPara>
          </w:p>
        </w:tc>
        <w:tc>
          <w:tcPr>
            <w:tcW w:w="1218" w:type="dxa"/>
            <w:vAlign w:val="center"/>
          </w:tcPr>
          <w:p w14:paraId="3512644C" w14:textId="0E5E5EB5" w:rsidR="000348D8" w:rsidRDefault="000348D8" w:rsidP="001C568B">
            <w:pPr>
              <w:jc w:val="right"/>
            </w:pPr>
            <w:r>
              <w:t>(</w:t>
            </w:r>
            <w:r w:rsidR="00CA3034">
              <w:t>4</w:t>
            </w:r>
            <w:r>
              <w:t>)</w:t>
            </w:r>
          </w:p>
        </w:tc>
      </w:tr>
    </w:tbl>
    <w:p w14:paraId="47EF966B" w14:textId="1945DC19" w:rsidR="002078B7" w:rsidRDefault="002078B7"/>
    <w:p w14:paraId="28197D21" w14:textId="55FB4FCD" w:rsidR="00CA3034" w:rsidRDefault="00CA3034">
      <w:r>
        <w:t xml:space="preserve">where </w:t>
      </w:r>
      <w:proofErr w:type="spellStart"/>
      <w:r w:rsidRPr="00CA3034">
        <w:rPr>
          <w:i/>
        </w:rPr>
        <w:t>n</w:t>
      </w:r>
      <w:r w:rsidRPr="00CA3034">
        <w:rPr>
          <w:i/>
          <w:vertAlign w:val="subscript"/>
        </w:rPr>
        <w:t>yd</w:t>
      </w:r>
      <w:proofErr w:type="spellEnd"/>
      <w:r>
        <w:t xml:space="preserve"> is the number of infectious individuals without symptoms (i.e., pre-symptomatic and asymptomatic) in the camp on day </w:t>
      </w:r>
      <w:r w:rsidRPr="00CA3034">
        <w:rPr>
          <w:i/>
        </w:rPr>
        <w:t>d</w:t>
      </w:r>
      <w:r>
        <w:t xml:space="preserve">, and </w:t>
      </w:r>
      <w:proofErr w:type="spellStart"/>
      <w:r w:rsidRPr="00CA3034">
        <w:rPr>
          <w:i/>
        </w:rPr>
        <w:t>n</w:t>
      </w:r>
      <w:r>
        <w:rPr>
          <w:i/>
          <w:vertAlign w:val="subscript"/>
        </w:rPr>
        <w:t>z</w:t>
      </w:r>
      <w:r w:rsidRPr="00CA3034">
        <w:rPr>
          <w:i/>
          <w:vertAlign w:val="subscript"/>
        </w:rPr>
        <w:t>d</w:t>
      </w:r>
      <w:proofErr w:type="spellEnd"/>
      <w:r>
        <w:t xml:space="preserve"> is the total number of individuals without symptoms in the camp on day </w:t>
      </w:r>
      <w:r w:rsidRPr="00CA3034">
        <w:rPr>
          <w:i/>
        </w:rPr>
        <w:t>d</w:t>
      </w:r>
      <w:r>
        <w:t>.</w:t>
      </w:r>
    </w:p>
    <w:p w14:paraId="25314C6F" w14:textId="6F4DF372" w:rsidR="004E36AD" w:rsidRDefault="004E36AD"/>
    <w:p w14:paraId="1C81544D" w14:textId="690A360F" w:rsidR="004E36AD" w:rsidRDefault="00E439CF">
      <w:r w:rsidRPr="00E439CF">
        <w:rPr>
          <w:i/>
        </w:rPr>
        <w:t>Infection as individuals move about the camp</w:t>
      </w:r>
      <w:r>
        <w:t xml:space="preserve">. Individuals move about </w:t>
      </w:r>
      <w:r w:rsidR="00C123BE">
        <w:t>outside their househ</w:t>
      </w:r>
      <w:r w:rsidR="00A62C44">
        <w:t>o</w:t>
      </w:r>
      <w:r w:rsidR="00C123BE">
        <w:t>lds</w:t>
      </w:r>
      <w:r w:rsidR="002D4BCC">
        <w:t>,</w:t>
      </w:r>
      <w:r>
        <w:t xml:space="preserve"> and interact with </w:t>
      </w:r>
      <w:r w:rsidR="002D4BCC">
        <w:t>individuals from other households</w:t>
      </w:r>
      <w:r>
        <w:t xml:space="preserve"> as they move. We assume that each individual occupies a circular home range centred on its household, and </w:t>
      </w:r>
      <w:r w:rsidR="00BA20EF">
        <w:t xml:space="preserve">uses all </w:t>
      </w:r>
      <w:r w:rsidR="00440D9D">
        <w:t>parts of its</w:t>
      </w:r>
      <w:r>
        <w:t xml:space="preserve"> home range</w:t>
      </w:r>
      <w:r w:rsidR="00440D9D">
        <w:t xml:space="preserve"> equally</w:t>
      </w:r>
      <w:r>
        <w:t xml:space="preserve">. </w:t>
      </w:r>
      <w:r w:rsidR="00C123BE">
        <w:t xml:space="preserve">Two individuals may interact if their home ranges overlap. If individuals </w:t>
      </w:r>
      <w:proofErr w:type="spellStart"/>
      <w:r w:rsidR="00C123BE" w:rsidRPr="00C123BE">
        <w:rPr>
          <w:i/>
        </w:rPr>
        <w:t>i</w:t>
      </w:r>
      <w:proofErr w:type="spellEnd"/>
      <w:r w:rsidR="00C123BE" w:rsidRPr="00C123BE">
        <w:rPr>
          <w:i/>
        </w:rPr>
        <w:t xml:space="preserve"> </w:t>
      </w:r>
      <w:r w:rsidR="00C123BE">
        <w:t>and</w:t>
      </w:r>
      <w:r w:rsidR="00C123BE" w:rsidRPr="00C123BE">
        <w:rPr>
          <w:i/>
        </w:rPr>
        <w:t xml:space="preserve"> j</w:t>
      </w:r>
      <w:r w:rsidR="00C123BE">
        <w:t xml:space="preserve"> have home ranges with radii </w:t>
      </w:r>
      <w:proofErr w:type="spellStart"/>
      <w:r w:rsidR="00C123BE" w:rsidRPr="00C123BE">
        <w:rPr>
          <w:i/>
        </w:rPr>
        <w:t>r</w:t>
      </w:r>
      <w:r w:rsidR="00C123BE" w:rsidRPr="00C123BE">
        <w:rPr>
          <w:i/>
          <w:vertAlign w:val="subscript"/>
        </w:rPr>
        <w:t>i</w:t>
      </w:r>
      <w:proofErr w:type="spellEnd"/>
      <w:r w:rsidR="00C123BE">
        <w:t xml:space="preserve"> and </w:t>
      </w:r>
      <w:proofErr w:type="spellStart"/>
      <w:r w:rsidR="00C123BE" w:rsidRPr="00C123BE">
        <w:rPr>
          <w:i/>
        </w:rPr>
        <w:t>r</w:t>
      </w:r>
      <w:r w:rsidR="00C123BE" w:rsidRPr="00C123BE">
        <w:rPr>
          <w:i/>
          <w:vertAlign w:val="subscript"/>
        </w:rPr>
        <w:t>j</w:t>
      </w:r>
      <w:proofErr w:type="spellEnd"/>
      <w:r w:rsidR="00C123BE">
        <w:t>, respectively</w:t>
      </w:r>
      <w:r w:rsidR="002D4BCC">
        <w:t>,</w:t>
      </w:r>
      <w:r w:rsidR="00C123BE">
        <w:t xml:space="preserve"> and the distance between their households i</w:t>
      </w:r>
      <w:r w:rsidR="00FA78EC">
        <w:t>s</w:t>
      </w:r>
      <w:r w:rsidR="00C123BE">
        <w:t xml:space="preserve"> </w:t>
      </w:r>
      <w:proofErr w:type="spellStart"/>
      <w:r w:rsidR="00C123BE" w:rsidRPr="00C123BE">
        <w:rPr>
          <w:i/>
        </w:rPr>
        <w:t>d</w:t>
      </w:r>
      <w:r w:rsidR="00C123BE" w:rsidRPr="00C123BE">
        <w:rPr>
          <w:i/>
          <w:vertAlign w:val="subscript"/>
        </w:rPr>
        <w:t>ij</w:t>
      </w:r>
      <w:proofErr w:type="spellEnd"/>
      <w:r w:rsidR="00C123BE">
        <w:t xml:space="preserve">, then area of overlap </w:t>
      </w:r>
      <w:r w:rsidR="00A62C44">
        <w:t>in</w:t>
      </w:r>
      <w:r w:rsidR="00C123BE">
        <w:t xml:space="preserve"> their home ranges is</w:t>
      </w:r>
    </w:p>
    <w:p w14:paraId="188827C5" w14:textId="3A6A6338" w:rsidR="00C123BE" w:rsidRDefault="00C123B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05"/>
      </w:tblGrid>
      <w:tr w:rsidR="00C123BE" w14:paraId="00321792" w14:textId="77777777" w:rsidTr="00D7021E">
        <w:tc>
          <w:tcPr>
            <w:tcW w:w="8505" w:type="dxa"/>
            <w:vAlign w:val="center"/>
          </w:tcPr>
          <w:p w14:paraId="45527B9F" w14:textId="6D8BEB8E" w:rsidR="00C123BE" w:rsidRPr="00DE5854" w:rsidRDefault="001C568B" w:rsidP="001A2A2C">
            <w:pPr>
              <w:spacing w:line="480" w:lineRule="auto"/>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func>
                  <m:funcPr>
                    <m:ctrlPr>
                      <w:rPr>
                        <w:rFonts w:ascii="Cambria Math" w:hAnsi="Cambria Math"/>
                        <w:i/>
                      </w:rPr>
                    </m:ctrlPr>
                  </m:funcPr>
                  <m:fName>
                    <m:r>
                      <m:rPr>
                        <m:sty m:val="p"/>
                      </m:rPr>
                      <w:rPr>
                        <w:rFonts w:ascii="Cambria Math" w:hAnsi="Cambria Math"/>
                      </w:rPr>
                      <m:t>acos</m:t>
                    </m:r>
                  </m:fName>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m:t>
                                </m:r>
                              </m:sub>
                            </m:sSub>
                          </m:den>
                        </m:f>
                      </m:e>
                    </m:d>
                  </m:e>
                </m:func>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func>
                  <m:funcPr>
                    <m:ctrlPr>
                      <w:rPr>
                        <w:rFonts w:ascii="Cambria Math" w:hAnsi="Cambria Math"/>
                        <w:i/>
                      </w:rPr>
                    </m:ctrlPr>
                  </m:funcPr>
                  <m:fName>
                    <m:r>
                      <m:rPr>
                        <m:sty m:val="p"/>
                      </m:rPr>
                      <w:rPr>
                        <w:rFonts w:ascii="Cambria Math" w:hAnsi="Cambria Math"/>
                      </w:rPr>
                      <m:t>acos</m:t>
                    </m:r>
                  </m:fName>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j</m:t>
                                </m:r>
                              </m:sub>
                            </m:sSub>
                          </m:den>
                        </m:f>
                      </m:e>
                    </m:d>
                    <m:r>
                      <w:rPr>
                        <w:rFonts w:ascii="Cambria Math" w:hAnsi="Cambria Math"/>
                      </w:rPr>
                      <m:t>-</m:t>
                    </m:r>
                  </m:e>
                </m:func>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e>
                </m:rad>
                <m:r>
                  <w:rPr>
                    <w:rFonts w:ascii="Cambria Math" w:hAnsi="Cambria Math"/>
                  </w:rPr>
                  <m:t xml:space="preserve"> .</m:t>
                </m:r>
              </m:oMath>
            </m:oMathPara>
          </w:p>
        </w:tc>
        <w:tc>
          <w:tcPr>
            <w:tcW w:w="505" w:type="dxa"/>
            <w:vAlign w:val="center"/>
          </w:tcPr>
          <w:p w14:paraId="085D5928" w14:textId="638FF148" w:rsidR="00C123BE" w:rsidRDefault="00C123BE" w:rsidP="001C568B">
            <w:pPr>
              <w:jc w:val="right"/>
            </w:pPr>
            <w:r>
              <w:t>(5)</w:t>
            </w:r>
          </w:p>
        </w:tc>
      </w:tr>
    </w:tbl>
    <w:p w14:paraId="4AC6FC2C" w14:textId="22E3B949" w:rsidR="00C123BE" w:rsidRDefault="00A62C44">
      <w:r>
        <w:t>T</w:t>
      </w:r>
      <w:r w:rsidR="00FA78EC">
        <w:t xml:space="preserve">he proportion of time that individuals </w:t>
      </w:r>
      <w:proofErr w:type="spellStart"/>
      <w:r w:rsidR="00FA78EC" w:rsidRPr="00FA78EC">
        <w:rPr>
          <w:i/>
        </w:rPr>
        <w:t>i</w:t>
      </w:r>
      <w:proofErr w:type="spellEnd"/>
      <w:r w:rsidR="00FA78EC">
        <w:t xml:space="preserve"> and </w:t>
      </w:r>
      <w:r w:rsidR="00FA78EC" w:rsidRPr="00FA78EC">
        <w:rPr>
          <w:i/>
        </w:rPr>
        <w:t>j</w:t>
      </w:r>
      <w:r w:rsidR="00FA78EC">
        <w:t xml:space="preserve"> spend together in the area of overlap is </w:t>
      </w:r>
    </w:p>
    <w:p w14:paraId="776F8C21" w14:textId="77777777" w:rsidR="00C123BE" w:rsidRPr="00CA3034" w:rsidRDefault="00C123B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05"/>
      </w:tblGrid>
      <w:tr w:rsidR="00FA78EC" w14:paraId="1B697EF8" w14:textId="77777777" w:rsidTr="001C568B">
        <w:tc>
          <w:tcPr>
            <w:tcW w:w="8505" w:type="dxa"/>
            <w:vAlign w:val="center"/>
          </w:tcPr>
          <w:p w14:paraId="0EF68767" w14:textId="3936273C" w:rsidR="00FA78EC" w:rsidRPr="00DE5854" w:rsidRDefault="001C568B" w:rsidP="001C568B">
            <w:pPr>
              <w:spacing w:line="480" w:lineRule="auto"/>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ij</m:t>
                        </m:r>
                      </m:sub>
                    </m:sSub>
                  </m:num>
                  <m:den>
                    <m:r>
                      <w:rPr>
                        <w:rFonts w:ascii="Cambria Math" w:hAnsi="Cambria Math"/>
                      </w:rPr>
                      <m:t>π</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den>
                </m:f>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ij</m:t>
                        </m:r>
                      </m:sub>
                    </m:sSub>
                  </m:num>
                  <m:den>
                    <m:r>
                      <w:rPr>
                        <w:rFonts w:ascii="Cambria Math" w:hAnsi="Cambria Math"/>
                      </w:rPr>
                      <m:t>π</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den>
                </m:f>
                <m:r>
                  <w:rPr>
                    <w:rFonts w:ascii="Cambria Math" w:hAnsi="Cambria Math"/>
                  </w:rPr>
                  <m:t xml:space="preserve"> </m:t>
                </m:r>
                <m:r>
                  <w:rPr>
                    <w:rFonts w:ascii="Cambria Math" w:eastAsiaTheme="minorEastAsia" w:hAnsi="Cambria Math"/>
                  </w:rPr>
                  <m:t>,</m:t>
                </m:r>
              </m:oMath>
            </m:oMathPara>
          </w:p>
        </w:tc>
        <w:tc>
          <w:tcPr>
            <w:tcW w:w="505" w:type="dxa"/>
            <w:vAlign w:val="center"/>
          </w:tcPr>
          <w:p w14:paraId="22B52C19" w14:textId="48F571A7" w:rsidR="00FA78EC" w:rsidRDefault="00FA78EC" w:rsidP="001C568B">
            <w:pPr>
              <w:jc w:val="right"/>
            </w:pPr>
            <w:r>
              <w:t>(6)</w:t>
            </w:r>
          </w:p>
        </w:tc>
      </w:tr>
    </w:tbl>
    <w:p w14:paraId="0291B460" w14:textId="49943CE2" w:rsidR="002078B7" w:rsidRDefault="00FA78EC">
      <w:r>
        <w:t xml:space="preserve">and the relative </w:t>
      </w:r>
      <w:r w:rsidR="00EB0CFB">
        <w:t>encounter rate between</w:t>
      </w:r>
      <w:r>
        <w:t xml:space="preserve"> individuals </w:t>
      </w:r>
      <w:proofErr w:type="spellStart"/>
      <w:r w:rsidRPr="00FA78EC">
        <w:rPr>
          <w:i/>
        </w:rPr>
        <w:t>i</w:t>
      </w:r>
      <w:proofErr w:type="spellEnd"/>
      <w:r>
        <w:t xml:space="preserve"> and </w:t>
      </w:r>
      <w:r w:rsidRPr="00FA78EC">
        <w:rPr>
          <w:i/>
        </w:rPr>
        <w:t>j</w:t>
      </w:r>
      <w:r>
        <w:t xml:space="preserve"> is</w:t>
      </w:r>
    </w:p>
    <w:p w14:paraId="6BF46C34" w14:textId="1AE8084B" w:rsidR="00FA78EC" w:rsidRDefault="00FA78E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05"/>
      </w:tblGrid>
      <w:tr w:rsidR="00FA78EC" w14:paraId="6D596012" w14:textId="77777777" w:rsidTr="001C568B">
        <w:tc>
          <w:tcPr>
            <w:tcW w:w="8505" w:type="dxa"/>
            <w:vAlign w:val="center"/>
          </w:tcPr>
          <w:p w14:paraId="78B801FE" w14:textId="11527107" w:rsidR="00FA78EC" w:rsidRPr="00DE5854" w:rsidRDefault="001C568B" w:rsidP="001C568B">
            <w:pPr>
              <w:spacing w:line="480" w:lineRule="auto"/>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ij</m:t>
                        </m:r>
                      </m:sub>
                    </m:sSub>
                  </m:num>
                  <m:den>
                    <m:sSup>
                      <m:sSupPr>
                        <m:ctrlPr>
                          <w:rPr>
                            <w:rFonts w:ascii="Cambria Math" w:hAnsi="Cambria Math"/>
                            <w:i/>
                          </w:rPr>
                        </m:ctrlPr>
                      </m:sSupPr>
                      <m:e>
                        <m:r>
                          <w:rPr>
                            <w:rFonts w:ascii="Cambria Math" w:hAnsi="Cambria Math"/>
                          </w:rPr>
                          <m:t>π</m:t>
                        </m:r>
                      </m:e>
                      <m:sup>
                        <m:r>
                          <w:rPr>
                            <w:rFonts w:ascii="Cambria Math" w:hAnsi="Cambria Math"/>
                          </w:rPr>
                          <m:t>2</m:t>
                        </m:r>
                      </m:sup>
                    </m:sSup>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den>
                </m:f>
                <m:r>
                  <w:rPr>
                    <w:rFonts w:ascii="Cambria Math" w:hAnsi="Cambria Math"/>
                  </w:rPr>
                  <m:t xml:space="preserve"> .</m:t>
                </m:r>
              </m:oMath>
            </m:oMathPara>
          </w:p>
        </w:tc>
        <w:tc>
          <w:tcPr>
            <w:tcW w:w="505" w:type="dxa"/>
            <w:vAlign w:val="center"/>
          </w:tcPr>
          <w:p w14:paraId="46315367" w14:textId="38C31276" w:rsidR="00FA78EC" w:rsidRDefault="00FA78EC" w:rsidP="001C568B">
            <w:pPr>
              <w:jc w:val="right"/>
            </w:pPr>
            <w:r>
              <w:t>(7)</w:t>
            </w:r>
          </w:p>
        </w:tc>
      </w:tr>
    </w:tbl>
    <w:p w14:paraId="5292F365" w14:textId="3449CB02" w:rsidR="00FA78EC" w:rsidRDefault="00EB0CFB">
      <w:r>
        <w:t xml:space="preserve">To obtain the interaction rate between individuals </w:t>
      </w:r>
      <w:proofErr w:type="spellStart"/>
      <w:r w:rsidRPr="00EB0CFB">
        <w:rPr>
          <w:i/>
        </w:rPr>
        <w:t>i</w:t>
      </w:r>
      <w:proofErr w:type="spellEnd"/>
      <w:r>
        <w:t xml:space="preserve"> and</w:t>
      </w:r>
      <w:r w:rsidRPr="00EB0CFB">
        <w:rPr>
          <w:i/>
        </w:rPr>
        <w:t xml:space="preserve"> j</w:t>
      </w:r>
      <w:r w:rsidR="00B272BA">
        <w:t xml:space="preserve"> from the relative encounter rate</w:t>
      </w:r>
      <w:r>
        <w:t>, we scale</w:t>
      </w:r>
      <w:r w:rsidR="002D4BCC">
        <w:t xml:space="preserve"> </w:t>
      </w:r>
      <w:r>
        <w:t xml:space="preserve">by a factor </w:t>
      </w:r>
      <w:proofErr w:type="spellStart"/>
      <w:r w:rsidRPr="00EB0CFB">
        <w:rPr>
          <w:i/>
        </w:rPr>
        <w:t>g</w:t>
      </w:r>
      <w:r w:rsidRPr="00EB0CFB">
        <w:rPr>
          <w:i/>
          <w:vertAlign w:val="subscript"/>
        </w:rPr>
        <w:t>ij</w:t>
      </w:r>
      <w:proofErr w:type="spellEnd"/>
      <w:r>
        <w:t xml:space="preserve"> to account for ethnicity or country of origin. In particular, </w:t>
      </w:r>
      <w:proofErr w:type="spellStart"/>
      <w:r w:rsidRPr="00EB0CFB">
        <w:rPr>
          <w:i/>
        </w:rPr>
        <w:t>g</w:t>
      </w:r>
      <w:r w:rsidRPr="00EB0CFB">
        <w:rPr>
          <w:i/>
          <w:vertAlign w:val="subscript"/>
        </w:rPr>
        <w:t>ij</w:t>
      </w:r>
      <w:proofErr w:type="spellEnd"/>
      <w:r>
        <w:t xml:space="preserve"> = 1 if individuals </w:t>
      </w:r>
      <w:proofErr w:type="spellStart"/>
      <w:r w:rsidRPr="00EB0CFB">
        <w:rPr>
          <w:i/>
        </w:rPr>
        <w:t>i</w:t>
      </w:r>
      <w:proofErr w:type="spellEnd"/>
      <w:r w:rsidRPr="00EB0CFB">
        <w:rPr>
          <w:i/>
        </w:rPr>
        <w:t xml:space="preserve"> </w:t>
      </w:r>
      <w:r>
        <w:t>and</w:t>
      </w:r>
      <w:r w:rsidRPr="00EB0CFB">
        <w:rPr>
          <w:i/>
        </w:rPr>
        <w:t xml:space="preserve"> j</w:t>
      </w:r>
      <w:r>
        <w:t xml:space="preserve"> have the same background, and </w:t>
      </w:r>
      <w:proofErr w:type="spellStart"/>
      <w:r w:rsidRPr="00EB0CFB">
        <w:rPr>
          <w:i/>
        </w:rPr>
        <w:t>g</w:t>
      </w:r>
      <w:r w:rsidRPr="00EB0CFB">
        <w:rPr>
          <w:i/>
          <w:vertAlign w:val="subscript"/>
        </w:rPr>
        <w:t>ij</w:t>
      </w:r>
      <w:proofErr w:type="spellEnd"/>
      <w:r>
        <w:t xml:space="preserve"> = </w:t>
      </w:r>
      <w:r w:rsidR="002D4BCC">
        <w:t>0.2</w:t>
      </w:r>
      <w:r>
        <w:t xml:space="preserve"> otherwise.</w:t>
      </w:r>
      <w:r w:rsidR="002D4BCC">
        <w:t xml:space="preserve"> </w:t>
      </w:r>
      <w:commentRangeStart w:id="5"/>
      <w:r w:rsidR="002D4BCC">
        <w:t xml:space="preserve">Furthermore, we scale the interaction rate such </w:t>
      </w:r>
      <w:r w:rsidR="00FA78EC">
        <w:t xml:space="preserve">that two individuals </w:t>
      </w:r>
      <w:r w:rsidR="002D4BCC">
        <w:t xml:space="preserve">with the same background </w:t>
      </w:r>
      <w:r w:rsidR="00FA78EC">
        <w:t xml:space="preserve">that share an identical home range with </w:t>
      </w:r>
      <w:r w:rsidR="00E9390B">
        <w:t xml:space="preserve">a radius of 0.02 interact on average </w:t>
      </w:r>
      <w:r w:rsidR="00D77717">
        <w:t>on</w:t>
      </w:r>
      <w:r w:rsidR="002D4BCC">
        <w:t>e time per</w:t>
      </w:r>
      <w:r w:rsidR="00D77717">
        <w:t xml:space="preserve"> each </w:t>
      </w:r>
      <w:r w:rsidR="00E9390B">
        <w:t>day</w:t>
      </w:r>
      <w:commentRangeEnd w:id="5"/>
      <w:r w:rsidR="003218A4">
        <w:rPr>
          <w:rStyle w:val="CommentReference"/>
        </w:rPr>
        <w:commentReference w:id="5"/>
      </w:r>
      <w:r w:rsidR="00E9390B">
        <w:t>. Thus, the</w:t>
      </w:r>
      <w:r w:rsidR="00A62C44">
        <w:t xml:space="preserve"> daily</w:t>
      </w:r>
      <w:r w:rsidR="00E9390B">
        <w:t xml:space="preserve"> </w:t>
      </w:r>
      <w:r w:rsidR="00AC7160">
        <w:t>rate</w:t>
      </w:r>
      <w:r w:rsidR="00E9390B">
        <w:t xml:space="preserve"> of interaction</w:t>
      </w:r>
      <w:r w:rsidR="00D77717">
        <w:t xml:space="preserve"> </w:t>
      </w:r>
      <w:r w:rsidR="00E9390B">
        <w:t>between individuals</w:t>
      </w:r>
      <w:r w:rsidR="00E9390B" w:rsidRPr="00E9390B">
        <w:rPr>
          <w:i/>
        </w:rPr>
        <w:t xml:space="preserve"> </w:t>
      </w:r>
      <w:proofErr w:type="spellStart"/>
      <w:r w:rsidR="00E9390B" w:rsidRPr="00E9390B">
        <w:rPr>
          <w:i/>
        </w:rPr>
        <w:t>i</w:t>
      </w:r>
      <w:proofErr w:type="spellEnd"/>
      <w:r w:rsidR="00E9390B">
        <w:t xml:space="preserve"> and </w:t>
      </w:r>
      <w:r w:rsidR="00E9390B" w:rsidRPr="00E9390B">
        <w:rPr>
          <w:i/>
        </w:rPr>
        <w:t>j</w:t>
      </w:r>
      <w:r w:rsidR="00E9390B">
        <w:t xml:space="preserve"> is </w:t>
      </w:r>
    </w:p>
    <w:p w14:paraId="3E138C34" w14:textId="64A21F98" w:rsidR="00FA78EC" w:rsidRDefault="00FA78E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05"/>
      </w:tblGrid>
      <w:tr w:rsidR="00AC7160" w14:paraId="7ED1DE81" w14:textId="77777777" w:rsidTr="00440D9D">
        <w:trPr>
          <w:trHeight w:val="550"/>
        </w:trPr>
        <w:tc>
          <w:tcPr>
            <w:tcW w:w="8505" w:type="dxa"/>
            <w:vAlign w:val="center"/>
          </w:tcPr>
          <w:p w14:paraId="3D62E7A0" w14:textId="753F75EA" w:rsidR="00AC7160" w:rsidRPr="00DE5854" w:rsidRDefault="001C568B" w:rsidP="001C568B">
            <w:pPr>
              <w:spacing w:line="480" w:lineRule="auto"/>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sSup>
                  <m:sSupPr>
                    <m:ctrlPr>
                      <w:rPr>
                        <w:rFonts w:ascii="Cambria Math" w:hAnsi="Cambria Math"/>
                        <w:i/>
                      </w:rPr>
                    </m:ctrlPr>
                  </m:sSupPr>
                  <m:e>
                    <m:r>
                      <w:rPr>
                        <w:rFonts w:ascii="Cambria Math" w:hAnsi="Cambria Math"/>
                      </w:rPr>
                      <m:t>0.</m:t>
                    </m:r>
                    <m:r>
                      <w:rPr>
                        <w:rFonts w:ascii="Cambria Math" w:hAnsi="Cambria Math"/>
                      </w:rPr>
                      <m:t>0</m:t>
                    </m:r>
                    <m:r>
                      <w:rPr>
                        <w:rFonts w:ascii="Cambria Math" w:hAnsi="Cambria Math"/>
                      </w:rPr>
                      <m:t>2</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ij</m:t>
                        </m:r>
                      </m:sub>
                    </m:sSub>
                  </m:num>
                  <m:den>
                    <m:r>
                      <w:rPr>
                        <w:rFonts w:ascii="Cambria Math" w:hAnsi="Cambria Math"/>
                      </w:rPr>
                      <m:t>π</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den>
                </m:f>
                <m:sSub>
                  <m:sSubPr>
                    <m:ctrlPr>
                      <w:rPr>
                        <w:rFonts w:ascii="Cambria Math" w:hAnsi="Cambria Math"/>
                        <w:i/>
                      </w:rPr>
                    </m:ctrlPr>
                  </m:sSubPr>
                  <m:e>
                    <m:r>
                      <w:rPr>
                        <w:rFonts w:ascii="Cambria Math" w:hAnsi="Cambria Math"/>
                      </w:rPr>
                      <m:t>g</m:t>
                    </m:r>
                  </m:e>
                  <m:sub>
                    <m:r>
                      <w:rPr>
                        <w:rFonts w:ascii="Cambria Math" w:hAnsi="Cambria Math"/>
                      </w:rPr>
                      <m:t>ij</m:t>
                    </m:r>
                  </m:sub>
                </m:sSub>
                <m:r>
                  <w:rPr>
                    <w:rFonts w:ascii="Cambria Math" w:hAnsi="Cambria Math"/>
                  </w:rPr>
                  <m:t xml:space="preserve"> .</m:t>
                </m:r>
              </m:oMath>
            </m:oMathPara>
          </w:p>
        </w:tc>
        <w:tc>
          <w:tcPr>
            <w:tcW w:w="505" w:type="dxa"/>
            <w:vAlign w:val="center"/>
          </w:tcPr>
          <w:p w14:paraId="165CBD2B" w14:textId="473CA23F" w:rsidR="00AC7160" w:rsidRDefault="00AC7160" w:rsidP="001C568B">
            <w:pPr>
              <w:jc w:val="right"/>
            </w:pPr>
            <w:r>
              <w:t>(</w:t>
            </w:r>
            <w:r w:rsidR="00D77717">
              <w:t>8</w:t>
            </w:r>
            <w:r>
              <w:t>)</w:t>
            </w:r>
          </w:p>
        </w:tc>
      </w:tr>
    </w:tbl>
    <w:p w14:paraId="3AA2ED46" w14:textId="64FE0818" w:rsidR="00E9390B" w:rsidRPr="00440D9D" w:rsidRDefault="00A62C44">
      <w:pPr>
        <w:rPr>
          <w:color w:val="000000" w:themeColor="text1"/>
        </w:rPr>
      </w:pPr>
      <w:r w:rsidRPr="00440D9D">
        <w:rPr>
          <w:color w:val="000000" w:themeColor="text1"/>
        </w:rPr>
        <w:t xml:space="preserve">We assume that only individuals without symptoms interact in their home ranges. </w:t>
      </w:r>
      <w:r w:rsidR="00440D9D" w:rsidRPr="00440D9D">
        <w:rPr>
          <w:color w:val="000000" w:themeColor="text1"/>
        </w:rPr>
        <w:t>Th</w:t>
      </w:r>
      <w:r w:rsidR="001C7225">
        <w:rPr>
          <w:color w:val="000000" w:themeColor="text1"/>
        </w:rPr>
        <w:t>us, the</w:t>
      </w:r>
      <w:r w:rsidR="00440D9D" w:rsidRPr="00440D9D">
        <w:rPr>
          <w:color w:val="000000" w:themeColor="text1"/>
        </w:rPr>
        <w:t xml:space="preserve"> rate at which individual </w:t>
      </w:r>
      <w:proofErr w:type="spellStart"/>
      <w:r w:rsidR="00440D9D" w:rsidRPr="00440D9D">
        <w:rPr>
          <w:i/>
          <w:color w:val="000000" w:themeColor="text1"/>
        </w:rPr>
        <w:t>i</w:t>
      </w:r>
      <w:proofErr w:type="spellEnd"/>
      <w:r w:rsidR="00440D9D" w:rsidRPr="00440D9D">
        <w:rPr>
          <w:color w:val="000000" w:themeColor="text1"/>
        </w:rPr>
        <w:t xml:space="preserve"> interacts with infected individuals in its home range on day </w:t>
      </w:r>
      <w:r w:rsidR="00440D9D" w:rsidRPr="00440D9D">
        <w:rPr>
          <w:i/>
          <w:color w:val="000000" w:themeColor="text1"/>
        </w:rPr>
        <w:t>d</w:t>
      </w:r>
      <w:r w:rsidR="00440D9D" w:rsidRPr="00440D9D">
        <w:rPr>
          <w:color w:val="000000" w:themeColor="text1"/>
        </w:rPr>
        <w:t xml:space="preserve"> is </w:t>
      </w:r>
    </w:p>
    <w:p w14:paraId="71AD78C0" w14:textId="26FE4767" w:rsidR="00440D9D" w:rsidRDefault="00440D9D">
      <w:pPr>
        <w:rPr>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05"/>
      </w:tblGrid>
      <w:tr w:rsidR="00440D9D" w14:paraId="4DAD1053" w14:textId="77777777" w:rsidTr="001C568B">
        <w:trPr>
          <w:trHeight w:val="550"/>
        </w:trPr>
        <w:tc>
          <w:tcPr>
            <w:tcW w:w="8505" w:type="dxa"/>
            <w:vAlign w:val="center"/>
          </w:tcPr>
          <w:p w14:paraId="40A3C673" w14:textId="737E6EF7" w:rsidR="00440D9D" w:rsidRPr="00DE5854" w:rsidRDefault="001C568B" w:rsidP="001C568B">
            <w:pPr>
              <w:spacing w:line="480" w:lineRule="auto"/>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id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nor/>
                      </m:rPr>
                      <w:rPr>
                        <w:rFonts w:ascii="Cambria Math" w:hAnsi="Cambria Math"/>
                      </w:rPr>
                      <m:t>I</m:t>
                    </m:r>
                    <m:d>
                      <m:dPr>
                        <m:ctrlPr>
                          <w:rPr>
                            <w:rFonts w:ascii="Cambria Math" w:hAnsi="Cambria Math"/>
                            <w:i/>
                          </w:rPr>
                        </m:ctrlPr>
                      </m:dPr>
                      <m:e>
                        <m:r>
                          <w:rPr>
                            <w:rFonts w:ascii="Cambria Math" w:hAnsi="Cambria Math"/>
                          </w:rPr>
                          <m:t>j,d</m:t>
                        </m:r>
                      </m:e>
                    </m:d>
                    <m:sSub>
                      <m:sSubPr>
                        <m:ctrlPr>
                          <w:rPr>
                            <w:rFonts w:ascii="Cambria Math" w:hAnsi="Cambria Math"/>
                            <w:i/>
                          </w:rPr>
                        </m:ctrlPr>
                      </m:sSubPr>
                      <m:e>
                        <m:r>
                          <w:rPr>
                            <w:rFonts w:ascii="Cambria Math" w:hAnsi="Cambria Math"/>
                          </w:rPr>
                          <m:t>f</m:t>
                        </m:r>
                      </m:e>
                      <m:sub>
                        <m:r>
                          <w:rPr>
                            <w:rFonts w:ascii="Cambria Math" w:hAnsi="Cambria Math"/>
                          </w:rPr>
                          <m:t>ij</m:t>
                        </m:r>
                      </m:sub>
                    </m:sSub>
                  </m:e>
                </m:nary>
                <m:r>
                  <w:rPr>
                    <w:rFonts w:ascii="Cambria Math" w:hAnsi="Cambria Math"/>
                  </w:rPr>
                  <m:t xml:space="preserve"> ,</m:t>
                </m:r>
              </m:oMath>
            </m:oMathPara>
          </w:p>
        </w:tc>
        <w:tc>
          <w:tcPr>
            <w:tcW w:w="505" w:type="dxa"/>
            <w:vAlign w:val="center"/>
          </w:tcPr>
          <w:p w14:paraId="6600F467" w14:textId="530BA2E2" w:rsidR="00440D9D" w:rsidRDefault="00440D9D" w:rsidP="001C568B">
            <w:pPr>
              <w:jc w:val="right"/>
            </w:pPr>
            <w:r>
              <w:t>(</w:t>
            </w:r>
            <w:r w:rsidR="001C7225">
              <w:t>9</w:t>
            </w:r>
            <w:r>
              <w:t>)</w:t>
            </w:r>
          </w:p>
        </w:tc>
      </w:tr>
    </w:tbl>
    <w:p w14:paraId="0405F265" w14:textId="3A464C90" w:rsidR="00440D9D" w:rsidRPr="00440D9D" w:rsidRDefault="00440D9D">
      <w:pPr>
        <w:rPr>
          <w:color w:val="000000" w:themeColor="text1"/>
        </w:rPr>
      </w:pPr>
      <w:r>
        <w:rPr>
          <w:color w:val="000000" w:themeColor="text1"/>
        </w:rPr>
        <w:t>where I(</w:t>
      </w:r>
      <w:proofErr w:type="spellStart"/>
      <w:proofErr w:type="gramStart"/>
      <w:r w:rsidRPr="00440D9D">
        <w:rPr>
          <w:i/>
          <w:color w:val="000000" w:themeColor="text1"/>
        </w:rPr>
        <w:t>j</w:t>
      </w:r>
      <w:r>
        <w:rPr>
          <w:i/>
          <w:color w:val="000000" w:themeColor="text1"/>
        </w:rPr>
        <w:t>,d</w:t>
      </w:r>
      <w:proofErr w:type="spellEnd"/>
      <w:proofErr w:type="gramEnd"/>
      <w:r>
        <w:rPr>
          <w:color w:val="000000" w:themeColor="text1"/>
        </w:rPr>
        <w:t>) is an indicator function that returns 1 if individual</w:t>
      </w:r>
      <w:r w:rsidRPr="00440D9D">
        <w:rPr>
          <w:i/>
          <w:color w:val="000000" w:themeColor="text1"/>
        </w:rPr>
        <w:t xml:space="preserve"> j</w:t>
      </w:r>
      <w:r>
        <w:rPr>
          <w:color w:val="000000" w:themeColor="text1"/>
        </w:rPr>
        <w:t xml:space="preserve"> is pre-symptomatic or asymptomatic on day </w:t>
      </w:r>
      <w:r w:rsidRPr="00440D9D">
        <w:rPr>
          <w:i/>
          <w:color w:val="000000" w:themeColor="text1"/>
        </w:rPr>
        <w:t>d</w:t>
      </w:r>
      <w:r>
        <w:rPr>
          <w:color w:val="000000" w:themeColor="text1"/>
        </w:rPr>
        <w:t xml:space="preserve"> and returns 0 otherwise, and the summation runs over all individuals in the model that do not share a </w:t>
      </w:r>
      <w:r w:rsidR="001C7225">
        <w:rPr>
          <w:color w:val="000000" w:themeColor="text1"/>
        </w:rPr>
        <w:t>household with individual</w:t>
      </w:r>
      <w:r w:rsidR="001C7225" w:rsidRPr="001C7225">
        <w:rPr>
          <w:i/>
          <w:color w:val="000000" w:themeColor="text1"/>
        </w:rPr>
        <w:t xml:space="preserve"> </w:t>
      </w:r>
      <w:proofErr w:type="spellStart"/>
      <w:r w:rsidR="001C7225" w:rsidRPr="001C7225">
        <w:rPr>
          <w:i/>
          <w:color w:val="000000" w:themeColor="text1"/>
        </w:rPr>
        <w:t>i</w:t>
      </w:r>
      <w:proofErr w:type="spellEnd"/>
      <w:r w:rsidR="001C7225">
        <w:rPr>
          <w:color w:val="000000" w:themeColor="text1"/>
        </w:rPr>
        <w:t xml:space="preserve">. The probability that susceptible individual </w:t>
      </w:r>
      <w:proofErr w:type="spellStart"/>
      <w:r w:rsidR="001C7225" w:rsidRPr="001C7225">
        <w:rPr>
          <w:i/>
          <w:color w:val="000000" w:themeColor="text1"/>
        </w:rPr>
        <w:t>i</w:t>
      </w:r>
      <w:proofErr w:type="spellEnd"/>
      <w:r w:rsidR="001C7225">
        <w:rPr>
          <w:color w:val="000000" w:themeColor="text1"/>
        </w:rPr>
        <w:t xml:space="preserve"> </w:t>
      </w:r>
      <w:r w:rsidR="00D95C83">
        <w:rPr>
          <w:color w:val="000000" w:themeColor="text1"/>
        </w:rPr>
        <w:t>becomes</w:t>
      </w:r>
      <w:r w:rsidR="001C7225">
        <w:rPr>
          <w:color w:val="000000" w:themeColor="text1"/>
        </w:rPr>
        <w:t xml:space="preserve"> infected on day </w:t>
      </w:r>
      <w:r w:rsidR="001C7225" w:rsidRPr="001C7225">
        <w:rPr>
          <w:i/>
          <w:color w:val="000000" w:themeColor="text1"/>
        </w:rPr>
        <w:t>d</w:t>
      </w:r>
      <w:r w:rsidR="001C7225">
        <w:rPr>
          <w:color w:val="000000" w:themeColor="text1"/>
        </w:rPr>
        <w:t xml:space="preserve"> while moving about its home range is thus</w:t>
      </w:r>
    </w:p>
    <w:p w14:paraId="2E7A381E" w14:textId="77777777" w:rsidR="00440D9D" w:rsidRDefault="00440D9D">
      <w:pPr>
        <w:rPr>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18"/>
      </w:tblGrid>
      <w:tr w:rsidR="001C7225" w14:paraId="295C3FE3" w14:textId="77777777" w:rsidTr="001C568B">
        <w:tc>
          <w:tcPr>
            <w:tcW w:w="7792" w:type="dxa"/>
            <w:vAlign w:val="center"/>
          </w:tcPr>
          <w:p w14:paraId="2DDCAD7E" w14:textId="3C4220DB" w:rsidR="001C7225" w:rsidRPr="00DE5854" w:rsidRDefault="001C568B" w:rsidP="001C568B">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idm</m:t>
                    </m:r>
                  </m:sub>
                </m:sSub>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id</m:t>
                        </m:r>
                      </m:sub>
                    </m:sSub>
                    <m:sSub>
                      <m:sSubPr>
                        <m:ctrlPr>
                          <w:rPr>
                            <w:rFonts w:ascii="Cambria Math" w:hAnsi="Cambria Math"/>
                            <w:i/>
                          </w:rPr>
                        </m:ctrlPr>
                      </m:sSubPr>
                      <m:e>
                        <m:r>
                          <w:rPr>
                            <w:rFonts w:ascii="Cambria Math" w:hAnsi="Cambria Math"/>
                          </w:rPr>
                          <m:t>p</m:t>
                        </m:r>
                      </m:e>
                      <m:sub>
                        <m:r>
                          <w:rPr>
                            <w:rFonts w:ascii="Cambria Math" w:hAnsi="Cambria Math"/>
                          </w:rPr>
                          <m:t>a</m:t>
                        </m:r>
                      </m:sub>
                    </m:sSub>
                  </m:sup>
                </m:sSup>
                <m:r>
                  <w:rPr>
                    <w:rFonts w:ascii="Cambria Math" w:hAnsi="Cambria Math"/>
                  </w:rPr>
                  <m:t xml:space="preserve"> .</m:t>
                </m:r>
              </m:oMath>
            </m:oMathPara>
          </w:p>
        </w:tc>
        <w:tc>
          <w:tcPr>
            <w:tcW w:w="1218" w:type="dxa"/>
            <w:vAlign w:val="center"/>
          </w:tcPr>
          <w:p w14:paraId="05F8803C" w14:textId="4CEC47BE" w:rsidR="001C7225" w:rsidRDefault="001C7225" w:rsidP="001C568B">
            <w:pPr>
              <w:jc w:val="right"/>
            </w:pPr>
            <w:r>
              <w:t>(</w:t>
            </w:r>
            <w:r w:rsidR="000502FA">
              <w:t>10</w:t>
            </w:r>
            <w:r>
              <w:t>)</w:t>
            </w:r>
          </w:p>
        </w:tc>
      </w:tr>
    </w:tbl>
    <w:p w14:paraId="1DCA899E" w14:textId="7E0E2B91" w:rsidR="00066048" w:rsidRDefault="00066048">
      <w:pPr>
        <w:rPr>
          <w:color w:val="FF0000"/>
        </w:rPr>
      </w:pPr>
    </w:p>
    <w:p w14:paraId="101E9035" w14:textId="1A5706F8" w:rsidR="00E9390B" w:rsidRDefault="001C7225">
      <w:pPr>
        <w:rPr>
          <w:color w:val="000000" w:themeColor="text1"/>
        </w:rPr>
      </w:pPr>
      <w:commentRangeStart w:id="6"/>
      <w:r w:rsidRPr="001C7225">
        <w:rPr>
          <w:color w:val="000000" w:themeColor="text1"/>
        </w:rPr>
        <w:t xml:space="preserve">In </w:t>
      </w:r>
      <w:r>
        <w:rPr>
          <w:color w:val="000000" w:themeColor="text1"/>
        </w:rPr>
        <w:t xml:space="preserve">our baseline model, we assume that females and individuals under the age of 10 use home ranges with radius 0.02, and that males over the age of 10 use home ranges with radius 0.1. </w:t>
      </w:r>
      <w:commentRangeEnd w:id="6"/>
      <w:r w:rsidR="008B0C1C">
        <w:rPr>
          <w:rStyle w:val="CommentReference"/>
        </w:rPr>
        <w:commentReference w:id="6"/>
      </w:r>
    </w:p>
    <w:p w14:paraId="17B30979" w14:textId="77777777" w:rsidR="00A0724F" w:rsidRPr="001C7225" w:rsidRDefault="00A0724F">
      <w:pPr>
        <w:rPr>
          <w:color w:val="000000" w:themeColor="text1"/>
        </w:rPr>
      </w:pPr>
    </w:p>
    <w:p w14:paraId="04570B3E" w14:textId="77777777" w:rsidR="00A0724F" w:rsidRPr="00611009" w:rsidRDefault="00A0724F" w:rsidP="00A0724F">
      <w:pPr>
        <w:rPr>
          <w:b/>
        </w:rPr>
      </w:pPr>
      <w:r w:rsidRPr="00611009">
        <w:rPr>
          <w:b/>
        </w:rPr>
        <w:t>Baseline and interventions</w:t>
      </w:r>
    </w:p>
    <w:p w14:paraId="29BA0255" w14:textId="0D2DD792" w:rsidR="00E9390B" w:rsidRDefault="00E9390B"/>
    <w:p w14:paraId="1F506056" w14:textId="77777777" w:rsidR="00D10620" w:rsidRDefault="00D10620">
      <w:r>
        <w:lastRenderedPageBreak/>
        <w:t>We modelled four different interventions that might be imposed on the baseline model, alone and in combinations: transmission reduction, lockdown, sectoring, and remove-and-isolate.</w:t>
      </w:r>
    </w:p>
    <w:p w14:paraId="5098B5A4" w14:textId="77777777" w:rsidR="00D10620" w:rsidRDefault="00D10620"/>
    <w:p w14:paraId="6D5F2A0B" w14:textId="3ED9C72D" w:rsidR="00D10620" w:rsidRDefault="00D10620">
      <w:r w:rsidRPr="001E31FB">
        <w:rPr>
          <w:i/>
        </w:rPr>
        <w:t>Transmission reduction</w:t>
      </w:r>
      <w:r>
        <w:t xml:space="preserve">. </w:t>
      </w:r>
      <w:r w:rsidR="000502FA">
        <w:t>Behaviours including wearing facemasks, frequent handwashing, and maintaining a safe distance from others can reduce the risk of COVID-19 transmission</w:t>
      </w:r>
      <w:r w:rsidR="00A7441C">
        <w:t xml:space="preserve"> (refs)</w:t>
      </w:r>
      <w:r w:rsidR="000502FA">
        <w:t>. To simulate transmission reduction interventions, we scale</w:t>
      </w:r>
      <w:r w:rsidR="00A7441C">
        <w:t>d</w:t>
      </w:r>
      <w:r w:rsidR="000502FA">
        <w:t xml:space="preserve"> the per interaction transmission probability </w:t>
      </w:r>
      <w:r w:rsidR="000502FA" w:rsidRPr="000502FA">
        <w:rPr>
          <w:i/>
        </w:rPr>
        <w:t>p</w:t>
      </w:r>
      <w:r w:rsidR="000502FA" w:rsidRPr="000502FA">
        <w:rPr>
          <w:i/>
          <w:vertAlign w:val="subscript"/>
        </w:rPr>
        <w:t>a</w:t>
      </w:r>
      <w:r w:rsidR="000502FA">
        <w:t xml:space="preserve"> in equations (3), (4), and (10) by a factor </w:t>
      </w:r>
      <w:proofErr w:type="spellStart"/>
      <w:r w:rsidR="000502FA" w:rsidRPr="000502FA">
        <w:rPr>
          <w:i/>
        </w:rPr>
        <w:t>v</w:t>
      </w:r>
      <w:r w:rsidR="000502FA" w:rsidRPr="000502FA">
        <w:rPr>
          <w:i/>
          <w:vertAlign w:val="subscript"/>
        </w:rPr>
        <w:t>t</w:t>
      </w:r>
      <w:r w:rsidR="000502FA">
        <w:t>.</w:t>
      </w:r>
      <w:proofErr w:type="spellEnd"/>
      <w:r w:rsidR="000502FA">
        <w:t xml:space="preserve"> In </w:t>
      </w:r>
      <w:proofErr w:type="spellStart"/>
      <w:r w:rsidR="000502FA">
        <w:t>Moria</w:t>
      </w:r>
      <w:proofErr w:type="spellEnd"/>
      <w:r w:rsidR="000502FA">
        <w:t xml:space="preserve">, there is approximately one tap per 42 people, so frequent handwashing </w:t>
      </w:r>
      <w:r w:rsidR="00A7441C">
        <w:t xml:space="preserve">(e.g., greater than 10x per day, as in Jefferson et al. 2009) </w:t>
      </w:r>
      <w:r w:rsidR="000502FA">
        <w:t>may be impossible</w:t>
      </w:r>
      <w:r w:rsidR="00A7441C">
        <w:t xml:space="preserve">. Due to the high population density in </w:t>
      </w:r>
      <w:proofErr w:type="spellStart"/>
      <w:r w:rsidR="00A7441C">
        <w:t>Moria</w:t>
      </w:r>
      <w:proofErr w:type="spellEnd"/>
      <w:r w:rsidR="00A7441C">
        <w:t xml:space="preserve"> (~20,000 people km</w:t>
      </w:r>
      <w:r w:rsidR="00A7441C" w:rsidRPr="00A7441C">
        <w:rPr>
          <w:vertAlign w:val="superscript"/>
        </w:rPr>
        <w:t>-2</w:t>
      </w:r>
      <w:r w:rsidR="00A7441C">
        <w:t xml:space="preserve">), maintaining safe distances among people may also be difficult or impossible. </w:t>
      </w:r>
      <w:r w:rsidR="000502FA">
        <w:t xml:space="preserve">However, people in </w:t>
      </w:r>
      <w:proofErr w:type="spellStart"/>
      <w:r w:rsidR="00A7441C">
        <w:t>Moria</w:t>
      </w:r>
      <w:proofErr w:type="spellEnd"/>
      <w:r w:rsidR="000502FA">
        <w:t xml:space="preserve"> have been provided with facemasks.</w:t>
      </w:r>
      <w:r w:rsidR="00A7441C">
        <w:t xml:space="preserve"> We simulated a population in which all individuals wear facemasks outside their homes by setting </w:t>
      </w:r>
      <w:proofErr w:type="spellStart"/>
      <w:r w:rsidR="00A7441C" w:rsidRPr="00A7441C">
        <w:rPr>
          <w:i/>
        </w:rPr>
        <w:t>v</w:t>
      </w:r>
      <w:r w:rsidR="00A7441C" w:rsidRPr="00A7441C">
        <w:rPr>
          <w:i/>
          <w:vertAlign w:val="subscript"/>
        </w:rPr>
        <w:t>t</w:t>
      </w:r>
      <w:proofErr w:type="spellEnd"/>
      <w:r w:rsidR="00A7441C">
        <w:t> = 0.32 (Jefferson et al. 2009).</w:t>
      </w:r>
    </w:p>
    <w:p w14:paraId="43BAD387" w14:textId="7151B523" w:rsidR="00A7441C" w:rsidRDefault="00A7441C"/>
    <w:p w14:paraId="669EEA69" w14:textId="708726DA" w:rsidR="00A7441C" w:rsidRPr="000B4EE3" w:rsidRDefault="00AE7120">
      <w:r w:rsidRPr="00AE7120">
        <w:rPr>
          <w:i/>
        </w:rPr>
        <w:t>Lockdown</w:t>
      </w:r>
      <w:r>
        <w:t>. Some countries have attempted to limit the spread of COVID-19 by requiring people to stay in or close to their homes (ref).</w:t>
      </w:r>
      <w:r w:rsidR="00F7515C">
        <w:t xml:space="preserve"> This intervention has been called “lockdown.” </w:t>
      </w:r>
      <w:r w:rsidR="000B4EE3">
        <w:t xml:space="preserve">We simulated a lockdown in which most individuals are restricted to a home range with radius </w:t>
      </w:r>
      <w:proofErr w:type="spellStart"/>
      <w:r w:rsidR="000B4EE3" w:rsidRPr="00E261EB">
        <w:rPr>
          <w:i/>
        </w:rPr>
        <w:t>r</w:t>
      </w:r>
      <w:r w:rsidR="000B4EE3" w:rsidRPr="00E261EB">
        <w:rPr>
          <w:i/>
          <w:vertAlign w:val="subscript"/>
        </w:rPr>
        <w:t>l</w:t>
      </w:r>
      <w:proofErr w:type="spellEnd"/>
      <w:r w:rsidR="000B4EE3">
        <w:t xml:space="preserve"> around their households. </w:t>
      </w:r>
      <w:r w:rsidR="00E261EB">
        <w:t xml:space="preserve">We assumed that a proportion </w:t>
      </w:r>
      <w:proofErr w:type="spellStart"/>
      <w:r w:rsidR="00E261EB" w:rsidRPr="00E261EB">
        <w:rPr>
          <w:i/>
        </w:rPr>
        <w:t>w</w:t>
      </w:r>
      <w:r w:rsidR="00E261EB" w:rsidRPr="00E261EB">
        <w:rPr>
          <w:i/>
          <w:vertAlign w:val="subscript"/>
        </w:rPr>
        <w:t>l</w:t>
      </w:r>
      <w:proofErr w:type="spellEnd"/>
      <w:r w:rsidR="00E261EB">
        <w:t xml:space="preserve"> of the population w</w:t>
      </w:r>
      <w:r w:rsidR="000B4EE3">
        <w:t>ill</w:t>
      </w:r>
      <w:r w:rsidR="00E261EB">
        <w:t xml:space="preserve"> violate the lockdown. Thus, </w:t>
      </w:r>
      <w:r w:rsidR="000B4EE3">
        <w:t xml:space="preserve">for each individual in the population, we set their home range to </w:t>
      </w:r>
      <w:proofErr w:type="spellStart"/>
      <w:r w:rsidR="000B4EE3" w:rsidRPr="00E261EB">
        <w:rPr>
          <w:i/>
        </w:rPr>
        <w:t>r</w:t>
      </w:r>
      <w:r w:rsidR="000B4EE3" w:rsidRPr="00E261EB">
        <w:rPr>
          <w:i/>
          <w:vertAlign w:val="subscript"/>
        </w:rPr>
        <w:t>l</w:t>
      </w:r>
      <w:proofErr w:type="spellEnd"/>
      <w:r w:rsidR="000B4EE3">
        <w:t xml:space="preserve"> with probability (1-</w:t>
      </w:r>
      <w:r w:rsidR="000B4EE3" w:rsidRPr="000B4EE3">
        <w:rPr>
          <w:i/>
        </w:rPr>
        <w:t xml:space="preserve"> </w:t>
      </w:r>
      <w:proofErr w:type="spellStart"/>
      <w:r w:rsidR="000B4EE3" w:rsidRPr="00E261EB">
        <w:rPr>
          <w:i/>
        </w:rPr>
        <w:t>w</w:t>
      </w:r>
      <w:r w:rsidR="000B4EE3" w:rsidRPr="00E261EB">
        <w:rPr>
          <w:i/>
          <w:vertAlign w:val="subscript"/>
        </w:rPr>
        <w:t>l</w:t>
      </w:r>
      <w:proofErr w:type="spellEnd"/>
      <w:r w:rsidR="000B4EE3">
        <w:t xml:space="preserve">), and to 0.1 otherwise. By manipulating </w:t>
      </w:r>
      <w:proofErr w:type="spellStart"/>
      <w:r w:rsidR="000B4EE3" w:rsidRPr="00E261EB">
        <w:rPr>
          <w:i/>
        </w:rPr>
        <w:t>r</w:t>
      </w:r>
      <w:r w:rsidR="000B4EE3" w:rsidRPr="00E261EB">
        <w:rPr>
          <w:i/>
          <w:vertAlign w:val="subscript"/>
        </w:rPr>
        <w:t>l</w:t>
      </w:r>
      <w:proofErr w:type="spellEnd"/>
      <w:r w:rsidR="000B4EE3">
        <w:t xml:space="preserve"> and </w:t>
      </w:r>
      <w:proofErr w:type="spellStart"/>
      <w:r w:rsidR="000B4EE3" w:rsidRPr="00E261EB">
        <w:rPr>
          <w:i/>
        </w:rPr>
        <w:t>w</w:t>
      </w:r>
      <w:r w:rsidR="000B4EE3" w:rsidRPr="00E261EB">
        <w:rPr>
          <w:i/>
          <w:vertAlign w:val="subscript"/>
        </w:rPr>
        <w:t>l</w:t>
      </w:r>
      <w:proofErr w:type="spellEnd"/>
      <w:r w:rsidR="000B4EE3">
        <w:t xml:space="preserve"> we simulated lockdowns that are more or less restrictive and/or strictly enforced.</w:t>
      </w:r>
    </w:p>
    <w:p w14:paraId="52EAF32D" w14:textId="1A7FDBBE" w:rsidR="00E06719" w:rsidRDefault="00E06719"/>
    <w:p w14:paraId="361DD786" w14:textId="7A70D1A9" w:rsidR="00E06719" w:rsidRDefault="00614D35">
      <w:r w:rsidRPr="001C568B">
        <w:rPr>
          <w:i/>
        </w:rPr>
        <w:t>Sectoring</w:t>
      </w:r>
      <w:r>
        <w:t xml:space="preserve">. </w:t>
      </w:r>
      <w:r w:rsidR="001C568B">
        <w:t>The camp in our baseline model has a single food line, where transmission can potentially occur between two individuals from any parts of the camp. This facilitates the rapid spread of COVID-19 infection. A plausible intervention would be to divide the camp into sectors with separate food lines, and require individuals to use the food line closest to their ho</w:t>
      </w:r>
      <w:r w:rsidR="00E86736">
        <w:t>useholds</w:t>
      </w:r>
      <w:r w:rsidR="001C568B">
        <w:t xml:space="preserve">. To simulate this sectoring intervention, we divide the camp into an </w:t>
      </w:r>
      <w:r w:rsidR="001C568B" w:rsidRPr="001C568B">
        <w:rPr>
          <w:i/>
        </w:rPr>
        <w:t>n</w:t>
      </w:r>
      <w:r w:rsidR="001C568B">
        <w:t xml:space="preserve"> x </w:t>
      </w:r>
      <w:r w:rsidR="001C568B" w:rsidRPr="001C568B">
        <w:rPr>
          <w:i/>
        </w:rPr>
        <w:t>n</w:t>
      </w:r>
      <w:r w:rsidR="001C568B">
        <w:t xml:space="preserve"> grid of squares, each with its own food line.</w:t>
      </w:r>
      <w:r w:rsidR="00E86736">
        <w:t xml:space="preserve"> We replace equation (4) with</w:t>
      </w:r>
    </w:p>
    <w:p w14:paraId="0FDF4B14" w14:textId="77777777" w:rsidR="00D10620" w:rsidRDefault="00D1062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18"/>
      </w:tblGrid>
      <w:tr w:rsidR="00E86736" w14:paraId="6F9A41C0" w14:textId="77777777" w:rsidTr="00D3501F">
        <w:tc>
          <w:tcPr>
            <w:tcW w:w="7792" w:type="dxa"/>
            <w:vAlign w:val="center"/>
          </w:tcPr>
          <w:p w14:paraId="3DEF2C89" w14:textId="580713A2" w:rsidR="00E86736" w:rsidRPr="00DE5854" w:rsidRDefault="00E86736" w:rsidP="00D3501F">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idf</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j=0</m:t>
                        </m:r>
                      </m:sub>
                      <m:sup>
                        <m:r>
                          <w:rPr>
                            <w:rFonts w:ascii="Cambria Math" w:hAnsi="Cambria Math"/>
                          </w:rPr>
                          <m:t>2</m:t>
                        </m:r>
                      </m:sup>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j</m:t>
                              </m:r>
                            </m:e>
                          </m:mr>
                        </m:m>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r>
                                          <w:rPr>
                                            <w:rFonts w:ascii="Cambria Math" w:hAnsi="Cambria Math"/>
                                          </w:rPr>
                                          <m:t>yd</m:t>
                                        </m:r>
                                      </m:sub>
                                    </m:sSub>
                                  </m:num>
                                  <m:den>
                                    <m:sSub>
                                      <m:sSubPr>
                                        <m:ctrlPr>
                                          <w:rPr>
                                            <w:rFonts w:ascii="Cambria Math" w:hAnsi="Cambria Math"/>
                                            <w:i/>
                                          </w:rPr>
                                        </m:ctrlPr>
                                      </m:sSubPr>
                                      <m:e>
                                        <m:r>
                                          <w:rPr>
                                            <w:rFonts w:ascii="Cambria Math" w:hAnsi="Cambria Math"/>
                                          </w:rPr>
                                          <m:t>n</m:t>
                                        </m:r>
                                      </m:e>
                                      <m:sub>
                                        <m:r>
                                          <w:rPr>
                                            <w:rFonts w:ascii="Cambria Math" w:hAnsi="Cambria Math"/>
                                          </w:rPr>
                                          <m:t>i</m:t>
                                        </m:r>
                                        <m:r>
                                          <w:rPr>
                                            <w:rFonts w:ascii="Cambria Math" w:hAnsi="Cambria Math"/>
                                          </w:rPr>
                                          <m:t>zd</m:t>
                                        </m:r>
                                      </m:sub>
                                    </m:sSub>
                                  </m:den>
                                </m:f>
                              </m:e>
                            </m:d>
                          </m:e>
                          <m:sup>
                            <m:r>
                              <w:rPr>
                                <w:rFonts w:ascii="Cambria Math" w:hAnsi="Cambria Math"/>
                              </w:rPr>
                              <m:t>2-j</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r>
                                          <w:rPr>
                                            <w:rFonts w:ascii="Cambria Math" w:hAnsi="Cambria Math"/>
                                          </w:rPr>
                                          <m:t>yd</m:t>
                                        </m:r>
                                      </m:sub>
                                    </m:sSub>
                                  </m:num>
                                  <m:den>
                                    <m:sSub>
                                      <m:sSubPr>
                                        <m:ctrlPr>
                                          <w:rPr>
                                            <w:rFonts w:ascii="Cambria Math" w:hAnsi="Cambria Math"/>
                                            <w:i/>
                                          </w:rPr>
                                        </m:ctrlPr>
                                      </m:sSubPr>
                                      <m:e>
                                        <m:r>
                                          <w:rPr>
                                            <w:rFonts w:ascii="Cambria Math" w:hAnsi="Cambria Math"/>
                                          </w:rPr>
                                          <m:t>n</m:t>
                                        </m:r>
                                      </m:e>
                                      <m:sub>
                                        <m:r>
                                          <w:rPr>
                                            <w:rFonts w:ascii="Cambria Math" w:hAnsi="Cambria Math"/>
                                          </w:rPr>
                                          <m:t>i</m:t>
                                        </m:r>
                                        <m:r>
                                          <w:rPr>
                                            <w:rFonts w:ascii="Cambria Math" w:hAnsi="Cambria Math"/>
                                          </w:rPr>
                                          <m:t>zd</m:t>
                                        </m:r>
                                      </m:sub>
                                    </m:sSub>
                                  </m:den>
                                </m:f>
                              </m:e>
                            </m:d>
                          </m:e>
                          <m:sup>
                            <m:r>
                              <w:rPr>
                                <w:rFonts w:ascii="Cambria Math" w:hAnsi="Cambria Math"/>
                              </w:rPr>
                              <m:t>j</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a</m:t>
                                    </m:r>
                                  </m:sub>
                                </m:sSub>
                              </m:e>
                            </m:d>
                          </m:e>
                          <m:sup>
                            <m:r>
                              <w:rPr>
                                <w:rFonts w:ascii="Cambria Math" w:hAnsi="Cambria Math"/>
                              </w:rPr>
                              <m:t>j</m:t>
                            </m:r>
                          </m:sup>
                        </m:sSup>
                      </m:e>
                    </m:nary>
                  </m:e>
                </m:d>
                <m:r>
                  <w:rPr>
                    <w:rFonts w:ascii="Cambria Math" w:hAnsi="Cambria Math"/>
                  </w:rPr>
                  <m:t xml:space="preserve"> </m:t>
                </m:r>
                <m:r>
                  <w:rPr>
                    <w:rFonts w:ascii="Cambria Math" w:eastAsiaTheme="minorEastAsia" w:hAnsi="Cambria Math"/>
                  </w:rPr>
                  <m:t>,</m:t>
                </m:r>
              </m:oMath>
            </m:oMathPara>
          </w:p>
        </w:tc>
        <w:tc>
          <w:tcPr>
            <w:tcW w:w="1218" w:type="dxa"/>
            <w:vAlign w:val="center"/>
          </w:tcPr>
          <w:p w14:paraId="1B8C475B" w14:textId="26ABA025" w:rsidR="00E86736" w:rsidRDefault="00E86736" w:rsidP="00D3501F">
            <w:pPr>
              <w:jc w:val="right"/>
            </w:pPr>
            <w:r>
              <w:t>(</w:t>
            </w:r>
            <w:r>
              <w:t>11</w:t>
            </w:r>
            <w:r>
              <w:t>)</w:t>
            </w:r>
          </w:p>
        </w:tc>
      </w:tr>
    </w:tbl>
    <w:p w14:paraId="0B80C61C" w14:textId="77777777" w:rsidR="00D10620" w:rsidRDefault="00D10620"/>
    <w:p w14:paraId="01545C4F" w14:textId="77162514" w:rsidR="00E86736" w:rsidRDefault="00D10620" w:rsidP="00E86736">
      <w:r>
        <w:t xml:space="preserve"> </w:t>
      </w:r>
      <w:r w:rsidR="00E86736">
        <w:t xml:space="preserve">where </w:t>
      </w:r>
      <w:proofErr w:type="spellStart"/>
      <w:r w:rsidR="00E86736" w:rsidRPr="00CA3034">
        <w:rPr>
          <w:i/>
        </w:rPr>
        <w:t>n</w:t>
      </w:r>
      <w:r w:rsidR="00E86736">
        <w:rPr>
          <w:i/>
          <w:vertAlign w:val="subscript"/>
        </w:rPr>
        <w:t>iy</w:t>
      </w:r>
      <w:r w:rsidR="00E86736" w:rsidRPr="00CA3034">
        <w:rPr>
          <w:i/>
          <w:vertAlign w:val="subscript"/>
        </w:rPr>
        <w:t>d</w:t>
      </w:r>
      <w:proofErr w:type="spellEnd"/>
      <w:r w:rsidR="00E86736">
        <w:t xml:space="preserve"> is the number of infectious individuals without symptoms (i.e., pre-symptomatic and asymptomatic) </w:t>
      </w:r>
      <w:r w:rsidR="00E86736">
        <w:t xml:space="preserve">served by the same food line as individual </w:t>
      </w:r>
      <w:proofErr w:type="spellStart"/>
      <w:r w:rsidR="00E86736" w:rsidRPr="00E86736">
        <w:rPr>
          <w:i/>
        </w:rPr>
        <w:t>i</w:t>
      </w:r>
      <w:proofErr w:type="spellEnd"/>
      <w:r w:rsidR="00E86736" w:rsidRPr="00E86736">
        <w:rPr>
          <w:i/>
        </w:rPr>
        <w:t xml:space="preserve"> </w:t>
      </w:r>
      <w:r w:rsidR="00E86736">
        <w:t xml:space="preserve">on day </w:t>
      </w:r>
      <w:r w:rsidR="00E86736" w:rsidRPr="00CA3034">
        <w:rPr>
          <w:i/>
        </w:rPr>
        <w:t>d</w:t>
      </w:r>
      <w:r w:rsidR="00E86736">
        <w:t xml:space="preserve">, and </w:t>
      </w:r>
      <w:proofErr w:type="spellStart"/>
      <w:r w:rsidR="00E86736" w:rsidRPr="00CA3034">
        <w:rPr>
          <w:i/>
        </w:rPr>
        <w:t>n</w:t>
      </w:r>
      <w:r w:rsidR="00E86736">
        <w:rPr>
          <w:i/>
          <w:vertAlign w:val="subscript"/>
        </w:rPr>
        <w:t>iz</w:t>
      </w:r>
      <w:r w:rsidR="00E86736" w:rsidRPr="00CA3034">
        <w:rPr>
          <w:i/>
          <w:vertAlign w:val="subscript"/>
        </w:rPr>
        <w:t>d</w:t>
      </w:r>
      <w:proofErr w:type="spellEnd"/>
      <w:r w:rsidR="00E86736">
        <w:t xml:space="preserve"> is the total number of individuals without symptoms served by the same food line as individual </w:t>
      </w:r>
      <w:proofErr w:type="spellStart"/>
      <w:r w:rsidR="00E86736" w:rsidRPr="00E86736">
        <w:rPr>
          <w:i/>
        </w:rPr>
        <w:t>i</w:t>
      </w:r>
      <w:proofErr w:type="spellEnd"/>
      <w:r w:rsidR="00E86736" w:rsidRPr="00E86736">
        <w:rPr>
          <w:i/>
        </w:rPr>
        <w:t xml:space="preserve"> </w:t>
      </w:r>
      <w:r w:rsidR="00E86736">
        <w:t xml:space="preserve">on day </w:t>
      </w:r>
      <w:r w:rsidR="00E86736" w:rsidRPr="00CA3034">
        <w:rPr>
          <w:i/>
        </w:rPr>
        <w:t>d</w:t>
      </w:r>
      <w:r w:rsidR="00E86736">
        <w:t>.</w:t>
      </w:r>
    </w:p>
    <w:p w14:paraId="32B3BFC6" w14:textId="044FFBF0" w:rsidR="00A0724F" w:rsidRDefault="00A0724F"/>
    <w:p w14:paraId="51231CD3" w14:textId="5987A30C" w:rsidR="00D10620" w:rsidRDefault="00E86736">
      <w:r w:rsidRPr="00E86736">
        <w:rPr>
          <w:i/>
        </w:rPr>
        <w:t>Remove-and-isolate</w:t>
      </w:r>
      <w:r w:rsidRPr="00E86736">
        <w:t xml:space="preserve">. Managers of some populations, including </w:t>
      </w:r>
      <w:proofErr w:type="spellStart"/>
      <w:r w:rsidRPr="00E86736">
        <w:t>Moria</w:t>
      </w:r>
      <w:proofErr w:type="spellEnd"/>
      <w:r w:rsidRPr="00E86736">
        <w:t>, have planned interventions in which people with COVID-19 infections and their households will be removed from populations and kept in isolation until the infected people have recovered.</w:t>
      </w:r>
      <w:r>
        <w:t xml:space="preserve"> To simulate such remove-and-isolate interventions, </w:t>
      </w:r>
      <w:r w:rsidR="00252C74">
        <w:t xml:space="preserve">we conduct simulations in which in each individual with symptoms (i.e., symptomatic, mild case, or severe case) is detected with probability </w:t>
      </w:r>
      <w:r w:rsidR="00252C74" w:rsidRPr="00252C74">
        <w:rPr>
          <w:i/>
        </w:rPr>
        <w:t>b</w:t>
      </w:r>
      <w:r w:rsidR="00252C74">
        <w:t xml:space="preserve"> on each day. If an individual with symptoms is detected, that individual and its household are removed from the camp. Individuals removed from the camp can infect or become infected by others in their household following equation (2), but cannot infect or </w:t>
      </w:r>
      <w:r w:rsidR="00252C74">
        <w:lastRenderedPageBreak/>
        <w:t>become infected by individuals in other households by any transmission route. We assume that individuals are returned to the camp 7 days after they have recovered, or if they do not become infected, 7 days after the last infected person in their household has recovered.</w:t>
      </w:r>
      <w:r w:rsidR="00B52551">
        <w:t xml:space="preserve"> By setting different values of </w:t>
      </w:r>
      <w:r w:rsidR="00B52551" w:rsidRPr="00B52551">
        <w:rPr>
          <w:i/>
        </w:rPr>
        <w:t>b</w:t>
      </w:r>
      <w:r w:rsidR="00B52551">
        <w:t>, we can simulate remove-and-isolate interventions with different detection efficiencies.</w:t>
      </w:r>
    </w:p>
    <w:p w14:paraId="423AB769" w14:textId="77777777" w:rsidR="00E86736" w:rsidRDefault="00E86736"/>
    <w:p w14:paraId="51D09073" w14:textId="4434EFD8" w:rsidR="00E9390B" w:rsidRPr="00611009" w:rsidRDefault="00D95C83">
      <w:pPr>
        <w:rPr>
          <w:b/>
        </w:rPr>
      </w:pPr>
      <w:r w:rsidRPr="00611009">
        <w:rPr>
          <w:b/>
        </w:rPr>
        <w:t>Simulations</w:t>
      </w:r>
    </w:p>
    <w:p w14:paraId="145AE366" w14:textId="49F3CED9" w:rsidR="00E9390B" w:rsidRDefault="00E9390B"/>
    <w:p w14:paraId="29532F21" w14:textId="065E009D" w:rsidR="00611009" w:rsidRDefault="00611009">
      <w:r>
        <w:t>In each simulation, we initialised the model population and camp structure as described above, and we randomly selected one individual to enter the exposed state. We simulated the epidemic by iterating days, and we tracked the disease state of each individual over time. We ran each simulation until all individuals in the population were either susceptible or recovered, at which point the epidemic had ended. We recorded the maximum number of infected individuals, the time to peak infection, and the proportion of the population that became infected in each simulation.</w:t>
      </w:r>
      <w:r w:rsidR="000B555A">
        <w:t xml:space="preserve"> When remove-and-isolate simulations were in place, we also recorded the peak number of individuals in isolation, to help assess the plausibility of the intervention.</w:t>
      </w:r>
      <w:bookmarkStart w:id="7" w:name="_GoBack"/>
      <w:bookmarkEnd w:id="7"/>
    </w:p>
    <w:p w14:paraId="19B67DAA" w14:textId="77777777" w:rsidR="00F31932" w:rsidRDefault="00F31932"/>
    <w:p w14:paraId="554ABD8C" w14:textId="2F56971A" w:rsidR="00995AF9" w:rsidRDefault="00995AF9"/>
    <w:p w14:paraId="27EF81DC" w14:textId="3F8088FB" w:rsidR="00995AF9" w:rsidRDefault="00995AF9"/>
    <w:p w14:paraId="4113E325" w14:textId="32FDD3BD" w:rsidR="00865669" w:rsidRDefault="00865669"/>
    <w:p w14:paraId="4EB0D692" w14:textId="712481DE" w:rsidR="00865669" w:rsidRDefault="00865669"/>
    <w:p w14:paraId="209711E5" w14:textId="5E963590" w:rsidR="00865669" w:rsidRDefault="00865669"/>
    <w:p w14:paraId="4391B811" w14:textId="484F4D73" w:rsidR="00865669" w:rsidRDefault="00865669">
      <w:r>
        <w:br w:type="page"/>
      </w:r>
    </w:p>
    <w:p w14:paraId="255B167C" w14:textId="1570B836" w:rsidR="00865669" w:rsidRDefault="00865669">
      <w:r>
        <w:lastRenderedPageBreak/>
        <w:t xml:space="preserve">Figure #. </w:t>
      </w:r>
      <w:r w:rsidR="00E50102">
        <w:t>Disease progression.</w:t>
      </w:r>
    </w:p>
    <w:p w14:paraId="2057BE98" w14:textId="613791ED" w:rsidR="00E50102" w:rsidRDefault="00E50102"/>
    <w:p w14:paraId="2BE62098" w14:textId="19CCCD92" w:rsidR="00E50102" w:rsidRDefault="00D77717">
      <w:r>
        <w:rPr>
          <w:noProof/>
        </w:rPr>
        <w:drawing>
          <wp:inline distT="0" distB="0" distL="0" distR="0" wp14:anchorId="60F72B8F" wp14:editId="683C3B7D">
            <wp:extent cx="6621517"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ease progression figure.pdf"/>
                    <pic:cNvPicPr/>
                  </pic:nvPicPr>
                  <pic:blipFill rotWithShape="1">
                    <a:blip r:embed="rId7">
                      <a:extLst>
                        <a:ext uri="{28A0092B-C50C-407E-A947-70E740481C1C}">
                          <a14:useLocalDpi xmlns:a14="http://schemas.microsoft.com/office/drawing/2010/main" val="0"/>
                        </a:ext>
                      </a:extLst>
                    </a:blip>
                    <a:srcRect l="2882" t="22467" r="3992" b="8947"/>
                    <a:stretch/>
                  </pic:blipFill>
                  <pic:spPr bwMode="auto">
                    <a:xfrm>
                      <a:off x="0" y="0"/>
                      <a:ext cx="6629154" cy="2746364"/>
                    </a:xfrm>
                    <a:prstGeom prst="rect">
                      <a:avLst/>
                    </a:prstGeom>
                    <a:ln>
                      <a:noFill/>
                    </a:ln>
                    <a:extLst>
                      <a:ext uri="{53640926-AAD7-44D8-BBD7-CCE9431645EC}">
                        <a14:shadowObscured xmlns:a14="http://schemas.microsoft.com/office/drawing/2010/main"/>
                      </a:ext>
                    </a:extLst>
                  </pic:spPr>
                </pic:pic>
              </a:graphicData>
            </a:graphic>
          </wp:inline>
        </w:drawing>
      </w:r>
    </w:p>
    <w:sectPr w:rsidR="00E50102" w:rsidSect="00051489">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 Tucker Gilman" w:date="2020-04-19T17:20:00Z" w:initials="RTG">
    <w:p w14:paraId="4F8D8B99" w14:textId="3324E4F0" w:rsidR="001C568B" w:rsidRDefault="001C568B">
      <w:pPr>
        <w:pStyle w:val="CommentText"/>
      </w:pPr>
      <w:r>
        <w:rPr>
          <w:rStyle w:val="CommentReference"/>
        </w:rPr>
        <w:annotationRef/>
      </w:r>
      <w:r>
        <w:t>We will need an SI for this.</w:t>
      </w:r>
    </w:p>
  </w:comment>
  <w:comment w:id="1" w:author="R. Tucker Gilman" w:date="2020-04-19T17:45:00Z" w:initials="RTG">
    <w:p w14:paraId="6E13A0F2" w14:textId="60BD632B" w:rsidR="001C568B" w:rsidRDefault="001C568B">
      <w:pPr>
        <w:pStyle w:val="CommentText"/>
      </w:pPr>
      <w:r>
        <w:rPr>
          <w:rStyle w:val="CommentReference"/>
        </w:rPr>
        <w:annotationRef/>
      </w:r>
      <w:r>
        <w:t>We will need a list here.</w:t>
      </w:r>
    </w:p>
  </w:comment>
  <w:comment w:id="2" w:author="R. Tucker Gilman" w:date="2020-04-19T17:55:00Z" w:initials="RTG">
    <w:p w14:paraId="141BF1A9" w14:textId="650D71D7" w:rsidR="001C568B" w:rsidRDefault="001C568B">
      <w:pPr>
        <w:pStyle w:val="CommentText"/>
      </w:pPr>
      <w:r>
        <w:rPr>
          <w:rStyle w:val="CommentReference"/>
        </w:rPr>
        <w:annotationRef/>
      </w:r>
      <w:r>
        <w:t>We will probably need permission to use these!</w:t>
      </w:r>
    </w:p>
  </w:comment>
  <w:comment w:id="3" w:author="R. Tucker Gilman" w:date="2020-04-20T09:04:00Z" w:initials="RTG">
    <w:p w14:paraId="07B5F3C4" w14:textId="5F9FB240" w:rsidR="001C568B" w:rsidRDefault="001C568B">
      <w:pPr>
        <w:pStyle w:val="CommentText"/>
      </w:pPr>
      <w:r>
        <w:rPr>
          <w:rStyle w:val="CommentReference"/>
        </w:rPr>
        <w:annotationRef/>
      </w:r>
      <w:r>
        <w:t>We will probably want a figure here.</w:t>
      </w:r>
    </w:p>
  </w:comment>
  <w:comment w:id="4" w:author="R. Tucker Gilman" w:date="2020-04-20T16:18:00Z" w:initials="RTG">
    <w:p w14:paraId="289E8256" w14:textId="392C33BC" w:rsidR="001C568B" w:rsidRDefault="001C568B">
      <w:pPr>
        <w:pStyle w:val="CommentText"/>
      </w:pPr>
      <w:r>
        <w:rPr>
          <w:rStyle w:val="CommentReference"/>
        </w:rPr>
        <w:annotationRef/>
      </w:r>
      <w:r>
        <w:t>We will probably need a table with parameters, the values we assigned, and the sources.</w:t>
      </w:r>
    </w:p>
  </w:comment>
  <w:comment w:id="5" w:author="R. Tucker Gilman" w:date="2020-04-21T11:37:00Z" w:initials="RTG">
    <w:p w14:paraId="0BED4C7A" w14:textId="22E639AD" w:rsidR="001C568B" w:rsidRDefault="001C568B">
      <w:pPr>
        <w:pStyle w:val="CommentText"/>
      </w:pPr>
      <w:r>
        <w:rPr>
          <w:rStyle w:val="CommentReference"/>
        </w:rPr>
        <w:annotationRef/>
      </w:r>
      <w:r>
        <w:t>We can make a back=-of-the envelope calculation to show that this is reasonable.</w:t>
      </w:r>
    </w:p>
  </w:comment>
  <w:comment w:id="6" w:author="R. Tucker Gilman" w:date="2020-04-20T20:13:00Z" w:initials="RTG">
    <w:p w14:paraId="492E6A6B" w14:textId="052E5B23" w:rsidR="001C568B" w:rsidRDefault="001C568B">
      <w:pPr>
        <w:pStyle w:val="CommentText"/>
      </w:pPr>
      <w:r>
        <w:rPr>
          <w:rStyle w:val="CommentReference"/>
        </w:rPr>
        <w:annotationRef/>
      </w:r>
      <w:r>
        <w:t>Our qualitative results hold for other reasonable assumptions about home ranges. (We will need to say something like this in several places, and show that it is true with supplemental figures.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8D8B99" w15:done="0"/>
  <w15:commentEx w15:paraId="6E13A0F2" w15:done="0"/>
  <w15:commentEx w15:paraId="141BF1A9" w15:done="0"/>
  <w15:commentEx w15:paraId="07B5F3C4" w15:done="0"/>
  <w15:commentEx w15:paraId="289E8256" w15:done="0"/>
  <w15:commentEx w15:paraId="0BED4C7A" w15:done="0"/>
  <w15:commentEx w15:paraId="492E6A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8D8B99" w16cid:durableId="224706CE"/>
  <w16cid:commentId w16cid:paraId="6E13A0F2" w16cid:durableId="22470CCD"/>
  <w16cid:commentId w16cid:paraId="141BF1A9" w16cid:durableId="22470F1E"/>
  <w16cid:commentId w16cid:paraId="07B5F3C4" w16cid:durableId="2247E435"/>
  <w16cid:commentId w16cid:paraId="289E8256" w16cid:durableId="224849E9"/>
  <w16cid:commentId w16cid:paraId="0BED4C7A" w16cid:durableId="22495967"/>
  <w16cid:commentId w16cid:paraId="492E6A6B" w16cid:durableId="224880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 Tucker Gilman">
    <w15:presenceInfo w15:providerId="None" w15:userId="R. Tucker Gil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AF9"/>
    <w:rsid w:val="00031B6F"/>
    <w:rsid w:val="000348D8"/>
    <w:rsid w:val="000502FA"/>
    <w:rsid w:val="00051489"/>
    <w:rsid w:val="00066048"/>
    <w:rsid w:val="000B4EE3"/>
    <w:rsid w:val="000B555A"/>
    <w:rsid w:val="001262AB"/>
    <w:rsid w:val="00150038"/>
    <w:rsid w:val="00163BD6"/>
    <w:rsid w:val="0018771E"/>
    <w:rsid w:val="001A2A2C"/>
    <w:rsid w:val="001C568B"/>
    <w:rsid w:val="001C7225"/>
    <w:rsid w:val="001E31FB"/>
    <w:rsid w:val="001E4882"/>
    <w:rsid w:val="001F330E"/>
    <w:rsid w:val="002078B7"/>
    <w:rsid w:val="00245345"/>
    <w:rsid w:val="00252C74"/>
    <w:rsid w:val="00291611"/>
    <w:rsid w:val="002A05CC"/>
    <w:rsid w:val="002D4BCC"/>
    <w:rsid w:val="00314D4D"/>
    <w:rsid w:val="003218A4"/>
    <w:rsid w:val="00366E2E"/>
    <w:rsid w:val="00440D9D"/>
    <w:rsid w:val="004E36AD"/>
    <w:rsid w:val="00611009"/>
    <w:rsid w:val="00614D35"/>
    <w:rsid w:val="00643433"/>
    <w:rsid w:val="00690A3A"/>
    <w:rsid w:val="006C2283"/>
    <w:rsid w:val="00785206"/>
    <w:rsid w:val="007B7100"/>
    <w:rsid w:val="007C1C9B"/>
    <w:rsid w:val="007C30F3"/>
    <w:rsid w:val="007C4CDB"/>
    <w:rsid w:val="00806F42"/>
    <w:rsid w:val="00841521"/>
    <w:rsid w:val="00850A6A"/>
    <w:rsid w:val="008628F9"/>
    <w:rsid w:val="00864B06"/>
    <w:rsid w:val="00865669"/>
    <w:rsid w:val="00893B91"/>
    <w:rsid w:val="008B0C1C"/>
    <w:rsid w:val="008C5E54"/>
    <w:rsid w:val="008D3AC7"/>
    <w:rsid w:val="00914A60"/>
    <w:rsid w:val="00970C5D"/>
    <w:rsid w:val="00995AF9"/>
    <w:rsid w:val="009C2DD7"/>
    <w:rsid w:val="009C560C"/>
    <w:rsid w:val="009E2C04"/>
    <w:rsid w:val="00A0724F"/>
    <w:rsid w:val="00A102BC"/>
    <w:rsid w:val="00A506D2"/>
    <w:rsid w:val="00A62C44"/>
    <w:rsid w:val="00A7441C"/>
    <w:rsid w:val="00AA04D5"/>
    <w:rsid w:val="00AA4069"/>
    <w:rsid w:val="00AC7160"/>
    <w:rsid w:val="00AE7120"/>
    <w:rsid w:val="00B26B1F"/>
    <w:rsid w:val="00B272BA"/>
    <w:rsid w:val="00B46E5E"/>
    <w:rsid w:val="00B52551"/>
    <w:rsid w:val="00BA20EF"/>
    <w:rsid w:val="00BC6CD2"/>
    <w:rsid w:val="00C123BE"/>
    <w:rsid w:val="00C20F56"/>
    <w:rsid w:val="00CA3034"/>
    <w:rsid w:val="00D10620"/>
    <w:rsid w:val="00D7021E"/>
    <w:rsid w:val="00D77717"/>
    <w:rsid w:val="00D95C83"/>
    <w:rsid w:val="00DB0A10"/>
    <w:rsid w:val="00DE5854"/>
    <w:rsid w:val="00E05A87"/>
    <w:rsid w:val="00E06719"/>
    <w:rsid w:val="00E261EB"/>
    <w:rsid w:val="00E439CF"/>
    <w:rsid w:val="00E50102"/>
    <w:rsid w:val="00E5432C"/>
    <w:rsid w:val="00E8491E"/>
    <w:rsid w:val="00E86736"/>
    <w:rsid w:val="00E9180B"/>
    <w:rsid w:val="00E9390B"/>
    <w:rsid w:val="00EB0CFB"/>
    <w:rsid w:val="00EC3B75"/>
    <w:rsid w:val="00EC4662"/>
    <w:rsid w:val="00EE2E67"/>
    <w:rsid w:val="00F31932"/>
    <w:rsid w:val="00F33154"/>
    <w:rsid w:val="00F7219E"/>
    <w:rsid w:val="00F7515C"/>
    <w:rsid w:val="00FA78EC"/>
    <w:rsid w:val="00FB6CFE"/>
    <w:rsid w:val="00FE69B3"/>
    <w:rsid w:val="00FF2C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25EFFF"/>
  <w14:defaultImageDpi w14:val="32767"/>
  <w15:chartTrackingRefBased/>
  <w15:docId w15:val="{1CEE7214-AF71-4C42-9BF2-B260A226B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5E54"/>
    <w:rPr>
      <w:sz w:val="16"/>
      <w:szCs w:val="16"/>
    </w:rPr>
  </w:style>
  <w:style w:type="paragraph" w:styleId="CommentText">
    <w:name w:val="annotation text"/>
    <w:basedOn w:val="Normal"/>
    <w:link w:val="CommentTextChar"/>
    <w:uiPriority w:val="99"/>
    <w:semiHidden/>
    <w:unhideWhenUsed/>
    <w:rsid w:val="008C5E54"/>
    <w:rPr>
      <w:sz w:val="20"/>
      <w:szCs w:val="20"/>
    </w:rPr>
  </w:style>
  <w:style w:type="character" w:customStyle="1" w:styleId="CommentTextChar">
    <w:name w:val="Comment Text Char"/>
    <w:basedOn w:val="DefaultParagraphFont"/>
    <w:link w:val="CommentText"/>
    <w:uiPriority w:val="99"/>
    <w:semiHidden/>
    <w:rsid w:val="008C5E54"/>
    <w:rPr>
      <w:sz w:val="20"/>
      <w:szCs w:val="20"/>
    </w:rPr>
  </w:style>
  <w:style w:type="paragraph" w:styleId="CommentSubject">
    <w:name w:val="annotation subject"/>
    <w:basedOn w:val="CommentText"/>
    <w:next w:val="CommentText"/>
    <w:link w:val="CommentSubjectChar"/>
    <w:uiPriority w:val="99"/>
    <w:semiHidden/>
    <w:unhideWhenUsed/>
    <w:rsid w:val="008C5E54"/>
    <w:rPr>
      <w:b/>
      <w:bCs/>
    </w:rPr>
  </w:style>
  <w:style w:type="character" w:customStyle="1" w:styleId="CommentSubjectChar">
    <w:name w:val="Comment Subject Char"/>
    <w:basedOn w:val="CommentTextChar"/>
    <w:link w:val="CommentSubject"/>
    <w:uiPriority w:val="99"/>
    <w:semiHidden/>
    <w:rsid w:val="008C5E54"/>
    <w:rPr>
      <w:b/>
      <w:bCs/>
      <w:sz w:val="20"/>
      <w:szCs w:val="20"/>
    </w:rPr>
  </w:style>
  <w:style w:type="paragraph" w:styleId="BalloonText">
    <w:name w:val="Balloon Text"/>
    <w:basedOn w:val="Normal"/>
    <w:link w:val="BalloonTextChar"/>
    <w:uiPriority w:val="99"/>
    <w:semiHidden/>
    <w:unhideWhenUsed/>
    <w:rsid w:val="008C5E5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5E54"/>
    <w:rPr>
      <w:rFonts w:ascii="Times New Roman" w:hAnsi="Times New Roman" w:cs="Times New Roman"/>
      <w:sz w:val="18"/>
      <w:szCs w:val="18"/>
    </w:rPr>
  </w:style>
  <w:style w:type="character" w:styleId="PlaceholderText">
    <w:name w:val="Placeholder Text"/>
    <w:basedOn w:val="DefaultParagraphFont"/>
    <w:uiPriority w:val="99"/>
    <w:semiHidden/>
    <w:rsid w:val="00314D4D"/>
    <w:rPr>
      <w:color w:val="808080"/>
    </w:rPr>
  </w:style>
  <w:style w:type="table" w:styleId="TableGrid">
    <w:name w:val="Table Grid"/>
    <w:basedOn w:val="TableNormal"/>
    <w:uiPriority w:val="39"/>
    <w:rsid w:val="00DE58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emf"/><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7</Pages>
  <Words>2317</Words>
  <Characters>13209</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Tucker Gilman</dc:creator>
  <cp:keywords/>
  <dc:description/>
  <cp:lastModifiedBy>R. Tucker Gilman</cp:lastModifiedBy>
  <cp:revision>31</cp:revision>
  <dcterms:created xsi:type="dcterms:W3CDTF">2020-04-19T15:52:00Z</dcterms:created>
  <dcterms:modified xsi:type="dcterms:W3CDTF">2020-04-21T14:40:00Z</dcterms:modified>
</cp:coreProperties>
</file>