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62098" w14:textId="15B91488" w:rsidR="00E50102" w:rsidRDefault="001B646D">
      <w:pPr>
        <w:rPr>
          <w:b/>
        </w:rPr>
      </w:pPr>
      <w:r w:rsidRPr="001B646D">
        <w:rPr>
          <w:b/>
        </w:rPr>
        <w:t xml:space="preserve">Estimating transmission </w:t>
      </w:r>
      <w:r w:rsidR="00900D64">
        <w:rPr>
          <w:b/>
        </w:rPr>
        <w:t>probabilities</w:t>
      </w:r>
      <w:r w:rsidRPr="001B646D">
        <w:rPr>
          <w:b/>
        </w:rPr>
        <w:t xml:space="preserve"> for the high</w:t>
      </w:r>
      <w:r w:rsidR="00900D64">
        <w:rPr>
          <w:b/>
        </w:rPr>
        <w:t>-</w:t>
      </w:r>
      <w:r w:rsidRPr="001B646D">
        <w:rPr>
          <w:b/>
        </w:rPr>
        <w:t xml:space="preserve"> and low</w:t>
      </w:r>
      <w:r w:rsidR="00900D64">
        <w:rPr>
          <w:b/>
        </w:rPr>
        <w:t>-</w:t>
      </w:r>
      <w:r w:rsidRPr="001B646D">
        <w:rPr>
          <w:b/>
        </w:rPr>
        <w:t>transmission scenarios</w:t>
      </w:r>
    </w:p>
    <w:p w14:paraId="306AAF11" w14:textId="07CAFF03" w:rsidR="001B646D" w:rsidRDefault="001B646D">
      <w:pPr>
        <w:rPr>
          <w:b/>
        </w:rPr>
      </w:pPr>
    </w:p>
    <w:p w14:paraId="11A5D5C8" w14:textId="2FC58076" w:rsidR="001B646D" w:rsidRDefault="001B646D">
      <w:pPr>
        <w:rPr>
          <w:i/>
        </w:rPr>
      </w:pPr>
      <w:r>
        <w:rPr>
          <w:i/>
        </w:rPr>
        <w:t>High transmission scenario</w:t>
      </w:r>
    </w:p>
    <w:p w14:paraId="46DDF5D3" w14:textId="06AF9599" w:rsidR="001B646D" w:rsidRDefault="001B646D"/>
    <w:p w14:paraId="190ACEE0" w14:textId="487F908E" w:rsidR="00050C53" w:rsidRDefault="00050C53">
      <w:r>
        <w:t>For the high-transmission scenario, we estimated the daily transmission probability within households</w:t>
      </w:r>
      <w:r w:rsidR="00C560D4">
        <w:t>,</w:t>
      </w:r>
      <w:r>
        <w:t xml:space="preserve"> </w:t>
      </w:r>
      <w:proofErr w:type="spellStart"/>
      <w:r w:rsidR="00C560D4" w:rsidRPr="00C560D4">
        <w:rPr>
          <w:i/>
        </w:rPr>
        <w:t>p</w:t>
      </w:r>
      <w:r w:rsidR="00C560D4" w:rsidRPr="00C560D4">
        <w:rPr>
          <w:i/>
          <w:vertAlign w:val="subscript"/>
        </w:rPr>
        <w:t>h</w:t>
      </w:r>
      <w:proofErr w:type="spellEnd"/>
      <w:r w:rsidR="00C560D4">
        <w:t xml:space="preserve">, </w:t>
      </w:r>
      <w:r>
        <w:t xml:space="preserve">using data from </w:t>
      </w:r>
      <w:proofErr w:type="spellStart"/>
      <w:r w:rsidR="001E594D">
        <w:t>Danis</w:t>
      </w:r>
      <w:proofErr w:type="spellEnd"/>
      <w:r w:rsidR="001E594D">
        <w:t xml:space="preserve"> </w:t>
      </w:r>
      <w:r w:rsidR="00F35305">
        <w:t>and colleagues</w:t>
      </w:r>
      <w:r w:rsidR="001E594D">
        <w:t xml:space="preserve"> </w:t>
      </w:r>
      <w:r w:rsidR="001E594D">
        <w:fldChar w:fldCharType="begin"/>
      </w:r>
      <w:r w:rsidR="001E594D">
        <w:instrText xml:space="preserve"> ADDIN EN.CITE &lt;EndNote&gt;&lt;Cite&gt;&lt;Author&gt;Danis&lt;/Author&gt;&lt;Year&gt;2020&lt;/Year&gt;&lt;RecNum&gt;3&lt;/RecNum&gt;&lt;DisplayText&gt;[1]&lt;/DisplayText&gt;&lt;record&gt;&lt;rec-number&gt;3&lt;/rec-number&gt;&lt;foreign-keys&gt;&lt;key app="EN" db-id="ddrrrz50rr5zvneesv65wxse229pw5x29v9t" timestamp="1589728275"&gt;3&lt;/key&gt;&lt;/foreign-keys&gt;&lt;ref-type name="Journal Article"&gt;17&lt;/ref-type&gt;&lt;contributors&gt;&lt;authors&gt;&lt;author&gt;Danis, Kostas&lt;/author&gt;&lt;author&gt;Epaulard, Olivier&lt;/author&gt;&lt;author&gt;Bénet, Thomas&lt;/author&gt;&lt;author&gt;Gaymard, Alexandre&lt;/author&gt;&lt;author&gt;Campoy, Séphora&lt;/author&gt;&lt;author&gt;Bothelo-Nevers, Elisabeth&lt;/author&gt;&lt;author&gt;Bouscambert-Duchamp, Maude&lt;/author&gt;&lt;author&gt;Spaccaferri, Guillaume&lt;/author&gt;&lt;author&gt;Ader, Florence&lt;/author&gt;&lt;author&gt;Mailles, Alexandra&lt;/author&gt;&lt;author&gt;Boudalaa, Zoubida&lt;/author&gt;&lt;author&gt;Tolsma, Violaine&lt;/author&gt;&lt;author&gt;Berra, Julien&lt;/author&gt;&lt;author&gt;Vaux, Sophie&lt;/author&gt;&lt;author&gt;Forestier, Emmanuel&lt;/author&gt;&lt;author&gt;Landelle, Caroline&lt;/author&gt;&lt;author&gt;Fougere, Erica&lt;/author&gt;&lt;author&gt;Thabuis, Alexandra&lt;/author&gt;&lt;author&gt;Berthelot, Philippe &lt;/author&gt;&lt;author&gt;Veil, Raphael&lt;/author&gt;&lt;author&gt;Levy-Bruhl, Daniel&lt;/author&gt;&lt;author&gt;Chidiac, Christian&lt;/author&gt;&lt;author&gt;Lina, Bruno, &lt;/author&gt;&lt;author&gt;Coignard, Bruno&lt;/author&gt;&lt;author&gt;Saura, Christine&lt;/author&gt;&lt;author&gt;Investigation Team&lt;/author&gt;&lt;/authors&gt;&lt;/contributors&gt;&lt;titles&gt;&lt;title&gt;Cluster of coronavirus disease 2019 (Covid-19) in the French Alps, 2020&lt;/title&gt;&lt;secondary-title&gt;Clinical Infectious Diseases&lt;/secondary-title&gt;&lt;/titles&gt;&lt;periodical&gt;&lt;full-title&gt;Clinical Infectious Diseases&lt;/full-title&gt;&lt;/periodical&gt;&lt;pages&gt;ciaa424&lt;/pages&gt;&lt;dates&gt;&lt;year&gt;2020&lt;/year&gt;&lt;/dates&gt;&lt;urls&gt;&lt;/urls&gt;&lt;electronic-resource-num&gt;10.1093/cid/ciaa424&lt;/electronic-resource-num&gt;&lt;/record&gt;&lt;/Cite&gt;&lt;/EndNote&gt;</w:instrText>
      </w:r>
      <w:r w:rsidR="001E594D">
        <w:fldChar w:fldCharType="separate"/>
      </w:r>
      <w:r w:rsidR="001E594D">
        <w:rPr>
          <w:noProof/>
        </w:rPr>
        <w:t>[1]</w:t>
      </w:r>
      <w:r w:rsidR="001E594D">
        <w:fldChar w:fldCharType="end"/>
      </w:r>
      <w:r>
        <w:t>.</w:t>
      </w:r>
      <w:r w:rsidR="00C560D4">
        <w:t xml:space="preserve"> </w:t>
      </w:r>
      <w:proofErr w:type="spellStart"/>
      <w:r w:rsidR="00C560D4">
        <w:t>Danis</w:t>
      </w:r>
      <w:proofErr w:type="spellEnd"/>
      <w:r w:rsidR="00C560D4">
        <w:t xml:space="preserve"> and colleagues reported that 8 of 10 people who shared an apartment in a French chalet for four days with one infectious individual subsequently became infected. Thus, we estimated </w:t>
      </w:r>
      <w:proofErr w:type="spellStart"/>
      <w:r w:rsidR="00C560D4" w:rsidRPr="00C560D4">
        <w:rPr>
          <w:i/>
        </w:rPr>
        <w:t>p</w:t>
      </w:r>
      <w:r w:rsidR="00C560D4" w:rsidRPr="00C560D4">
        <w:rPr>
          <w:i/>
          <w:vertAlign w:val="subscript"/>
        </w:rPr>
        <w:t>h</w:t>
      </w:r>
      <w:proofErr w:type="spellEnd"/>
      <w:r w:rsidR="00C560D4">
        <w:t> = 0.33 by solving 1 – (1 – </w:t>
      </w:r>
      <w:proofErr w:type="spellStart"/>
      <w:r w:rsidR="00C560D4" w:rsidRPr="00C560D4">
        <w:rPr>
          <w:i/>
        </w:rPr>
        <w:t>p</w:t>
      </w:r>
      <w:r w:rsidR="00C560D4" w:rsidRPr="00C560D4">
        <w:rPr>
          <w:i/>
          <w:vertAlign w:val="subscript"/>
        </w:rPr>
        <w:t>h</w:t>
      </w:r>
      <w:proofErr w:type="spellEnd"/>
      <w:r w:rsidR="00C560D4">
        <w:t>)</w:t>
      </w:r>
      <w:r w:rsidR="00C560D4" w:rsidRPr="00C560D4">
        <w:rPr>
          <w:vertAlign w:val="superscript"/>
        </w:rPr>
        <w:t>4</w:t>
      </w:r>
      <w:r w:rsidR="00C560D4">
        <w:t> = 8/10.</w:t>
      </w:r>
    </w:p>
    <w:p w14:paraId="0FA4AFBB" w14:textId="00C84B2B" w:rsidR="00C560D4" w:rsidRDefault="00C560D4"/>
    <w:p w14:paraId="1EF84F92" w14:textId="0F790453" w:rsidR="00C560D4" w:rsidRDefault="00C560D4">
      <w:r>
        <w:t xml:space="preserve">We estimated transmission rates per interaction using data from </w:t>
      </w:r>
      <w:r w:rsidR="00663565">
        <w:t xml:space="preserve">Liu </w:t>
      </w:r>
      <w:r w:rsidR="00F35305">
        <w:t>and colleagues</w:t>
      </w:r>
      <w:r w:rsidR="00BE72F3">
        <w:t xml:space="preserve"> </w:t>
      </w:r>
      <w:r w:rsidR="00BE72F3">
        <w:fldChar w:fldCharType="begin"/>
      </w:r>
      <w:r w:rsidR="00BE72F3">
        <w:instrText xml:space="preserve"> ADDIN EN.CITE &lt;EndNote&gt;&lt;Cite&gt;&lt;Author&gt;Liu&lt;/Author&gt;&lt;Year&gt;2020&lt;/Year&gt;&lt;RecNum&gt;10&lt;/RecNum&gt;&lt;DisplayText&gt;[2]&lt;/DisplayText&gt;&lt;record&gt;&lt;rec-number&gt;10&lt;/rec-number&gt;&lt;foreign-keys&gt;&lt;key app="EN" db-id="ddrrrz50rr5zvneesv65wxse229pw5x29v9t" timestamp="1590140564"&gt;10&lt;/key&gt;&lt;/foreign-keys&gt;&lt;ref-type name="Journal Article"&gt;17&lt;/ref-type&gt;&lt;contributors&gt;&lt;authors&gt;&lt;author&gt;Liu, Y.&lt;/author&gt;&lt;author&gt;Eggo, R. M.&lt;/author&gt;&lt;author&gt;Kucharski, A. J.&lt;/author&gt;&lt;/authors&gt;&lt;/contributors&gt;&lt;auth-address&gt;Department of Infectious Disease Epidemiology, London School of Hygiene &amp;amp; Tropical Medicine, London WC1E 7HT, UK.&amp;#xD;Department of Infectious Disease Epidemiology, London School of Hygiene &amp;amp; Tropical Medicine, London WC1E 7HT, UK. Electronic address: adam.kucharski@lshtm.ac.uk.&lt;/auth-address&gt;&lt;titles&gt;&lt;title&gt;Secondary attack rate and superspreading events for SARS-CoV-2&lt;/title&gt;&lt;secondary-title&gt;Lancet&lt;/secondary-title&gt;&lt;/titles&gt;&lt;periodical&gt;&lt;full-title&gt;Lancet&lt;/full-title&gt;&lt;/periodical&gt;&lt;pages&gt;e47&lt;/pages&gt;&lt;volume&gt;395&lt;/volume&gt;&lt;number&gt;10227&lt;/number&gt;&lt;edition&gt;2020/03/03&lt;/edition&gt;&lt;keywords&gt;&lt;keyword&gt;Betacoronavirus/*pathogenicity&lt;/keyword&gt;&lt;keyword&gt;Contact Tracing&lt;/keyword&gt;&lt;keyword&gt;Coronavirus Infections/epidemiology/*transmission&lt;/keyword&gt;&lt;keyword&gt;*Disease Outbreaks&lt;/keyword&gt;&lt;keyword&gt;Family Characteristics&lt;/keyword&gt;&lt;keyword&gt;Humans&lt;/keyword&gt;&lt;keyword&gt;Pneumonia, Viral/epidemiology/*transmission&lt;/keyword&gt;&lt;keyword&gt;*Risk&lt;/keyword&gt;&lt;/keywords&gt;&lt;dates&gt;&lt;year&gt;2020&lt;/year&gt;&lt;pub-dates&gt;&lt;date&gt;Mar 14&lt;/date&gt;&lt;/pub-dates&gt;&lt;/dates&gt;&lt;isbn&gt;1474-547X (Electronic)&amp;#xD;0140-6736 (Linking)&lt;/isbn&gt;&lt;accession-num&gt;32113505&lt;/accession-num&gt;&lt;urls&gt;&lt;related-urls&gt;&lt;url&gt;https://www.ncbi.nlm.nih.gov/pubmed/32113505&lt;/url&gt;&lt;/related-urls&gt;&lt;/urls&gt;&lt;custom2&gt;PMC7158947&lt;/custom2&gt;&lt;electronic-resource-num&gt;10.1016/S0140-6736(20)30462-1&lt;/electronic-resource-num&gt;&lt;/record&gt;&lt;/Cite&gt;&lt;/EndNote&gt;</w:instrText>
      </w:r>
      <w:r w:rsidR="00BE72F3">
        <w:fldChar w:fldCharType="separate"/>
      </w:r>
      <w:r w:rsidR="00BE72F3">
        <w:rPr>
          <w:noProof/>
        </w:rPr>
        <w:t>[2]</w:t>
      </w:r>
      <w:r w:rsidR="00BE72F3">
        <w:fldChar w:fldCharType="end"/>
      </w:r>
      <w:r w:rsidR="00663565">
        <w:t xml:space="preserve">. Liu and colleagues reported a total of 43 secondary infections among 126 attendees at 8 meals, each with one infectious individual present. We assumed that meals lasted 2 h and that the transmission rate was constant over time. </w:t>
      </w:r>
      <w:r w:rsidR="00F5563E">
        <w:t xml:space="preserve">Thus, the probability of transmission in an interaction lasting </w:t>
      </w:r>
      <w:r w:rsidR="00F5563E" w:rsidRPr="00F5563E">
        <w:rPr>
          <w:i/>
        </w:rPr>
        <w:t>m</w:t>
      </w:r>
      <w:r w:rsidR="00F5563E">
        <w:t xml:space="preserve"> </w:t>
      </w:r>
      <w:proofErr w:type="gramStart"/>
      <w:r w:rsidR="00F5563E">
        <w:t>minutes</w:t>
      </w:r>
      <w:proofErr w:type="gramEnd"/>
      <w:r w:rsidR="00F5563E">
        <w:t xml:space="preserve"> </w:t>
      </w:r>
      <w:r w:rsidR="007D79F0">
        <w:t>is</w:t>
      </w:r>
    </w:p>
    <w:p w14:paraId="0C3D7E9E" w14:textId="14427636" w:rsidR="00F5563E" w:rsidRDefault="00F5563E"/>
    <w:p w14:paraId="54BDA8F1" w14:textId="7AD71BE2" w:rsidR="00F5563E" w:rsidRPr="00F5563E" w:rsidRDefault="00F5563E">
      <m:oMathPara>
        <m:oMathParaPr>
          <m:jc m:val="left"/>
        </m:oMathParaPr>
        <m:oMath>
          <m:r>
            <w:rPr>
              <w:rFonts w:ascii="Cambria Math" w:hAnsi="Cambria Math"/>
            </w:rPr>
            <m:t>p</m:t>
          </m:r>
          <m:d>
            <m:dPr>
              <m:ctrlPr>
                <w:rPr>
                  <w:rFonts w:ascii="Cambria Math" w:hAnsi="Cambria Math"/>
                  <w:i/>
                </w:rPr>
              </m:ctrlPr>
            </m:dPr>
            <m:e>
              <m:r>
                <w:rPr>
                  <w:rFonts w:ascii="Cambria Math" w:hAnsi="Cambria Math"/>
                </w:rPr>
                <m:t>m</m:t>
              </m:r>
            </m:e>
          </m:d>
          <m:r>
            <w:rPr>
              <w:rFonts w:ascii="Cambria Math" w:hAnsi="Cambria Math"/>
            </w:rPr>
            <m:t>=1-</m:t>
          </m:r>
          <m:r>
            <m:rPr>
              <m:nor/>
            </m:rP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 xml:space="preserve">m </m:t>
                  </m:r>
                  <m:r>
                    <m:rPr>
                      <m:nor/>
                    </m:rPr>
                    <w:rPr>
                      <w:rFonts w:ascii="Cambria Math" w:hAnsi="Cambria Math"/>
                    </w:rPr>
                    <m:t>log</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43</m:t>
                          </m:r>
                        </m:num>
                        <m:den>
                          <m:r>
                            <w:rPr>
                              <w:rFonts w:ascii="Cambria Math" w:hAnsi="Cambria Math"/>
                            </w:rPr>
                            <m:t>126</m:t>
                          </m:r>
                        </m:den>
                      </m:f>
                    </m:e>
                  </m:d>
                </m:num>
                <m:den>
                  <m:r>
                    <w:rPr>
                      <w:rFonts w:ascii="Cambria Math" w:hAnsi="Cambria Math"/>
                    </w:rPr>
                    <m:t>120</m:t>
                  </m:r>
                </m:den>
              </m:f>
            </m:e>
          </m:d>
          <m:r>
            <w:rPr>
              <w:rFonts w:ascii="Cambria Math" w:hAnsi="Cambria Math"/>
            </w:rPr>
            <m:t>.</m:t>
          </m:r>
        </m:oMath>
      </m:oMathPara>
    </w:p>
    <w:p w14:paraId="63717FD8" w14:textId="77777777" w:rsidR="00F5563E" w:rsidRDefault="00F5563E"/>
    <w:p w14:paraId="730F079D" w14:textId="05BB2CC8" w:rsidR="00C560D4" w:rsidRPr="00050C53" w:rsidRDefault="007D79F0">
      <w:r>
        <w:t xml:space="preserve">We assumed that interactions in food lines, toilet lines, and while moving about the camp lasted for 150 min, 30 min, and 5 min respectively. Therefore, </w:t>
      </w:r>
      <w:r w:rsidRPr="007D79F0">
        <w:rPr>
          <w:i/>
        </w:rPr>
        <w:t>p</w:t>
      </w:r>
      <w:r w:rsidRPr="007D79F0">
        <w:rPr>
          <w:i/>
          <w:vertAlign w:val="subscript"/>
        </w:rPr>
        <w:t>f</w:t>
      </w:r>
      <w:r>
        <w:t> = </w:t>
      </w:r>
      <w:proofErr w:type="gramStart"/>
      <w:r w:rsidRPr="007D79F0">
        <w:rPr>
          <w:i/>
        </w:rPr>
        <w:t>p</w:t>
      </w:r>
      <w:r>
        <w:t>(</w:t>
      </w:r>
      <w:proofErr w:type="gramEnd"/>
      <w:r>
        <w:t xml:space="preserve">150) = 0.407, </w:t>
      </w:r>
      <w:proofErr w:type="spellStart"/>
      <w:r w:rsidRPr="007D79F0">
        <w:rPr>
          <w:i/>
        </w:rPr>
        <w:t>p</w:t>
      </w:r>
      <w:r>
        <w:rPr>
          <w:i/>
          <w:vertAlign w:val="subscript"/>
        </w:rPr>
        <w:t>t</w:t>
      </w:r>
      <w:proofErr w:type="spellEnd"/>
      <w:r>
        <w:t> = </w:t>
      </w:r>
      <w:r w:rsidRPr="007D79F0">
        <w:rPr>
          <w:i/>
        </w:rPr>
        <w:t>p</w:t>
      </w:r>
      <w:r>
        <w:t xml:space="preserve">(30) = 0.099, and </w:t>
      </w:r>
      <w:r w:rsidRPr="007D79F0">
        <w:rPr>
          <w:i/>
        </w:rPr>
        <w:t>p</w:t>
      </w:r>
      <w:r w:rsidRPr="007D79F0">
        <w:rPr>
          <w:i/>
          <w:vertAlign w:val="subscript"/>
        </w:rPr>
        <w:t>f</w:t>
      </w:r>
      <w:r>
        <w:t> = </w:t>
      </w:r>
      <w:r w:rsidRPr="007D79F0">
        <w:rPr>
          <w:i/>
        </w:rPr>
        <w:t>p</w:t>
      </w:r>
      <w:r>
        <w:t>(5) = 0.017. These estimates are at the high end of those found in the empirical literature, and may represent an upper bound for the infectiousness of COVID-19.</w:t>
      </w:r>
    </w:p>
    <w:p w14:paraId="0C0706C3" w14:textId="77777777" w:rsidR="001B646D" w:rsidRDefault="001B646D">
      <w:pPr>
        <w:rPr>
          <w:i/>
        </w:rPr>
      </w:pPr>
    </w:p>
    <w:p w14:paraId="6151C78A" w14:textId="5AF6EDC9" w:rsidR="001B646D" w:rsidRPr="001B646D" w:rsidRDefault="001B646D">
      <w:pPr>
        <w:rPr>
          <w:i/>
        </w:rPr>
      </w:pPr>
      <w:r>
        <w:rPr>
          <w:i/>
        </w:rPr>
        <w:t>Low</w:t>
      </w:r>
      <w:r w:rsidR="008F7695">
        <w:rPr>
          <w:i/>
        </w:rPr>
        <w:t>-</w:t>
      </w:r>
      <w:r>
        <w:rPr>
          <w:i/>
        </w:rPr>
        <w:t>transmission scenario</w:t>
      </w:r>
    </w:p>
    <w:p w14:paraId="0C65E5DC" w14:textId="3C2FDE6C" w:rsidR="001B646D" w:rsidRDefault="001B646D"/>
    <w:p w14:paraId="49ECEAF8" w14:textId="79573189" w:rsidR="00027BB8" w:rsidRDefault="00900D64">
      <w:r>
        <w:t>For the low</w:t>
      </w:r>
      <w:r w:rsidR="008F7695">
        <w:t>-</w:t>
      </w:r>
      <w:r>
        <w:t>transmission scenario, w</w:t>
      </w:r>
      <w:r w:rsidR="001B646D">
        <w:t xml:space="preserve">e estimated the daily transmission probability within households using data </w:t>
      </w:r>
      <w:r w:rsidR="003F70E3">
        <w:t>from</w:t>
      </w:r>
      <w:r w:rsidR="001B646D">
        <w:t xml:space="preserve"> Li and colleagues </w:t>
      </w:r>
      <w:r w:rsidR="001B646D">
        <w:fldChar w:fldCharType="begin"/>
      </w:r>
      <w:r w:rsidR="00BE72F3">
        <w:instrText xml:space="preserve"> ADDIN EN.CITE &lt;EndNote&gt;&lt;Cite&gt;&lt;Author&gt;Li&lt;/Author&gt;&lt;Year&gt;2020&lt;/Year&gt;&lt;RecNum&gt;1&lt;/RecNum&gt;&lt;DisplayText&gt;[3]&lt;/DisplayText&gt;&lt;record&gt;&lt;rec-number&gt;1&lt;/rec-number&gt;&lt;foreign-keys&gt;&lt;key app="EN" db-id="ddrrrz50rr5zvneesv65wxse229pw5x29v9t" timestamp="1589636768"&gt;1&lt;/key&gt;&lt;/foreign-keys&gt;&lt;ref-type name="Journal Article"&gt;17&lt;/ref-type&gt;&lt;contributors&gt;&lt;authors&gt;&lt;author&gt;Li, Wei&lt;/author&gt;&lt;author&gt;Zhang, Bo&lt;/author&gt;&lt;author&gt;Lu, Jianhua&lt;/author&gt;&lt;author&gt;Liu, Shihua&lt;/author&gt;&lt;author&gt;Chang, Zhiqiang&lt;/author&gt;&lt;author&gt;Cao, Peng&lt;/author&gt;&lt;author&gt;Liu, Xinhua&lt;/author&gt;&lt;author&gt;Zhang, Peng&lt;/author&gt;&lt;author&gt;Ling, Yan&lt;/author&gt;&lt;author&gt;Tao, Kaixiong&lt;/author&gt;&lt;author&gt;Chen, Jianying&lt;/author&gt;&lt;/authors&gt;&lt;/contributors&gt;&lt;titles&gt;&lt;title&gt;The characteristics of household transmission of COVID-19&lt;/title&gt;&lt;secondary-title&gt;Clinical Infectious Diseases&lt;/secondary-title&gt;&lt;/titles&gt;&lt;periodical&gt;&lt;full-title&gt;Clinical Infectious Diseases&lt;/full-title&gt;&lt;/periodical&gt;&lt;pages&gt;ciaa450&lt;/pages&gt;&lt;dates&gt;&lt;year&gt;2020&lt;/year&gt;&lt;/dates&gt;&lt;urls&gt;&lt;/urls&gt;&lt;electronic-resource-num&gt;10.1093/cid/ciaa450&lt;/electronic-resource-num&gt;&lt;/record&gt;&lt;/Cite&gt;&lt;/EndNote&gt;</w:instrText>
      </w:r>
      <w:r w:rsidR="001B646D">
        <w:fldChar w:fldCharType="separate"/>
      </w:r>
      <w:r w:rsidR="00BE72F3">
        <w:rPr>
          <w:noProof/>
        </w:rPr>
        <w:t>[3]</w:t>
      </w:r>
      <w:r w:rsidR="001B646D">
        <w:fldChar w:fldCharType="end"/>
      </w:r>
      <w:r w:rsidR="001B646D">
        <w:t>.</w:t>
      </w:r>
      <w:r w:rsidR="00EC692D">
        <w:t xml:space="preserve"> Li and colleagues studied </w:t>
      </w:r>
      <w:r w:rsidR="006D3A2D">
        <w:t xml:space="preserve">the households of 105 </w:t>
      </w:r>
      <w:r w:rsidR="003F70E3">
        <w:t xml:space="preserve">COVID-19 </w:t>
      </w:r>
      <w:r w:rsidR="006D3A2D">
        <w:t>patients who were hospitalised in China between 1 January and 20 February 2020. Household members were exposed to infection until patients were hospitalised, and Li and colleagues recorded the proportion of household members that became infected.</w:t>
      </w:r>
      <w:r w:rsidR="008F7695">
        <w:t xml:space="preserve"> </w:t>
      </w:r>
    </w:p>
    <w:p w14:paraId="70998A41" w14:textId="77777777" w:rsidR="00027BB8" w:rsidRDefault="00027BB8"/>
    <w:p w14:paraId="703805F3" w14:textId="75C121AE" w:rsidR="006D3A2D" w:rsidRDefault="00EC692D">
      <w:r>
        <w:t xml:space="preserve">Members of households occupying </w:t>
      </w:r>
      <w:proofErr w:type="spellStart"/>
      <w:r>
        <w:t>isoboxes</w:t>
      </w:r>
      <w:proofErr w:type="spellEnd"/>
      <w:r>
        <w:t xml:space="preserve"> or tents in the </w:t>
      </w:r>
      <w:proofErr w:type="spellStart"/>
      <w:r>
        <w:t>Moria</w:t>
      </w:r>
      <w:proofErr w:type="spellEnd"/>
      <w:r>
        <w:t xml:space="preserve"> refugee camp may be in closer contact for longer periods than members of Chinese households. </w:t>
      </w:r>
      <w:r w:rsidR="00F35305">
        <w:t>Therefore, w</w:t>
      </w:r>
      <w:r>
        <w:t xml:space="preserve">e assumed that the transmission rates among household members in </w:t>
      </w:r>
      <w:proofErr w:type="spellStart"/>
      <w:r>
        <w:t>Moria</w:t>
      </w:r>
      <w:proofErr w:type="spellEnd"/>
      <w:r>
        <w:t xml:space="preserve"> would be similar to the transmission rates between spouses in Chinese households</w:t>
      </w:r>
      <w:r w:rsidR="006D3A2D">
        <w:t xml:space="preserve">, who may be in closer </w:t>
      </w:r>
      <w:r w:rsidR="0013283F">
        <w:t xml:space="preserve">contact </w:t>
      </w:r>
      <w:r w:rsidR="006D3A2D">
        <w:t>than other household members</w:t>
      </w:r>
      <w:r>
        <w:t xml:space="preserve">. </w:t>
      </w:r>
    </w:p>
    <w:p w14:paraId="03D216FD" w14:textId="77777777" w:rsidR="006D3A2D" w:rsidRDefault="006D3A2D"/>
    <w:p w14:paraId="526BCA55" w14:textId="22F26BBE" w:rsidR="003E361A" w:rsidRDefault="00EC692D">
      <w:r>
        <w:t>Li and colleagues reported that 25 of 90 spouses of infectious individuals became infected. However, spouses in Li and colleagues’ data were exposed to their infectious partners for multiple days, and our model is parameterised on daily transmission probabilities.</w:t>
      </w:r>
      <w:r w:rsidR="004D4D8F">
        <w:t xml:space="preserve"> Therefore, we estimated the days of exposure for </w:t>
      </w:r>
      <w:r w:rsidR="003F70E3">
        <w:t>spouses</w:t>
      </w:r>
      <w:r w:rsidR="004D4D8F">
        <w:t xml:space="preserve"> in Li and colleagues’ data set, and used this and the total infection rate to </w:t>
      </w:r>
      <w:r w:rsidR="0013283F">
        <w:t>estim</w:t>
      </w:r>
      <w:r w:rsidR="00900D64">
        <w:t>ate</w:t>
      </w:r>
      <w:r w:rsidR="004D4D8F">
        <w:t xml:space="preserve"> the daily transmission probability</w:t>
      </w:r>
      <w:r w:rsidR="003E361A">
        <w:t>.</w:t>
      </w:r>
      <w:r w:rsidR="00900D64">
        <w:t xml:space="preserve"> </w:t>
      </w:r>
      <w:r w:rsidR="00155229">
        <w:t xml:space="preserve">Li and colleagues reported that 12 patients were hospitalised on days 0 or 1 of symptoms, 34 were </w:t>
      </w:r>
      <w:r w:rsidR="00155229">
        <w:lastRenderedPageBreak/>
        <w:t xml:space="preserve">hospitalised on days 2-5 of symptoms, and 59 were hospitalised on days 7-11 of symptoms. </w:t>
      </w:r>
      <w:r w:rsidR="003E361A">
        <w:t>Fourteen</w:t>
      </w:r>
      <w:r w:rsidR="00155229">
        <w:t xml:space="preserve"> patients self-isolated in their homes from the onset of symptoms and there was no transmission from these patients to their </w:t>
      </w:r>
      <w:r w:rsidR="00900D64">
        <w:t>households</w:t>
      </w:r>
      <w:r w:rsidR="00155229">
        <w:t xml:space="preserve">. </w:t>
      </w:r>
      <w:r w:rsidR="003E361A">
        <w:t xml:space="preserve">We do not know on which days the patients that self-isolated were hospitalised, so we assumed that they were divided proportionally between the group that was hospitalised on days 2-5 and the group that was hospitalised on days 7-11. </w:t>
      </w:r>
      <w:r w:rsidR="00155229">
        <w:t xml:space="preserve">We assumed that every patient </w:t>
      </w:r>
      <w:r w:rsidR="00900D64">
        <w:t>became</w:t>
      </w:r>
      <w:r w:rsidR="00155229">
        <w:t xml:space="preserve"> infectious three days before the appearance of symptoms</w:t>
      </w:r>
      <w:r w:rsidR="004D640B">
        <w:t xml:space="preserve"> </w:t>
      </w:r>
      <w:r w:rsidR="004D640B">
        <w:fldChar w:fldCharType="begin"/>
      </w:r>
      <w:r w:rsidR="004D640B">
        <w:instrText xml:space="preserve"> ADDIN EN.CITE &lt;EndNote&gt;&lt;Cite&gt;&lt;Author&gt;Du&lt;/Author&gt;&lt;Year&gt;2020&lt;/Year&gt;&lt;RecNum&gt;12&lt;/RecNum&gt;&lt;DisplayText&gt;[4]&lt;/DisplayText&gt;&lt;record&gt;&lt;rec-number&gt;12&lt;/rec-number&gt;&lt;foreign-keys&gt;&lt;key app="EN" db-id="ddrrrz50rr5zvneesv65wxse229pw5x29v9t" timestamp="1590150975"&gt;12&lt;/key&gt;&lt;/foreign-keys&gt;&lt;ref-type name="Journal Article"&gt;17&lt;/ref-type&gt;&lt;contributors&gt;&lt;authors&gt;&lt;author&gt;Du, Z.&lt;/author&gt;&lt;author&gt;Xu, X.&lt;/author&gt;&lt;author&gt;Wu, Y.&lt;/author&gt;&lt;author&gt;Wang, L.&lt;/author&gt;&lt;author&gt;Cowling, B. J.&lt;/author&gt;&lt;author&gt;Meyers, L. A.&lt;/author&gt;&lt;/authors&gt;&lt;/contributors&gt;&lt;titles&gt;&lt;title&gt;Serial Interval of COVID-19 among Publicly Reported Confirmed Cases&lt;/title&gt;&lt;secondary-title&gt;Emerg Infect Dis&lt;/secondary-title&gt;&lt;/titles&gt;&lt;periodical&gt;&lt;full-title&gt;Emerg Infect Dis&lt;/full-title&gt;&lt;/periodical&gt;&lt;pages&gt;1341-1343&lt;/pages&gt;&lt;volume&gt;26&lt;/volume&gt;&lt;number&gt;6&lt;/number&gt;&lt;edition&gt;2020/03/20&lt;/edition&gt;&lt;keywords&gt;&lt;keyword&gt;2019 novel coronavirus disease&lt;/keyword&gt;&lt;keyword&gt;Covid-19&lt;/keyword&gt;&lt;keyword&gt;China&lt;/keyword&gt;&lt;keyword&gt;SARS-CoV-2&lt;/keyword&gt;&lt;keyword&gt;Wuhan&lt;/keyword&gt;&lt;keyword&gt;coronavirus&lt;/keyword&gt;&lt;keyword&gt;epidemiology&lt;/keyword&gt;&lt;keyword&gt;respiratory infections&lt;/keyword&gt;&lt;keyword&gt;serial interval&lt;/keyword&gt;&lt;keyword&gt;severe acute respiratory syndrome coronavirus 2&lt;/keyword&gt;&lt;keyword&gt;viruses&lt;/keyword&gt;&lt;keyword&gt;zoonoses&lt;/keyword&gt;&lt;/keywords&gt;&lt;dates&gt;&lt;year&gt;2020&lt;/year&gt;&lt;pub-dates&gt;&lt;date&gt;Jun&lt;/date&gt;&lt;/pub-dates&gt;&lt;/dates&gt;&lt;isbn&gt;1080-6059 (Electronic)&amp;#xD;1080-6040 (Linking)&lt;/isbn&gt;&lt;accession-num&gt;32191173&lt;/accession-num&gt;&lt;urls&gt;&lt;related-urls&gt;&lt;url&gt;https://www.ncbi.nlm.nih.gov/pubmed/32191173&lt;/url&gt;&lt;/related-urls&gt;&lt;/urls&gt;&lt;electronic-resource-num&gt;10.3201/eid2606.200357&lt;/electronic-resource-num&gt;&lt;/record&gt;&lt;/Cite&gt;&lt;/EndNote&gt;</w:instrText>
      </w:r>
      <w:r w:rsidR="004D640B">
        <w:fldChar w:fldCharType="separate"/>
      </w:r>
      <w:r w:rsidR="004D640B">
        <w:rPr>
          <w:noProof/>
        </w:rPr>
        <w:t>[4]</w:t>
      </w:r>
      <w:r w:rsidR="004D640B">
        <w:fldChar w:fldCharType="end"/>
      </w:r>
      <w:r w:rsidR="004D640B">
        <w:t xml:space="preserve"> </w:t>
      </w:r>
      <w:r w:rsidR="00900D64">
        <w:t xml:space="preserve">and remained infections until hospitalisation. </w:t>
      </w:r>
      <w:r w:rsidR="0013283F">
        <w:t xml:space="preserve">We did not know the exact day on which patients were hospitalised, so we assumed that all patients were hospitalised on the middle day for their groups. </w:t>
      </w:r>
      <w:r w:rsidR="00900D64">
        <w:t>W</w:t>
      </w:r>
      <w:r w:rsidR="00E26F63">
        <w:t>e solved</w:t>
      </w:r>
      <w:r w:rsidR="003E361A">
        <w:t xml:space="preserve">  </w:t>
      </w:r>
    </w:p>
    <w:p w14:paraId="328034B5" w14:textId="03CDA034" w:rsidR="003E361A" w:rsidRDefault="003E361A"/>
    <w:p w14:paraId="7CA6D030" w14:textId="33548ED0" w:rsidR="003E361A" w:rsidRPr="00464D9D" w:rsidRDefault="00C20BF9">
      <w:pPr>
        <w:rPr>
          <w:rFonts w:eastAsiaTheme="minorEastAsia"/>
          <w:sz w:val="21"/>
          <w:szCs w:val="21"/>
        </w:rPr>
      </w:pPr>
      <m:oMathPara>
        <m:oMath>
          <m:f>
            <m:fPr>
              <m:ctrlPr>
                <w:rPr>
                  <w:rFonts w:ascii="Cambria Math" w:hAnsi="Cambria Math" w:cs="Times New Roman (Body CS)"/>
                  <w:i/>
                  <w:sz w:val="21"/>
                  <w:szCs w:val="21"/>
                </w:rPr>
              </m:ctrlPr>
            </m:fPr>
            <m:num>
              <m:r>
                <w:rPr>
                  <w:rFonts w:ascii="Cambria Math" w:hAnsi="Cambria Math" w:cs="Times New Roman (Body CS)"/>
                  <w:sz w:val="21"/>
                  <w:szCs w:val="21"/>
                </w:rPr>
                <m:t>12</m:t>
              </m:r>
              <m:d>
                <m:dPr>
                  <m:ctrlPr>
                    <w:rPr>
                      <w:rFonts w:ascii="Cambria Math" w:hAnsi="Cambria Math" w:cs="Times New Roman (Body CS)"/>
                      <w:i/>
                      <w:sz w:val="21"/>
                      <w:szCs w:val="21"/>
                    </w:rPr>
                  </m:ctrlPr>
                </m:dPr>
                <m:e>
                  <m:r>
                    <w:rPr>
                      <w:rFonts w:ascii="Cambria Math" w:hAnsi="Cambria Math" w:cs="Times New Roman (Body CS)"/>
                      <w:sz w:val="21"/>
                      <w:szCs w:val="21"/>
                    </w:rPr>
                    <m:t>1-</m:t>
                  </m:r>
                  <m:sSup>
                    <m:sSupPr>
                      <m:ctrlPr>
                        <w:rPr>
                          <w:rFonts w:ascii="Cambria Math" w:hAnsi="Cambria Math" w:cs="Times New Roman (Body CS)"/>
                          <w:i/>
                          <w:sz w:val="21"/>
                          <w:szCs w:val="21"/>
                        </w:rPr>
                      </m:ctrlPr>
                    </m:sSupPr>
                    <m:e>
                      <m:d>
                        <m:dPr>
                          <m:ctrlPr>
                            <w:rPr>
                              <w:rFonts w:ascii="Cambria Math" w:hAnsi="Cambria Math" w:cs="Times New Roman (Body CS)"/>
                              <w:i/>
                              <w:sz w:val="21"/>
                              <w:szCs w:val="21"/>
                            </w:rPr>
                          </m:ctrlPr>
                        </m:dPr>
                        <m:e>
                          <m:r>
                            <w:rPr>
                              <w:rFonts w:ascii="Cambria Math" w:hAnsi="Cambria Math" w:cs="Times New Roman (Body CS)"/>
                              <w:sz w:val="21"/>
                              <w:szCs w:val="21"/>
                            </w:rPr>
                            <m:t>1-</m:t>
                          </m:r>
                          <m:sSub>
                            <m:sSubPr>
                              <m:ctrlPr>
                                <w:rPr>
                                  <w:rFonts w:ascii="Cambria Math" w:hAnsi="Cambria Math" w:cs="Times New Roman (Body CS)"/>
                                  <w:i/>
                                  <w:sz w:val="21"/>
                                  <w:szCs w:val="21"/>
                                </w:rPr>
                              </m:ctrlPr>
                            </m:sSubPr>
                            <m:e>
                              <m:r>
                                <w:rPr>
                                  <w:rFonts w:ascii="Cambria Math" w:hAnsi="Cambria Math" w:cs="Times New Roman (Body CS)"/>
                                  <w:sz w:val="21"/>
                                  <w:szCs w:val="21"/>
                                </w:rPr>
                                <m:t>p</m:t>
                              </m:r>
                            </m:e>
                            <m:sub>
                              <m:r>
                                <w:rPr>
                                  <w:rFonts w:ascii="Cambria Math" w:hAnsi="Cambria Math" w:cs="Times New Roman (Body CS)"/>
                                  <w:sz w:val="21"/>
                                  <w:szCs w:val="21"/>
                                </w:rPr>
                                <m:t>h</m:t>
                              </m:r>
                            </m:sub>
                          </m:sSub>
                        </m:e>
                      </m:d>
                    </m:e>
                    <m:sup>
                      <m:r>
                        <w:rPr>
                          <w:rFonts w:ascii="Cambria Math" w:hAnsi="Cambria Math" w:cs="Times New Roman (Body CS)"/>
                          <w:sz w:val="21"/>
                          <w:szCs w:val="21"/>
                        </w:rPr>
                        <m:t>3.5</m:t>
                      </m:r>
                    </m:sup>
                  </m:sSup>
                </m:e>
              </m:d>
              <m:r>
                <w:rPr>
                  <w:rFonts w:ascii="Cambria Math" w:hAnsi="Cambria Math" w:cs="Times New Roman (Body CS)"/>
                  <w:sz w:val="21"/>
                  <w:szCs w:val="21"/>
                </w:rPr>
                <m:t>+14</m:t>
              </m:r>
              <m:d>
                <m:dPr>
                  <m:ctrlPr>
                    <w:rPr>
                      <w:rFonts w:ascii="Cambria Math" w:hAnsi="Cambria Math" w:cs="Times New Roman (Body CS)"/>
                      <w:i/>
                      <w:sz w:val="21"/>
                      <w:szCs w:val="21"/>
                    </w:rPr>
                  </m:ctrlPr>
                </m:dPr>
                <m:e>
                  <m:r>
                    <w:rPr>
                      <w:rFonts w:ascii="Cambria Math" w:hAnsi="Cambria Math" w:cs="Times New Roman (Body CS)"/>
                      <w:sz w:val="21"/>
                      <w:szCs w:val="21"/>
                    </w:rPr>
                    <m:t>1-</m:t>
                  </m:r>
                  <m:sSup>
                    <m:sSupPr>
                      <m:ctrlPr>
                        <w:rPr>
                          <w:rFonts w:ascii="Cambria Math" w:hAnsi="Cambria Math" w:cs="Times New Roman (Body CS)"/>
                          <w:i/>
                          <w:sz w:val="21"/>
                          <w:szCs w:val="21"/>
                        </w:rPr>
                      </m:ctrlPr>
                    </m:sSupPr>
                    <m:e>
                      <m:d>
                        <m:dPr>
                          <m:ctrlPr>
                            <w:rPr>
                              <w:rFonts w:ascii="Cambria Math" w:hAnsi="Cambria Math" w:cs="Times New Roman (Body CS)"/>
                              <w:i/>
                              <w:sz w:val="21"/>
                              <w:szCs w:val="21"/>
                            </w:rPr>
                          </m:ctrlPr>
                        </m:dPr>
                        <m:e>
                          <m:r>
                            <w:rPr>
                              <w:rFonts w:ascii="Cambria Math" w:hAnsi="Cambria Math" w:cs="Times New Roman (Body CS)"/>
                              <w:sz w:val="21"/>
                              <w:szCs w:val="21"/>
                            </w:rPr>
                            <m:t>1-</m:t>
                          </m:r>
                          <m:sSub>
                            <m:sSubPr>
                              <m:ctrlPr>
                                <w:rPr>
                                  <w:rFonts w:ascii="Cambria Math" w:hAnsi="Cambria Math" w:cs="Times New Roman (Body CS)"/>
                                  <w:i/>
                                  <w:sz w:val="21"/>
                                  <w:szCs w:val="21"/>
                                </w:rPr>
                              </m:ctrlPr>
                            </m:sSubPr>
                            <m:e>
                              <m:r>
                                <w:rPr>
                                  <w:rFonts w:ascii="Cambria Math" w:hAnsi="Cambria Math" w:cs="Times New Roman (Body CS)"/>
                                  <w:sz w:val="21"/>
                                  <w:szCs w:val="21"/>
                                </w:rPr>
                                <m:t>p</m:t>
                              </m:r>
                            </m:e>
                            <m:sub>
                              <m:r>
                                <w:rPr>
                                  <w:rFonts w:ascii="Cambria Math" w:hAnsi="Cambria Math" w:cs="Times New Roman (Body CS)"/>
                                  <w:sz w:val="21"/>
                                  <w:szCs w:val="21"/>
                                </w:rPr>
                                <m:t>h</m:t>
                              </m:r>
                            </m:sub>
                          </m:sSub>
                        </m:e>
                      </m:d>
                    </m:e>
                    <m:sup>
                      <m:r>
                        <w:rPr>
                          <w:rFonts w:ascii="Cambria Math" w:hAnsi="Cambria Math" w:cs="Times New Roman (Body CS)"/>
                          <w:sz w:val="21"/>
                          <w:szCs w:val="21"/>
                        </w:rPr>
                        <m:t>3</m:t>
                      </m:r>
                    </m:sup>
                  </m:sSup>
                </m:e>
              </m:d>
              <m:r>
                <w:rPr>
                  <w:rFonts w:ascii="Cambria Math" w:hAnsi="Cambria Math" w:cs="Times New Roman (Body CS)"/>
                  <w:sz w:val="21"/>
                  <w:szCs w:val="21"/>
                </w:rPr>
                <m:t>+34</m:t>
              </m:r>
              <m:f>
                <m:fPr>
                  <m:ctrlPr>
                    <w:rPr>
                      <w:rFonts w:ascii="Cambria Math" w:hAnsi="Cambria Math" w:cs="Times New Roman (Body CS)"/>
                      <w:i/>
                      <w:sz w:val="21"/>
                      <w:szCs w:val="21"/>
                    </w:rPr>
                  </m:ctrlPr>
                </m:fPr>
                <m:num>
                  <m:r>
                    <w:rPr>
                      <w:rFonts w:ascii="Cambria Math" w:hAnsi="Cambria Math" w:cs="Times New Roman (Body CS)"/>
                      <w:sz w:val="21"/>
                      <w:szCs w:val="21"/>
                    </w:rPr>
                    <m:t>79</m:t>
                  </m:r>
                </m:num>
                <m:den>
                  <m:r>
                    <w:rPr>
                      <w:rFonts w:ascii="Cambria Math" w:hAnsi="Cambria Math" w:cs="Times New Roman (Body CS)"/>
                      <w:sz w:val="21"/>
                      <w:szCs w:val="21"/>
                    </w:rPr>
                    <m:t>93</m:t>
                  </m:r>
                </m:den>
              </m:f>
              <m:d>
                <m:dPr>
                  <m:ctrlPr>
                    <w:rPr>
                      <w:rFonts w:ascii="Cambria Math" w:hAnsi="Cambria Math" w:cs="Times New Roman (Body CS)"/>
                      <w:i/>
                      <w:sz w:val="21"/>
                      <w:szCs w:val="21"/>
                    </w:rPr>
                  </m:ctrlPr>
                </m:dPr>
                <m:e>
                  <m:r>
                    <w:rPr>
                      <w:rFonts w:ascii="Cambria Math" w:hAnsi="Cambria Math" w:cs="Times New Roman (Body CS)"/>
                      <w:sz w:val="21"/>
                      <w:szCs w:val="21"/>
                    </w:rPr>
                    <m:t>1-</m:t>
                  </m:r>
                  <m:sSup>
                    <m:sSupPr>
                      <m:ctrlPr>
                        <w:rPr>
                          <w:rFonts w:ascii="Cambria Math" w:hAnsi="Cambria Math" w:cs="Times New Roman (Body CS)"/>
                          <w:i/>
                          <w:sz w:val="21"/>
                          <w:szCs w:val="21"/>
                        </w:rPr>
                      </m:ctrlPr>
                    </m:sSupPr>
                    <m:e>
                      <m:d>
                        <m:dPr>
                          <m:ctrlPr>
                            <w:rPr>
                              <w:rFonts w:ascii="Cambria Math" w:hAnsi="Cambria Math" w:cs="Times New Roman (Body CS)"/>
                              <w:i/>
                              <w:sz w:val="21"/>
                              <w:szCs w:val="21"/>
                            </w:rPr>
                          </m:ctrlPr>
                        </m:dPr>
                        <m:e>
                          <m:r>
                            <w:rPr>
                              <w:rFonts w:ascii="Cambria Math" w:hAnsi="Cambria Math" w:cs="Times New Roman (Body CS)"/>
                              <w:sz w:val="21"/>
                              <w:szCs w:val="21"/>
                            </w:rPr>
                            <m:t>1-</m:t>
                          </m:r>
                          <m:sSub>
                            <m:sSubPr>
                              <m:ctrlPr>
                                <w:rPr>
                                  <w:rFonts w:ascii="Cambria Math" w:hAnsi="Cambria Math" w:cs="Times New Roman (Body CS)"/>
                                  <w:i/>
                                  <w:sz w:val="21"/>
                                  <w:szCs w:val="21"/>
                                </w:rPr>
                              </m:ctrlPr>
                            </m:sSubPr>
                            <m:e>
                              <m:r>
                                <w:rPr>
                                  <w:rFonts w:ascii="Cambria Math" w:hAnsi="Cambria Math" w:cs="Times New Roman (Body CS)"/>
                                  <w:sz w:val="21"/>
                                  <w:szCs w:val="21"/>
                                </w:rPr>
                                <m:t>p</m:t>
                              </m:r>
                            </m:e>
                            <m:sub>
                              <m:r>
                                <w:rPr>
                                  <w:rFonts w:ascii="Cambria Math" w:hAnsi="Cambria Math" w:cs="Times New Roman (Body CS)"/>
                                  <w:sz w:val="21"/>
                                  <w:szCs w:val="21"/>
                                </w:rPr>
                                <m:t>h</m:t>
                              </m:r>
                            </m:sub>
                          </m:sSub>
                        </m:e>
                      </m:d>
                    </m:e>
                    <m:sup>
                      <m:r>
                        <w:rPr>
                          <w:rFonts w:ascii="Cambria Math" w:hAnsi="Cambria Math" w:cs="Times New Roman (Body CS)"/>
                          <w:sz w:val="21"/>
                          <w:szCs w:val="21"/>
                        </w:rPr>
                        <m:t>6.5</m:t>
                      </m:r>
                    </m:sup>
                  </m:sSup>
                </m:e>
              </m:d>
              <m:r>
                <w:rPr>
                  <w:rFonts w:ascii="Cambria Math" w:hAnsi="Cambria Math" w:cs="Times New Roman (Body CS)"/>
                  <w:sz w:val="21"/>
                  <w:szCs w:val="21"/>
                </w:rPr>
                <m:t>+59</m:t>
              </m:r>
              <m:f>
                <m:fPr>
                  <m:ctrlPr>
                    <w:rPr>
                      <w:rFonts w:ascii="Cambria Math" w:hAnsi="Cambria Math" w:cs="Times New Roman (Body CS)"/>
                      <w:i/>
                      <w:sz w:val="21"/>
                      <w:szCs w:val="21"/>
                    </w:rPr>
                  </m:ctrlPr>
                </m:fPr>
                <m:num>
                  <m:r>
                    <w:rPr>
                      <w:rFonts w:ascii="Cambria Math" w:hAnsi="Cambria Math" w:cs="Times New Roman (Body CS)"/>
                      <w:sz w:val="21"/>
                      <w:szCs w:val="21"/>
                    </w:rPr>
                    <m:t>79</m:t>
                  </m:r>
                </m:num>
                <m:den>
                  <m:r>
                    <w:rPr>
                      <w:rFonts w:ascii="Cambria Math" w:hAnsi="Cambria Math" w:cs="Times New Roman (Body CS)"/>
                      <w:sz w:val="21"/>
                      <w:szCs w:val="21"/>
                    </w:rPr>
                    <m:t>93</m:t>
                  </m:r>
                </m:den>
              </m:f>
              <m:d>
                <m:dPr>
                  <m:ctrlPr>
                    <w:rPr>
                      <w:rFonts w:ascii="Cambria Math" w:hAnsi="Cambria Math" w:cs="Times New Roman (Body CS)"/>
                      <w:i/>
                      <w:sz w:val="21"/>
                      <w:szCs w:val="21"/>
                    </w:rPr>
                  </m:ctrlPr>
                </m:dPr>
                <m:e>
                  <m:r>
                    <w:rPr>
                      <w:rFonts w:ascii="Cambria Math" w:hAnsi="Cambria Math" w:cs="Times New Roman (Body CS)"/>
                      <w:sz w:val="21"/>
                      <w:szCs w:val="21"/>
                    </w:rPr>
                    <m:t>1-</m:t>
                  </m:r>
                  <m:sSup>
                    <m:sSupPr>
                      <m:ctrlPr>
                        <w:rPr>
                          <w:rFonts w:ascii="Cambria Math" w:hAnsi="Cambria Math" w:cs="Times New Roman (Body CS)"/>
                          <w:i/>
                          <w:sz w:val="21"/>
                          <w:szCs w:val="21"/>
                        </w:rPr>
                      </m:ctrlPr>
                    </m:sSupPr>
                    <m:e>
                      <m:d>
                        <m:dPr>
                          <m:ctrlPr>
                            <w:rPr>
                              <w:rFonts w:ascii="Cambria Math" w:hAnsi="Cambria Math" w:cs="Times New Roman (Body CS)"/>
                              <w:i/>
                              <w:sz w:val="21"/>
                              <w:szCs w:val="21"/>
                            </w:rPr>
                          </m:ctrlPr>
                        </m:dPr>
                        <m:e>
                          <m:r>
                            <w:rPr>
                              <w:rFonts w:ascii="Cambria Math" w:hAnsi="Cambria Math" w:cs="Times New Roman (Body CS)"/>
                              <w:sz w:val="21"/>
                              <w:szCs w:val="21"/>
                            </w:rPr>
                            <m:t>1-</m:t>
                          </m:r>
                          <m:sSub>
                            <m:sSubPr>
                              <m:ctrlPr>
                                <w:rPr>
                                  <w:rFonts w:ascii="Cambria Math" w:hAnsi="Cambria Math" w:cs="Times New Roman (Body CS)"/>
                                  <w:i/>
                                  <w:sz w:val="21"/>
                                  <w:szCs w:val="21"/>
                                </w:rPr>
                              </m:ctrlPr>
                            </m:sSubPr>
                            <m:e>
                              <m:r>
                                <w:rPr>
                                  <w:rFonts w:ascii="Cambria Math" w:hAnsi="Cambria Math" w:cs="Times New Roman (Body CS)"/>
                                  <w:sz w:val="21"/>
                                  <w:szCs w:val="21"/>
                                </w:rPr>
                                <m:t>p</m:t>
                              </m:r>
                            </m:e>
                            <m:sub>
                              <m:r>
                                <w:rPr>
                                  <w:rFonts w:ascii="Cambria Math" w:hAnsi="Cambria Math" w:cs="Times New Roman (Body CS)"/>
                                  <w:sz w:val="21"/>
                                  <w:szCs w:val="21"/>
                                </w:rPr>
                                <m:t>h</m:t>
                              </m:r>
                            </m:sub>
                          </m:sSub>
                        </m:e>
                      </m:d>
                    </m:e>
                    <m:sup>
                      <m:r>
                        <w:rPr>
                          <w:rFonts w:ascii="Cambria Math" w:hAnsi="Cambria Math" w:cs="Times New Roman (Body CS)"/>
                          <w:sz w:val="21"/>
                          <w:szCs w:val="21"/>
                        </w:rPr>
                        <m:t>12</m:t>
                      </m:r>
                    </m:sup>
                  </m:sSup>
                </m:e>
              </m:d>
            </m:num>
            <m:den>
              <m:r>
                <w:rPr>
                  <w:rFonts w:ascii="Cambria Math" w:hAnsi="Cambria Math" w:cs="Times New Roman (Body CS)"/>
                  <w:sz w:val="21"/>
                  <w:szCs w:val="21"/>
                </w:rPr>
                <m:t>105</m:t>
              </m:r>
            </m:den>
          </m:f>
          <m:r>
            <w:rPr>
              <w:rFonts w:ascii="Cambria Math" w:hAnsi="Cambria Math" w:cs="Times New Roman (Body CS)"/>
              <w:sz w:val="21"/>
              <w:szCs w:val="21"/>
            </w:rPr>
            <m:t>=</m:t>
          </m:r>
          <m:f>
            <m:fPr>
              <m:ctrlPr>
                <w:rPr>
                  <w:rFonts w:ascii="Cambria Math" w:hAnsi="Cambria Math" w:cs="Times New Roman (Body CS)"/>
                  <w:i/>
                  <w:sz w:val="21"/>
                  <w:szCs w:val="21"/>
                </w:rPr>
              </m:ctrlPr>
            </m:fPr>
            <m:num>
              <m:r>
                <w:rPr>
                  <w:rFonts w:ascii="Cambria Math" w:hAnsi="Cambria Math" w:cs="Times New Roman (Body CS)"/>
                  <w:sz w:val="21"/>
                  <w:szCs w:val="21"/>
                </w:rPr>
                <m:t>25</m:t>
              </m:r>
            </m:num>
            <m:den>
              <m:eqArr>
                <m:eqArrPr>
                  <m:ctrlPr>
                    <w:rPr>
                      <w:rFonts w:ascii="Cambria Math" w:hAnsi="Cambria Math" w:cs="Times New Roman (Body CS)"/>
                      <w:i/>
                      <w:sz w:val="21"/>
                      <w:szCs w:val="21"/>
                    </w:rPr>
                  </m:ctrlPr>
                </m:eqArrPr>
                <m:e>
                  <m:r>
                    <w:rPr>
                      <w:rFonts w:ascii="Cambria Math" w:hAnsi="Cambria Math" w:cs="Times New Roman (Body CS)"/>
                      <w:sz w:val="21"/>
                      <w:szCs w:val="21"/>
                    </w:rPr>
                    <m:t>90</m:t>
                  </m:r>
                </m:e>
                <m:e>
                  <m:r>
                    <w:rPr>
                      <w:rFonts w:ascii="Cambria Math" w:hAnsi="Cambria Math" w:cs="Times New Roman (Body CS)"/>
                      <w:sz w:val="21"/>
                      <w:szCs w:val="21"/>
                    </w:rPr>
                    <m:t xml:space="preserve"> </m:t>
                  </m:r>
                </m:e>
              </m:eqArr>
            </m:den>
          </m:f>
        </m:oMath>
      </m:oMathPara>
    </w:p>
    <w:p w14:paraId="241A270E" w14:textId="02FDC8AE" w:rsidR="003E361A" w:rsidRDefault="00E26F63">
      <w:r>
        <w:t xml:space="preserve">for </w:t>
      </w:r>
      <w:proofErr w:type="spellStart"/>
      <w:r w:rsidRPr="00E26F63">
        <w:rPr>
          <w:i/>
        </w:rPr>
        <w:t>p</w:t>
      </w:r>
      <w:r w:rsidRPr="00E26F63">
        <w:rPr>
          <w:i/>
          <w:vertAlign w:val="subscript"/>
        </w:rPr>
        <w:t>h</w:t>
      </w:r>
      <w:proofErr w:type="spellEnd"/>
      <w:r>
        <w:t xml:space="preserve"> to </w:t>
      </w:r>
      <w:r w:rsidR="002D1DF1">
        <w:t xml:space="preserve">obtain an </w:t>
      </w:r>
      <w:r>
        <w:t>estimate</w:t>
      </w:r>
      <w:r w:rsidR="00900D64">
        <w:t>d</w:t>
      </w:r>
      <w:r>
        <w:t xml:space="preserve"> daily transmission probability within households</w:t>
      </w:r>
      <w:r w:rsidR="002D1DF1">
        <w:t xml:space="preserve"> of 0.0397</w:t>
      </w:r>
      <w:r>
        <w:t>.</w:t>
      </w:r>
      <w:r w:rsidR="008F7695">
        <w:t xml:space="preserve"> Because the </w:t>
      </w:r>
      <w:proofErr w:type="spellStart"/>
      <w:r w:rsidR="008F7695">
        <w:t>Moria</w:t>
      </w:r>
      <w:proofErr w:type="spellEnd"/>
      <w:r w:rsidR="008F7695">
        <w:t xml:space="preserve"> population has smaller homes, less sanitary conditions (e.g., no washing facilities in homes), and poorer background health than the population Li and colleagues studie</w:t>
      </w:r>
      <w:r w:rsidR="0009650D">
        <w:t>d</w:t>
      </w:r>
      <w:r w:rsidR="008F7695">
        <w:t xml:space="preserve">, we believe this estimate is </w:t>
      </w:r>
      <w:r w:rsidR="0009650D">
        <w:t>conservative</w:t>
      </w:r>
      <w:r w:rsidR="008F7695">
        <w:t>.</w:t>
      </w:r>
    </w:p>
    <w:p w14:paraId="3F5C0973" w14:textId="77777777" w:rsidR="003E361A" w:rsidRDefault="003E361A"/>
    <w:p w14:paraId="7BDD51BF" w14:textId="03FD61A7" w:rsidR="001B646D" w:rsidRDefault="00464D9D">
      <w:r>
        <w:t xml:space="preserve">We set the transmission probability between individuals that interact in food lines, </w:t>
      </w:r>
      <w:r w:rsidRPr="00464D9D">
        <w:rPr>
          <w:i/>
        </w:rPr>
        <w:t>p</w:t>
      </w:r>
      <w:r w:rsidRPr="00464D9D">
        <w:rPr>
          <w:i/>
          <w:vertAlign w:val="subscript"/>
        </w:rPr>
        <w:t>f</w:t>
      </w:r>
      <w:r>
        <w:t xml:space="preserve">, equal to </w:t>
      </w:r>
      <w:r w:rsidRPr="00E26F63">
        <w:rPr>
          <w:i/>
        </w:rPr>
        <w:t>p</w:t>
      </w:r>
      <w:r w:rsidRPr="00E26F63">
        <w:rPr>
          <w:i/>
          <w:vertAlign w:val="subscript"/>
        </w:rPr>
        <w:t>h</w:t>
      </w:r>
      <w:r>
        <w:t xml:space="preserve">. </w:t>
      </w:r>
      <w:r w:rsidR="0009650D">
        <w:t>Th</w:t>
      </w:r>
      <w:r>
        <w:t xml:space="preserve">is is reasonable because food lines in </w:t>
      </w:r>
      <w:proofErr w:type="spellStart"/>
      <w:r>
        <w:t>Moria</w:t>
      </w:r>
      <w:proofErr w:type="spellEnd"/>
      <w:r>
        <w:t xml:space="preserve"> are dense (</w:t>
      </w:r>
      <w:commentRangeStart w:id="0"/>
      <w:r>
        <w:t>figure #</w:t>
      </w:r>
      <w:commentRangeEnd w:id="0"/>
      <w:r>
        <w:rPr>
          <w:rStyle w:val="CommentReference"/>
        </w:rPr>
        <w:commentReference w:id="0"/>
      </w:r>
      <w:r>
        <w:t xml:space="preserve">) and people </w:t>
      </w:r>
      <w:r w:rsidR="00F15EBB">
        <w:t xml:space="preserve">often </w:t>
      </w:r>
      <w:r>
        <w:t xml:space="preserve">wait in </w:t>
      </w:r>
      <w:r w:rsidR="00F15EBB">
        <w:t xml:space="preserve">food </w:t>
      </w:r>
      <w:r>
        <w:t>line</w:t>
      </w:r>
      <w:r w:rsidR="0009650D">
        <w:t>s</w:t>
      </w:r>
      <w:r>
        <w:t xml:space="preserve"> for </w:t>
      </w:r>
      <w:r w:rsidR="00C20BF9">
        <w:t>2-3</w:t>
      </w:r>
      <w:r>
        <w:t xml:space="preserve"> h per visit. We set the transmission probability between individuals that interact in toilet lines to </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f</m:t>
                    </m:r>
                  </m:sub>
                </m:sSub>
              </m:e>
            </m:d>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eastAsiaTheme="minorEastAsia" w:hAnsi="Cambria Math"/>
          </w:rPr>
          <m:t>=0.0067</m:t>
        </m:r>
      </m:oMath>
      <w:r w:rsidR="008F7695">
        <w:rPr>
          <w:rFonts w:eastAsiaTheme="minorEastAsia"/>
        </w:rPr>
        <w:t xml:space="preserve"> to reflect </w:t>
      </w:r>
      <w:r w:rsidR="002900F8">
        <w:rPr>
          <w:rFonts w:eastAsiaTheme="minorEastAsia"/>
        </w:rPr>
        <w:t>an estimated 0.5</w:t>
      </w:r>
      <w:r w:rsidR="0009650D">
        <w:rPr>
          <w:rFonts w:eastAsiaTheme="minorEastAsia"/>
        </w:rPr>
        <w:t> </w:t>
      </w:r>
      <w:r w:rsidR="002900F8">
        <w:rPr>
          <w:rFonts w:eastAsiaTheme="minorEastAsia"/>
        </w:rPr>
        <w:t xml:space="preserve">h waiting time in toilet lines. We set the transmission rate per interaction during movement about the camp to </w:t>
      </w:r>
      <w:r w:rsidR="0009650D" w:rsidRPr="0009650D">
        <w:rPr>
          <w:rFonts w:eastAsiaTheme="minorEastAsia"/>
          <w:i/>
        </w:rPr>
        <w:t>p</w:t>
      </w:r>
      <w:r w:rsidR="0009650D" w:rsidRPr="0009650D">
        <w:rPr>
          <w:rFonts w:eastAsiaTheme="minorEastAsia"/>
          <w:i/>
          <w:vertAlign w:val="subscript"/>
        </w:rPr>
        <w:t>m</w:t>
      </w:r>
      <w:r w:rsidR="0009650D">
        <w:rPr>
          <w:rFonts w:eastAsiaTheme="minorEastAsia"/>
        </w:rPr>
        <w:t> = </w:t>
      </w:r>
      <w:r w:rsidR="002900F8">
        <w:rPr>
          <w:rFonts w:eastAsiaTheme="minorEastAsia"/>
        </w:rPr>
        <w:t xml:space="preserve">0.006 following Shen and colleagues </w:t>
      </w:r>
      <w:r w:rsidR="00C06641">
        <w:rPr>
          <w:rFonts w:eastAsiaTheme="minorEastAsia"/>
        </w:rPr>
        <w:fldChar w:fldCharType="begin"/>
      </w:r>
      <w:r w:rsidR="004D640B">
        <w:rPr>
          <w:rFonts w:eastAsiaTheme="minorEastAsia"/>
        </w:rPr>
        <w:instrText xml:space="preserve"> ADDIN EN.CITE &lt;EndNote&gt;&lt;Cite&gt;&lt;Author&gt;Shen&lt;/Author&gt;&lt;Year&gt;2020&lt;/Year&gt;&lt;RecNum&gt;2&lt;/RecNum&gt;&lt;DisplayText&gt;[5]&lt;/DisplayText&gt;&lt;record&gt;&lt;rec-number&gt;2&lt;/rec-number&gt;&lt;foreign-keys&gt;&lt;key app="EN" db-id="ddrrrz50rr5zvneesv65wxse229pw5x29v9t" timestamp="1589652381"&gt;2&lt;/key&gt;&lt;/foreign-keys&gt;&lt;ref-type name="Manuscript"&gt;36&lt;/ref-type&gt;&lt;contributors&gt;&lt;authors&gt;&lt;author&gt;Shen, Ye&lt;/author&gt;&lt;author&gt;Xu, Wenjie&lt;/author&gt;&lt;author&gt;Li, Changwei&lt;/author&gt;&lt;author&gt;Handel, Andreas&lt;/author&gt;&lt;author&gt;Martinez, Leonardo&lt;/author&gt;&lt;author&gt;Ling, Feng&lt;/author&gt;&lt;author&gt;Ebell, Mark&lt;/author&gt;&lt;author&gt;Fu, Xiaofei&lt;/author&gt;&lt;author&gt;Pan, Jinren&lt;/author&gt;&lt;author&gt;Ren, Jiangping&lt;/author&gt;&lt;author&gt;Gu, Weiling&lt;/author&gt;&lt;author&gt;Chen, Enfu&lt;/author&gt;&lt;/authors&gt;&lt;/contributors&gt;&lt;titles&gt;&lt;title&gt;A Cluster of COVID-19 Infections Indicating Person-To-Person Transmission among Casual Contacts from Social Gatherings: An Outbreak Case-Contact Investigation&lt;/title&gt;&lt;/titles&gt;&lt;dates&gt;&lt;year&gt;2020&lt;/year&gt;&lt;/dates&gt;&lt;pub-location&gt;SSRN&lt;/pub-location&gt;&lt;urls&gt;&lt;/urls&gt;&lt;electronic-resource-num&gt;10.2139/ssrn.3563064&lt;/electronic-resource-num&gt;&lt;/record&gt;&lt;/Cite&gt;&lt;/EndNote&gt;</w:instrText>
      </w:r>
      <w:r w:rsidR="00C06641">
        <w:rPr>
          <w:rFonts w:eastAsiaTheme="minorEastAsia"/>
        </w:rPr>
        <w:fldChar w:fldCharType="separate"/>
      </w:r>
      <w:r w:rsidR="004D640B">
        <w:rPr>
          <w:rFonts w:eastAsiaTheme="minorEastAsia"/>
          <w:noProof/>
        </w:rPr>
        <w:t>[5]</w:t>
      </w:r>
      <w:r w:rsidR="00C06641">
        <w:rPr>
          <w:rFonts w:eastAsiaTheme="minorEastAsia"/>
        </w:rPr>
        <w:fldChar w:fldCharType="end"/>
      </w:r>
      <w:r w:rsidR="002900F8">
        <w:rPr>
          <w:rFonts w:eastAsiaTheme="minorEastAsia"/>
        </w:rPr>
        <w:t>.</w:t>
      </w:r>
      <w:r w:rsidR="00C06641">
        <w:rPr>
          <w:rFonts w:eastAsiaTheme="minorEastAsia"/>
        </w:rPr>
        <w:t xml:space="preserve"> </w:t>
      </w:r>
      <w:r w:rsidR="0009650D">
        <w:rPr>
          <w:rFonts w:eastAsiaTheme="minorEastAsia"/>
        </w:rPr>
        <w:t>Shen and colleagues reported that 3 of 473 of attendees at three parties with 2 infectious indiv</w:t>
      </w:r>
      <w:bookmarkStart w:id="1" w:name="_GoBack"/>
      <w:bookmarkEnd w:id="1"/>
      <w:r w:rsidR="0009650D">
        <w:rPr>
          <w:rFonts w:eastAsiaTheme="minorEastAsia"/>
        </w:rPr>
        <w:t>iduals became infected, and it is unlikely that the 2 infectious individuals interacted with all of the other attendees. Thus, we think Shen and colleagues estimate may be conservative as a per-interaction transmission probability.</w:t>
      </w:r>
    </w:p>
    <w:p w14:paraId="38D00CD0" w14:textId="77777777" w:rsidR="001B646D" w:rsidRDefault="001B646D"/>
    <w:p w14:paraId="278126F5" w14:textId="77777777" w:rsidR="001B646D" w:rsidRDefault="001B646D"/>
    <w:p w14:paraId="2AFB0040" w14:textId="208849BA" w:rsidR="001B646D" w:rsidRDefault="001B646D">
      <w:r>
        <w:t xml:space="preserve"> </w:t>
      </w:r>
    </w:p>
    <w:p w14:paraId="54D113DF" w14:textId="77777777" w:rsidR="001B646D" w:rsidRDefault="001B646D"/>
    <w:p w14:paraId="3056A17D" w14:textId="77777777" w:rsidR="004D640B" w:rsidRPr="004D640B" w:rsidRDefault="001B646D" w:rsidP="004D640B">
      <w:pPr>
        <w:pStyle w:val="EndNoteBibliography"/>
        <w:rPr>
          <w:noProof/>
        </w:rPr>
      </w:pPr>
      <w:r>
        <w:fldChar w:fldCharType="begin"/>
      </w:r>
      <w:r>
        <w:instrText xml:space="preserve"> ADDIN EN.REFLIST </w:instrText>
      </w:r>
      <w:r>
        <w:fldChar w:fldCharType="separate"/>
      </w:r>
      <w:r w:rsidR="004D640B" w:rsidRPr="004D640B">
        <w:rPr>
          <w:noProof/>
        </w:rPr>
        <w:t>1.</w:t>
      </w:r>
      <w:r w:rsidR="004D640B" w:rsidRPr="004D640B">
        <w:rPr>
          <w:noProof/>
        </w:rPr>
        <w:tab/>
        <w:t xml:space="preserve">Danis K., Epaulard O., Bénet T., Gaymard A., Campoy S., Bothelo-Nevers E., Bouscambert-Duchamp M., Spaccaferri G., Ader F., Mailles A., et al. 2020 Cluster of coronavirus disease 2019 (Covid-19) in the French Alps, 2020. </w:t>
      </w:r>
      <w:r w:rsidR="004D640B" w:rsidRPr="004D640B">
        <w:rPr>
          <w:i/>
          <w:noProof/>
        </w:rPr>
        <w:t>Clinical Infectious Diseases</w:t>
      </w:r>
      <w:r w:rsidR="004D640B" w:rsidRPr="004D640B">
        <w:rPr>
          <w:noProof/>
        </w:rPr>
        <w:t>, ciaa424. (doi:10.1093/cid/ciaa424).</w:t>
      </w:r>
    </w:p>
    <w:p w14:paraId="2DCE3014" w14:textId="77777777" w:rsidR="004D640B" w:rsidRPr="004D640B" w:rsidRDefault="004D640B" w:rsidP="004D640B">
      <w:pPr>
        <w:pStyle w:val="EndNoteBibliography"/>
        <w:rPr>
          <w:noProof/>
        </w:rPr>
      </w:pPr>
      <w:r w:rsidRPr="004D640B">
        <w:rPr>
          <w:noProof/>
        </w:rPr>
        <w:t>2.</w:t>
      </w:r>
      <w:r w:rsidRPr="004D640B">
        <w:rPr>
          <w:noProof/>
        </w:rPr>
        <w:tab/>
        <w:t xml:space="preserve">Liu Y., Eggo R.M., Kucharski A.J. 2020 Secondary attack rate and superspreading events for SARS-CoV-2. </w:t>
      </w:r>
      <w:r w:rsidRPr="004D640B">
        <w:rPr>
          <w:i/>
          <w:noProof/>
        </w:rPr>
        <w:t>Lancet</w:t>
      </w:r>
      <w:r w:rsidRPr="004D640B">
        <w:rPr>
          <w:noProof/>
        </w:rPr>
        <w:t xml:space="preserve"> </w:t>
      </w:r>
      <w:r w:rsidRPr="004D640B">
        <w:rPr>
          <w:b/>
          <w:noProof/>
        </w:rPr>
        <w:t>395</w:t>
      </w:r>
      <w:r w:rsidRPr="004D640B">
        <w:rPr>
          <w:noProof/>
        </w:rPr>
        <w:t>(10227), e47. (doi:10.1016/S0140-6736(20)30462-1).</w:t>
      </w:r>
    </w:p>
    <w:p w14:paraId="206B7711" w14:textId="77777777" w:rsidR="004D640B" w:rsidRPr="004D640B" w:rsidRDefault="004D640B" w:rsidP="004D640B">
      <w:pPr>
        <w:pStyle w:val="EndNoteBibliography"/>
        <w:rPr>
          <w:noProof/>
        </w:rPr>
      </w:pPr>
      <w:r w:rsidRPr="004D640B">
        <w:rPr>
          <w:noProof/>
        </w:rPr>
        <w:t>3.</w:t>
      </w:r>
      <w:r w:rsidRPr="004D640B">
        <w:rPr>
          <w:noProof/>
        </w:rPr>
        <w:tab/>
        <w:t xml:space="preserve">Li W., Zhang B., Lu J., Liu S., Chang Z., Cao P., Liu X., Zhang P., Ling Y., Tao K., et al. 2020 The characteristics of household transmission of COVID-19. </w:t>
      </w:r>
      <w:r w:rsidRPr="004D640B">
        <w:rPr>
          <w:i/>
          <w:noProof/>
        </w:rPr>
        <w:t>Clinical Infectious Diseases</w:t>
      </w:r>
      <w:r w:rsidRPr="004D640B">
        <w:rPr>
          <w:noProof/>
        </w:rPr>
        <w:t>, ciaa450. (doi:10.1093/cid/ciaa450).</w:t>
      </w:r>
    </w:p>
    <w:p w14:paraId="1D4248F7" w14:textId="77777777" w:rsidR="004D640B" w:rsidRPr="004D640B" w:rsidRDefault="004D640B" w:rsidP="004D640B">
      <w:pPr>
        <w:pStyle w:val="EndNoteBibliography"/>
        <w:rPr>
          <w:noProof/>
        </w:rPr>
      </w:pPr>
      <w:r w:rsidRPr="004D640B">
        <w:rPr>
          <w:noProof/>
        </w:rPr>
        <w:t>4.</w:t>
      </w:r>
      <w:r w:rsidRPr="004D640B">
        <w:rPr>
          <w:noProof/>
        </w:rPr>
        <w:tab/>
        <w:t xml:space="preserve">Du Z., Xu X., Wu Y., Wang L., Cowling B.J., Meyers L.A. 2020 Serial Interval of COVID-19 among Publicly Reported Confirmed Cases. </w:t>
      </w:r>
      <w:r w:rsidRPr="004D640B">
        <w:rPr>
          <w:i/>
          <w:noProof/>
        </w:rPr>
        <w:t>Emerg Infect Dis</w:t>
      </w:r>
      <w:r w:rsidRPr="004D640B">
        <w:rPr>
          <w:noProof/>
        </w:rPr>
        <w:t xml:space="preserve"> </w:t>
      </w:r>
      <w:r w:rsidRPr="004D640B">
        <w:rPr>
          <w:b/>
          <w:noProof/>
        </w:rPr>
        <w:t>26</w:t>
      </w:r>
      <w:r w:rsidRPr="004D640B">
        <w:rPr>
          <w:noProof/>
        </w:rPr>
        <w:t>(6), 1341-1343. (doi:10.3201/eid2606.200357).</w:t>
      </w:r>
    </w:p>
    <w:p w14:paraId="26152D39" w14:textId="77777777" w:rsidR="004D640B" w:rsidRPr="004D640B" w:rsidRDefault="004D640B" w:rsidP="004D640B">
      <w:pPr>
        <w:pStyle w:val="EndNoteBibliography"/>
        <w:rPr>
          <w:noProof/>
        </w:rPr>
      </w:pPr>
      <w:r w:rsidRPr="004D640B">
        <w:rPr>
          <w:noProof/>
        </w:rPr>
        <w:t>5.</w:t>
      </w:r>
      <w:r w:rsidRPr="004D640B">
        <w:rPr>
          <w:noProof/>
        </w:rPr>
        <w:tab/>
        <w:t>Shen Y., Xu W., Li C., Handel A., Martinez L., Ling F., Ebell M., Fu X., Pan J., Ren J., et al. 2020 A Cluster of COVID-19 Infections Indicating Person-To-Person Transmission among Casual Contacts from Social Gatherings: An Outbreak Case-Contact Investigation.  (SSRN.</w:t>
      </w:r>
    </w:p>
    <w:p w14:paraId="1374A33D" w14:textId="0226D064" w:rsidR="001B646D" w:rsidRDefault="001B646D">
      <w:r>
        <w:lastRenderedPageBreak/>
        <w:fldChar w:fldCharType="end"/>
      </w:r>
    </w:p>
    <w:sectPr w:rsidR="001B646D" w:rsidSect="00051489">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 Tucker Gilman" w:date="2020-05-16T18:40:00Z" w:initials="RTG">
    <w:p w14:paraId="6BE6DB64" w14:textId="7C647685" w:rsidR="00464D9D" w:rsidRDefault="00464D9D">
      <w:pPr>
        <w:pStyle w:val="CommentText"/>
      </w:pPr>
      <w:r>
        <w:rPr>
          <w:rStyle w:val="CommentReference"/>
        </w:rPr>
        <w:annotationRef/>
      </w:r>
      <w:r>
        <w:t>We should probably add a figure to the main paper to show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E6DB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E6DB64" w16cid:durableId="226AB2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 Tucker Gilman">
    <w15:presenceInfo w15:providerId="None" w15:userId="R. Tucker Gil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roc Royal Soc B&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rrrz50rr5zvneesv65wxse229pw5x29v9t&quot;&gt;COVID&lt;record-ids&gt;&lt;item&gt;1&lt;/item&gt;&lt;item&gt;2&lt;/item&gt;&lt;item&gt;3&lt;/item&gt;&lt;item&gt;10&lt;/item&gt;&lt;item&gt;12&lt;/item&gt;&lt;/record-ids&gt;&lt;/item&gt;&lt;/Libraries&gt;"/>
  </w:docVars>
  <w:rsids>
    <w:rsidRoot w:val="00995AF9"/>
    <w:rsid w:val="00027BB8"/>
    <w:rsid w:val="00031B6F"/>
    <w:rsid w:val="000348D8"/>
    <w:rsid w:val="000502FA"/>
    <w:rsid w:val="00050C53"/>
    <w:rsid w:val="00051489"/>
    <w:rsid w:val="00066048"/>
    <w:rsid w:val="0009650D"/>
    <w:rsid w:val="000B4EE3"/>
    <w:rsid w:val="000B555A"/>
    <w:rsid w:val="000E5689"/>
    <w:rsid w:val="0011600F"/>
    <w:rsid w:val="001262AB"/>
    <w:rsid w:val="0013283F"/>
    <w:rsid w:val="00150038"/>
    <w:rsid w:val="00155229"/>
    <w:rsid w:val="00163BD6"/>
    <w:rsid w:val="0018771E"/>
    <w:rsid w:val="001A2A2C"/>
    <w:rsid w:val="001B646D"/>
    <w:rsid w:val="001C568B"/>
    <w:rsid w:val="001C7225"/>
    <w:rsid w:val="001E31FB"/>
    <w:rsid w:val="001E340B"/>
    <w:rsid w:val="001E4882"/>
    <w:rsid w:val="001E594D"/>
    <w:rsid w:val="001E5C84"/>
    <w:rsid w:val="001F330E"/>
    <w:rsid w:val="002078B7"/>
    <w:rsid w:val="00234947"/>
    <w:rsid w:val="00245345"/>
    <w:rsid w:val="00252C74"/>
    <w:rsid w:val="002900F8"/>
    <w:rsid w:val="00291611"/>
    <w:rsid w:val="002A05CC"/>
    <w:rsid w:val="002B4478"/>
    <w:rsid w:val="002D1DF1"/>
    <w:rsid w:val="002D4BCC"/>
    <w:rsid w:val="00314D4D"/>
    <w:rsid w:val="003218A4"/>
    <w:rsid w:val="00363D6B"/>
    <w:rsid w:val="00363F3A"/>
    <w:rsid w:val="00366E2E"/>
    <w:rsid w:val="003A2EA1"/>
    <w:rsid w:val="003E361A"/>
    <w:rsid w:val="003F70E3"/>
    <w:rsid w:val="00411F4C"/>
    <w:rsid w:val="00440D9D"/>
    <w:rsid w:val="00462A6E"/>
    <w:rsid w:val="00464D9D"/>
    <w:rsid w:val="0049611B"/>
    <w:rsid w:val="004975F0"/>
    <w:rsid w:val="004D4D8F"/>
    <w:rsid w:val="004D640B"/>
    <w:rsid w:val="004E36AD"/>
    <w:rsid w:val="00592F17"/>
    <w:rsid w:val="005F086C"/>
    <w:rsid w:val="00611009"/>
    <w:rsid w:val="00614D35"/>
    <w:rsid w:val="00643433"/>
    <w:rsid w:val="00663565"/>
    <w:rsid w:val="00690A3A"/>
    <w:rsid w:val="006A41FB"/>
    <w:rsid w:val="006C2283"/>
    <w:rsid w:val="006D3A2D"/>
    <w:rsid w:val="007245FF"/>
    <w:rsid w:val="00785206"/>
    <w:rsid w:val="007A69C9"/>
    <w:rsid w:val="007B7100"/>
    <w:rsid w:val="007C1C9B"/>
    <w:rsid w:val="007C30F3"/>
    <w:rsid w:val="007C4CDB"/>
    <w:rsid w:val="007D79F0"/>
    <w:rsid w:val="00806F42"/>
    <w:rsid w:val="00841521"/>
    <w:rsid w:val="00850A6A"/>
    <w:rsid w:val="008628F9"/>
    <w:rsid w:val="00864B06"/>
    <w:rsid w:val="00865669"/>
    <w:rsid w:val="00893B91"/>
    <w:rsid w:val="008B0C1C"/>
    <w:rsid w:val="008C5E54"/>
    <w:rsid w:val="008D109B"/>
    <w:rsid w:val="008D3AC7"/>
    <w:rsid w:val="008F7695"/>
    <w:rsid w:val="00900D64"/>
    <w:rsid w:val="00914A60"/>
    <w:rsid w:val="00915782"/>
    <w:rsid w:val="00970C5D"/>
    <w:rsid w:val="00995AF9"/>
    <w:rsid w:val="009C2DD7"/>
    <w:rsid w:val="009C560C"/>
    <w:rsid w:val="009D6E96"/>
    <w:rsid w:val="009E2C04"/>
    <w:rsid w:val="00A0724F"/>
    <w:rsid w:val="00A102BC"/>
    <w:rsid w:val="00A506D2"/>
    <w:rsid w:val="00A62C44"/>
    <w:rsid w:val="00A7441C"/>
    <w:rsid w:val="00AA04D5"/>
    <w:rsid w:val="00AA4069"/>
    <w:rsid w:val="00AC7160"/>
    <w:rsid w:val="00AE7120"/>
    <w:rsid w:val="00B26B1F"/>
    <w:rsid w:val="00B272BA"/>
    <w:rsid w:val="00B41924"/>
    <w:rsid w:val="00B46E5E"/>
    <w:rsid w:val="00B52551"/>
    <w:rsid w:val="00B9043B"/>
    <w:rsid w:val="00BA20EF"/>
    <w:rsid w:val="00BC6CD2"/>
    <w:rsid w:val="00BE72F3"/>
    <w:rsid w:val="00BE7816"/>
    <w:rsid w:val="00C06641"/>
    <w:rsid w:val="00C123BE"/>
    <w:rsid w:val="00C20BF9"/>
    <w:rsid w:val="00C20F56"/>
    <w:rsid w:val="00C41BAD"/>
    <w:rsid w:val="00C560D4"/>
    <w:rsid w:val="00CA3034"/>
    <w:rsid w:val="00D10620"/>
    <w:rsid w:val="00D7021E"/>
    <w:rsid w:val="00D77717"/>
    <w:rsid w:val="00D95C83"/>
    <w:rsid w:val="00DB0A10"/>
    <w:rsid w:val="00DE5854"/>
    <w:rsid w:val="00E05A87"/>
    <w:rsid w:val="00E06719"/>
    <w:rsid w:val="00E261EB"/>
    <w:rsid w:val="00E26F63"/>
    <w:rsid w:val="00E439CF"/>
    <w:rsid w:val="00E50102"/>
    <w:rsid w:val="00E5432C"/>
    <w:rsid w:val="00E8491E"/>
    <w:rsid w:val="00E86736"/>
    <w:rsid w:val="00E91608"/>
    <w:rsid w:val="00E9180B"/>
    <w:rsid w:val="00E9390B"/>
    <w:rsid w:val="00EB0CFB"/>
    <w:rsid w:val="00EC3B75"/>
    <w:rsid w:val="00EC4662"/>
    <w:rsid w:val="00EC692D"/>
    <w:rsid w:val="00ED3C41"/>
    <w:rsid w:val="00EE2E67"/>
    <w:rsid w:val="00F15EBB"/>
    <w:rsid w:val="00F31932"/>
    <w:rsid w:val="00F33154"/>
    <w:rsid w:val="00F35305"/>
    <w:rsid w:val="00F5563E"/>
    <w:rsid w:val="00F7219E"/>
    <w:rsid w:val="00F7515C"/>
    <w:rsid w:val="00FA78EC"/>
    <w:rsid w:val="00FB6CFE"/>
    <w:rsid w:val="00FE69B3"/>
    <w:rsid w:val="00FF2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EFFF"/>
  <w14:defaultImageDpi w14:val="32767"/>
  <w15:chartTrackingRefBased/>
  <w15:docId w15:val="{9B3BCF1D-651A-754F-8FC9-9E67E902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5E54"/>
    <w:rPr>
      <w:sz w:val="16"/>
      <w:szCs w:val="16"/>
    </w:rPr>
  </w:style>
  <w:style w:type="paragraph" w:styleId="CommentText">
    <w:name w:val="annotation text"/>
    <w:basedOn w:val="Normal"/>
    <w:link w:val="CommentTextChar"/>
    <w:uiPriority w:val="99"/>
    <w:semiHidden/>
    <w:unhideWhenUsed/>
    <w:rsid w:val="008C5E54"/>
    <w:rPr>
      <w:sz w:val="20"/>
      <w:szCs w:val="20"/>
    </w:rPr>
  </w:style>
  <w:style w:type="character" w:customStyle="1" w:styleId="CommentTextChar">
    <w:name w:val="Comment Text Char"/>
    <w:basedOn w:val="DefaultParagraphFont"/>
    <w:link w:val="CommentText"/>
    <w:uiPriority w:val="99"/>
    <w:semiHidden/>
    <w:rsid w:val="008C5E54"/>
    <w:rPr>
      <w:sz w:val="20"/>
      <w:szCs w:val="20"/>
    </w:rPr>
  </w:style>
  <w:style w:type="paragraph" w:styleId="CommentSubject">
    <w:name w:val="annotation subject"/>
    <w:basedOn w:val="CommentText"/>
    <w:next w:val="CommentText"/>
    <w:link w:val="CommentSubjectChar"/>
    <w:uiPriority w:val="99"/>
    <w:semiHidden/>
    <w:unhideWhenUsed/>
    <w:rsid w:val="008C5E54"/>
    <w:rPr>
      <w:b/>
      <w:bCs/>
    </w:rPr>
  </w:style>
  <w:style w:type="character" w:customStyle="1" w:styleId="CommentSubjectChar">
    <w:name w:val="Comment Subject Char"/>
    <w:basedOn w:val="CommentTextChar"/>
    <w:link w:val="CommentSubject"/>
    <w:uiPriority w:val="99"/>
    <w:semiHidden/>
    <w:rsid w:val="008C5E54"/>
    <w:rPr>
      <w:b/>
      <w:bCs/>
      <w:sz w:val="20"/>
      <w:szCs w:val="20"/>
    </w:rPr>
  </w:style>
  <w:style w:type="paragraph" w:styleId="BalloonText">
    <w:name w:val="Balloon Text"/>
    <w:basedOn w:val="Normal"/>
    <w:link w:val="BalloonTextChar"/>
    <w:uiPriority w:val="99"/>
    <w:semiHidden/>
    <w:unhideWhenUsed/>
    <w:rsid w:val="008C5E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5E54"/>
    <w:rPr>
      <w:rFonts w:ascii="Times New Roman" w:hAnsi="Times New Roman" w:cs="Times New Roman"/>
      <w:sz w:val="18"/>
      <w:szCs w:val="18"/>
    </w:rPr>
  </w:style>
  <w:style w:type="character" w:styleId="PlaceholderText">
    <w:name w:val="Placeholder Text"/>
    <w:basedOn w:val="DefaultParagraphFont"/>
    <w:uiPriority w:val="99"/>
    <w:semiHidden/>
    <w:rsid w:val="00314D4D"/>
    <w:rPr>
      <w:color w:val="808080"/>
    </w:rPr>
  </w:style>
  <w:style w:type="table" w:styleId="TableGrid">
    <w:name w:val="Table Grid"/>
    <w:basedOn w:val="TableNormal"/>
    <w:uiPriority w:val="39"/>
    <w:rsid w:val="00DE5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B646D"/>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1B646D"/>
    <w:rPr>
      <w:rFonts w:ascii="Calibri" w:hAnsi="Calibri" w:cs="Calibri"/>
      <w:lang w:val="en-US"/>
    </w:rPr>
  </w:style>
  <w:style w:type="paragraph" w:customStyle="1" w:styleId="EndNoteBibliography">
    <w:name w:val="EndNote Bibliography"/>
    <w:basedOn w:val="Normal"/>
    <w:link w:val="EndNoteBibliographyChar"/>
    <w:rsid w:val="001B646D"/>
    <w:rPr>
      <w:rFonts w:ascii="Calibri" w:hAnsi="Calibri" w:cs="Calibri"/>
      <w:lang w:val="en-US"/>
    </w:rPr>
  </w:style>
  <w:style w:type="character" w:customStyle="1" w:styleId="EndNoteBibliographyChar">
    <w:name w:val="EndNote Bibliography Char"/>
    <w:basedOn w:val="DefaultParagraphFont"/>
    <w:link w:val="EndNoteBibliography"/>
    <w:rsid w:val="001B646D"/>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Tucker Gilman</dc:creator>
  <cp:keywords/>
  <dc:description/>
  <cp:lastModifiedBy>R. Tucker Gilman</cp:lastModifiedBy>
  <cp:revision>8</cp:revision>
  <dcterms:created xsi:type="dcterms:W3CDTF">2020-05-16T13:35:00Z</dcterms:created>
  <dcterms:modified xsi:type="dcterms:W3CDTF">2020-06-01T18:35:00Z</dcterms:modified>
</cp:coreProperties>
</file>