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线性规划上机习题问题1" w:id="0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线性规划上机习题</w:t>
      </w:r>
      <w:r>
        <w:rPr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问题</w:t>
      </w:r>
      <w:r>
        <w:rPr>
          <w:rtl w:val="0"/>
        </w:rPr>
        <w:t>1</w:t>
      </w:r>
      <w:bookmarkEnd w:id="0"/>
    </w:p>
    <w:p>
      <w:pPr>
        <w:pStyle w:val="Heading 2"/>
      </w:pPr>
      <w:bookmarkStart w:name="问题重述" w:id="1"/>
      <w:r>
        <w:rPr>
          <w:rFonts w:cs="Arial Unicode MS" w:eastAsia="Arial Unicode MS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问题重述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某厂生产甲乙两种产品，每百箱甲产品需用原料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千克，工人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名，可获利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万元；每百箱乙产品需用原料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千克，工人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20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名，可获利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万元。现如今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工厂共有原料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60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千克，工人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150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名，又由于其他条件所限，甲产品产量不超过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百箱。问：如何安排生产计划，即两种产品各生产多少使得获利最大。并且请进一步讨论：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</w:t>
      </w:r>
      <w:r>
        <w:rPr>
          <w:rFonts w:ascii="Cambria" w:hAnsi="Cambria" w:eastAsia="Arial Unicode MS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）若投资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0.8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万元可增加原料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千克，问是否作这项投资？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</w:t>
      </w:r>
      <w:r>
        <w:rPr>
          <w:rFonts w:ascii="Cambria" w:hAnsi="Cambria" w:eastAsia="Arial Unicode MS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）若每百箱甲产品获利可增加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 </w:t>
      </w:r>
      <w:r>
        <w:rPr>
          <w:rtl w:val="0"/>
          <w:lang w:val="en-US"/>
        </w:rPr>
        <w:t>万元，问是否改变生产计划？</w:t>
      </w:r>
      <w:bookmarkEnd w:id="1"/>
    </w:p>
    <w:p>
      <w:pPr>
        <w:pStyle w:val="Heading 2"/>
      </w:pPr>
      <w:bookmarkStart w:name="变量设置" w:id="2"/>
      <w:r>
        <w:rPr>
          <w:rFonts w:cs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变量设置</w:t>
      </w:r>
    </w:p>
    <w:p>
      <w:pPr>
        <w:pStyle w:val="First Paragraph"/>
        <w:rPr>
          <w:color w:val="000000"/>
          <w:sz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现设该工厂生产甲种产品数量为</w:t>
      </w:r>
      <w:r>
        <w:rPr>
          <w:rFonts w:ascii="Cambria" w:hAnsi="Cambria" w:eastAsia="Arial Unicode MS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1</m:t>
            </m:r>
          </m:sub>
        </m:sSub>
      </m:oMath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（单位：百箱），生产乙种产品数量为</w:t>
      </w:r>
      <w:r>
        <w:rPr>
          <w:rFonts w:ascii="Cambria" w:hAnsi="Cambria" w:eastAsia="Arial Unicode MS"/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tl w:val="0"/>
          <w:lang w:val="en-US"/>
        </w:rPr>
        <w:t>（单位：百箱）。</w:t>
      </w:r>
      <w:bookmarkEnd w:id="2"/>
    </w:p>
    <w:p>
      <w:pPr>
        <w:pStyle w:val="Heading 2"/>
      </w:pPr>
      <w:bookmarkStart w:name="模型建立" w:id="3"/>
      <w:r>
        <w:rPr>
          <w:rFonts w:cs="Arial Unicode MS" w:eastAsia="Arial Unicode MS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模型建立</w:t>
      </w:r>
    </w:p>
    <w:p>
      <w:pPr>
        <w:pStyle w:val="First Paragraph"/>
        <w:rPr>
          <w:color w:val="000000"/>
          <w:sz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对于最优获利问题，可确定最大化目标函数：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m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10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9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。接着考虑题目中提到的约束条件：</w:t>
      </w:r>
    </w:p>
    <w:p>
      <w:pPr>
        <w:pStyle w:val="Compact"/>
        <w:numPr>
          <w:ilvl w:val="0"/>
          <w:numId w:val="2"/>
        </w:numPr>
        <w:rPr>
          <w:color w:val="000000"/>
          <w:sz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产品原料约束：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6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5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60</m:t>
        </m:r>
      </m:oMath>
      <w:r>
        <w:rPr>
          <w:rFonts w:ascii="Cambria" w:hAnsi="Cambria"/>
          <w:rtl w:val="0"/>
          <w:lang w:val="en-US"/>
        </w:rPr>
        <w:t>.</w:t>
      </w:r>
    </w:p>
    <w:p>
      <w:pPr>
        <w:pStyle w:val="Compact"/>
        <w:numPr>
          <w:ilvl w:val="0"/>
          <w:numId w:val="2"/>
        </w:numPr>
        <w:rPr>
          <w:color w:val="000000"/>
          <w:sz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工人数量约束：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10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20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150</m:t>
        </m:r>
      </m:oMath>
      <w:r>
        <w:rPr>
          <w:rFonts w:ascii="Cambria" w:hAnsi="Cambria"/>
          <w:rtl w:val="0"/>
          <w:lang w:val="en-US"/>
        </w:rPr>
        <w:t>.</w:t>
      </w:r>
    </w:p>
    <w:p>
      <w:pPr>
        <w:pStyle w:val="Compact"/>
        <w:numPr>
          <w:ilvl w:val="0"/>
          <w:numId w:val="2"/>
        </w:numPr>
        <w:rPr>
          <w:color w:val="000000"/>
          <w:sz w:val="24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产品数量约束：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8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≥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0</m:t>
        </m:r>
      </m:oMath>
      <w:r>
        <w:rPr>
          <w:rFonts w:ascii="Cambria" w:hAnsi="Cambria"/>
          <w:rtl w:val="0"/>
          <w:lang w:val="en-US"/>
        </w:rPr>
        <w:t>.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综合上述，可以建立数学模型：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/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9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e>
            </m:mr>
            <m:m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/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6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5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60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20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150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/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</m:t>
                </m:r>
              </m:e>
            </m:mr>
          </m:m>
        </m:oMath>
      </m:oMathPara>
      <w:bookmarkEnd w:id="3"/>
    </w:p>
    <w:p>
      <w:pPr>
        <w:pStyle w:val="Heading 3"/>
      </w:pPr>
      <w:bookmarkStart w:name="问题求解" w:id="4"/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问题求解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方法</w:t>
      </w:r>
      <w:r>
        <w:rPr>
          <w:rFonts w:ascii="Cambria" w:hAnsi="Cambria" w:eastAsia="Arial Unicode MS"/>
          <w:rtl w:val="0"/>
          <w:lang w:val="en-US"/>
        </w:rPr>
        <w:t xml:space="preserve">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由于仅有两个决策变量，进而可以使用图解法求解，如下图所示：</w:t>
      </w: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Captioned Figure"/>
      </w:pPr>
    </w:p>
    <w:p>
      <w:pPr>
        <w:pStyle w:val="Body Tex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方法</w:t>
      </w:r>
      <w:r>
        <w:rPr>
          <w:rtl w:val="0"/>
          <w:lang w:val="en-US"/>
        </w:rPr>
        <w:t xml:space="preserve">2: lingo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求解，程序代码如下：</w:t>
      </w:r>
    </w:p>
    <w:p>
      <w:pPr>
        <w:pStyle w:val="Source Code"/>
      </w:pP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model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:</w:t>
      </w:r>
      <w:r>
        <w:br w:type="textWrapping"/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max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+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x2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material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+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&lt;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worker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+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*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&lt;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cpct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&lt;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b w:val="1"/>
          <w:bCs w:val="1"/>
          <w:outline w:val="0"/>
          <w:color w:val="007020"/>
          <w:sz w:val="22"/>
          <w:szCs w:val="22"/>
          <w:u w:color="007020"/>
          <w:rtl w:val="0"/>
          <w:lang w:val="en-US"/>
          <w14:textFill>
            <w14:solidFill>
              <w14:srgbClr w14:val="007020"/>
            </w14:solidFill>
          </w14:textFill>
        </w:rPr>
        <w:t>end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运行结果：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Variable           Value        Reduced Cost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X1        6.428571            0.000000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X2        4.2857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2002604</wp:posOffset>
            </wp:positionH>
            <wp:positionV relativeFrom="page">
              <wp:posOffset>198633</wp:posOffset>
            </wp:positionV>
            <wp:extent cx="3767191" cy="4068567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191" cy="4068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14            0.000000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Row    Slack or Surplus      Dual Price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1        102.8571            1.000000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MATERIAL        0.000000            1.571429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WORKER        0.000000           0.5714286E-01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CPCT        1.571429            0.000000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方法</w:t>
      </w:r>
      <w:r>
        <w:rPr>
          <w:rFonts w:ascii="Cambria" w:hAnsi="Cambria" w:eastAsia="Arial Unicode MS"/>
          <w:rtl w:val="0"/>
          <w:lang w:val="en-US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：</w:t>
      </w:r>
      <w:r>
        <w:rPr>
          <w:rFonts w:ascii="Cambria" w:hAnsi="Cambria" w:eastAsia="Arial Unicode MS"/>
          <w:rtl w:val="0"/>
          <w:lang w:val="en-US"/>
        </w:rPr>
        <w:t xml:space="preserve">Matlab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求解，程序代码如下：</w:t>
      </w:r>
    </w:p>
    <w:p>
      <w:pPr>
        <w:pStyle w:val="Source Code"/>
      </w:pP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[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A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[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b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[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150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lb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zeros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fval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linprog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A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[]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[]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lb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,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[])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;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运行结果（注意由于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linprog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适用最小化问题，求解时将取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-f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，最终结果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将取负号）：</w:t>
      </w:r>
    </w:p>
    <w:p>
      <w:pPr>
        <w:pStyle w:val="Source Code"/>
      </w:pP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x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6.4286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4.2857</w:t>
      </w:r>
      <w:r>
        <w:br w:type="textWrapping"/>
      </w:r>
      <w:r>
        <w:rPr>
          <w:rFonts w:ascii="Consolas" w:cs="Consolas" w:hAnsi="Consolas" w:eastAsia="Consolas"/>
          <w:outline w:val="0"/>
          <w:color w:val="19177c"/>
          <w:sz w:val="22"/>
          <w:szCs w:val="22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fval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666666"/>
          <w:sz w:val="22"/>
          <w:szCs w:val="22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-</w:t>
      </w:r>
      <w:r>
        <w:rPr>
          <w:rFonts w:ascii="Consolas" w:cs="Consolas" w:hAnsi="Consolas" w:eastAsia="Consolas"/>
          <w:outline w:val="0"/>
          <w:color w:val="40a070"/>
          <w:sz w:val="22"/>
          <w:szCs w:val="22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102.8571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最终，在实际问题中，将得到的结果取整，可知该工厂应该生产甲种产品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643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箱，乙种产品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428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箱，获利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102.82 </w:t>
      </w:r>
      <w:r>
        <w:rPr>
          <w:rtl w:val="0"/>
          <w:lang w:val="en-US"/>
        </w:rPr>
        <w:t>万元。</w:t>
      </w:r>
      <w:bookmarkEnd w:id="4"/>
    </w:p>
    <w:p>
      <w:pPr>
        <w:pStyle w:val="Heading 2"/>
      </w:pPr>
      <w:bookmarkStart w:name="问题延伸" w:id="5"/>
      <w:r>
        <w:rPr>
          <w:rFonts w:cs="Arial Unicode MS" w:eastAsia="Arial Unicode MS"/>
          <w:rtl w:val="0"/>
        </w:rPr>
        <w:t xml:space="preserve">4 </w:t>
      </w:r>
      <w:r>
        <w:rPr>
          <w:rFonts w:ascii="Arial Unicode MS" w:cs="Arial Unicode MS" w:hAnsi="Arial Unicode MS" w:hint="eastAsia"/>
          <w:rtl w:val="0"/>
          <w:lang w:val="en-US"/>
        </w:rPr>
        <w:t>问题延伸</w:t>
      </w:r>
      <w:bookmarkEnd w:id="5"/>
    </w:p>
    <w:p>
      <w:pPr>
        <w:pStyle w:val="Heading 3"/>
      </w:pPr>
      <w:bookmarkStart w:name="对于讨论1" w:id="6"/>
      <w:r>
        <w:rPr>
          <w:rFonts w:cs="Arial Unicode MS" w:eastAsia="Arial Unicode MS"/>
          <w:rtl w:val="0"/>
        </w:rPr>
        <w:t xml:space="preserve">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对于讨论</w:t>
      </w:r>
      <w:r>
        <w:rPr>
          <w:rFonts w:cs="Arial Unicode MS" w:eastAsia="Arial Unicode MS"/>
          <w:rtl w:val="0"/>
        </w:rPr>
        <w:t>1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问题：若投资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0.8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万元可增加原料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千克，问是否作这项投资？</w:t>
      </w:r>
    </w:p>
    <w:p>
      <w:pPr>
        <w:pStyle w:val="Body Tex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分析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lingo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求解所得结果，其中原料的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影子价格</w:t>
      </w:r>
      <w:r>
        <w:rPr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（</w:t>
      </w:r>
      <w:r>
        <w:rPr>
          <w:rtl w:val="0"/>
          <w:lang w:val="en-US"/>
        </w:rPr>
        <w:t>Dual Price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）约为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1.57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万元，即在其余约束条件不变的情况下，原料每增加</w:t>
      </w:r>
      <w:r>
        <w:rPr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千克，获利可增加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1.57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万元。因此，若投资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0.8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万元可增加原料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千克，增加原料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千克仍可获利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0.77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万元，故应该作这项投资。</w:t>
      </w:r>
    </w:p>
    <w:p>
      <w:pPr>
        <w:pStyle w:val="Body Text"/>
        <w:rPr>
          <w:color w:val="000000"/>
          <w:sz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继续延伸可以追问，最多可以投资购买多少原料不至于亏本呢？这个问题的结果无法直接从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lingo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的结果数据中看出来，但不难求解，只需增加变元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3</m:t>
            </m:r>
          </m:sub>
        </m:sSub>
      </m:oMath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作为投资购买原料的数量，将模型转化为：</w:t>
      </w:r>
    </w:p>
    <w:p>
      <w:pPr>
        <w:pStyle w:val="Body Text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/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9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−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0.8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*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</m:e>
            </m:mr>
            <m:m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.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/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6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5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−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60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20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150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/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0</m:t>
                </m:r>
              </m:e>
            </m:mr>
          </m:m>
        </m:oMath>
      </m:oMathPara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利用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lingo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求解可以得到如下结果：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Variable           Value        Reduced Cost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X1        8.000000            0.000000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X2        3.500000            0.000000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X3        5.500000            0.000000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Row    Slack or Surplus      Dual Price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1        107.1000            1.000000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MATERIAL        0.000000           0.8000000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WORKER        0.000000           0.2500000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CPCT        0.000000            2.700000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因此，可以知道最多可以投资购买原料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5.5 </w:t>
      </w:r>
      <w:r>
        <w:rPr>
          <w:rtl w:val="0"/>
          <w:lang w:val="en-US"/>
        </w:rPr>
        <w:t>千克，再投资就会亏本了。</w:t>
      </w:r>
      <w:bookmarkEnd w:id="6"/>
    </w:p>
    <w:p>
      <w:pPr>
        <w:pStyle w:val="Heading 3"/>
      </w:pPr>
      <w:bookmarkStart w:name="对于讨论2" w:id="7"/>
      <w:r>
        <w:rPr>
          <w:rFonts w:cs="Arial Unicode MS" w:eastAsia="Arial Unicode MS"/>
          <w:rtl w:val="0"/>
        </w:rPr>
        <w:t xml:space="preserve">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对于讨论</w:t>
      </w:r>
      <w:r>
        <w:rPr>
          <w:rFonts w:cs="Arial Unicode MS" w:eastAsia="Arial Unicode MS"/>
          <w:rtl w:val="0"/>
        </w:rPr>
        <w:t>2</w:t>
      </w:r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问题：若每百箱甲产品获利可增加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万元，问是否改变生产计划？</w:t>
      </w:r>
    </w:p>
    <w:p>
      <w:pPr>
        <w:pStyle w:val="Body Tex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运用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lingo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进行灵敏性分析（</w:t>
      </w:r>
      <w:r>
        <w:rPr>
          <w:rtl w:val="0"/>
          <w:lang w:val="en-US"/>
        </w:rPr>
        <w:t>LINGO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｜</w:t>
      </w:r>
      <w:r>
        <w:rPr>
          <w:rtl w:val="0"/>
          <w:lang w:val="en-US"/>
        </w:rPr>
        <w:t>Ranges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），可以继续得到如下结果：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Objective Coefficient Ranges: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Current        Allowable        Allowable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Variable      Coefficient         Increase         Decrease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X1         10.00000        0.8000000         5.500000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X2         9.000000         11.00000        0.6666667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Righthand Side Ranges: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Current        Allowable        Allowable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Row              RHS         Increase         Decrease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MATERIAL         60.00000         5.500000         22.50000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WORKER         150.0000         90.00000         22.00000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CPCT         8.000000         INFINITY         1.571429</w:t>
      </w:r>
    </w:p>
    <w:p>
      <w:pPr>
        <w:pStyle w:val="First Paragraph"/>
        <w:rPr>
          <w:color w:val="000000"/>
          <w:sz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记</w:t>
      </w:r>
      <w:r>
        <w:rPr>
          <w:rFonts w:ascii="Cambria" w:hAnsi="Cambria" w:eastAsia="Arial Unicode MS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f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sepChr m:val="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，分析所得结果，可以知道在最优解不变时目标函数的系数允许的变化范围为：</w:t>
      </w:r>
    </w:p>
    <w:p>
      <w:pPr>
        <w:pStyle w:val="First Paragraph"/>
        <w:rPr>
          <w:color w:val="000000"/>
          <w:sz w:val="24"/>
        </w:rPr>
      </w:pPr>
      <w:r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sepChr m:val="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4.50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10.80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∈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</m:ctrlPr>
            <m:sepChr m:val=""/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8.33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,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20.00</m:t>
            </m:r>
          </m:e>
        </m:d>
      </m:oMath>
    </w:p>
    <w:p>
      <w:pPr>
        <w:pStyle w:val="First Paragraph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故在其余约束条件不变的情况下，若每百箱甲产品获利增加</w:t>
      </w:r>
      <w:r>
        <w:rPr>
          <w:rFonts w:ascii="Cambria" w:hAnsi="Cambria" w:eastAsia="Arial Unicode MS"/>
          <w:rtl w:val="0"/>
          <w:lang w:val="en-US"/>
        </w:rPr>
        <w:t xml:space="preserve"> </w:t>
      </w:r>
      <w:r>
        <w:rPr>
          <w:rFonts w:ascii="Cambria" w:hAnsi="Cambria" w:eastAsia="Arial Unicode MS"/>
          <w:rtl w:val="0"/>
          <w:lang w:val="en-US"/>
        </w:rPr>
        <w:t xml:space="preserve">1 </w:t>
      </w:r>
      <w:r>
        <w:rPr>
          <w:rtl w:val="0"/>
          <w:lang w:val="en-US"/>
        </w:rPr>
        <w:t>万元，生产计划要改变。</w:t>
      </w:r>
      <w:bookmarkEnd w:id="7"/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mbri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Captioned Figure">
    <w:name w:val="Captioned Figure"/>
    <w:next w:val="Captioned Figu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