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i w:val="false"/>
          <w:iCs w:val="false"/>
          <w:color w:val="000000"/>
          <w:sz w:val="36"/>
          <w:szCs w:val="36"/>
        </w:rPr>
        <w:t xml:space="preserve">AI VERIFY GAP ANALYSIS</w:t>
      </w:r>
    </w:p>
    <w:p>
      <w:pPr>
        <w:jc w:val="center"/>
      </w:pPr>
      <w:r>
        <w:rPr>
          <w:rFonts w:ascii="Arial" w:cs="Arial" w:eastAsia="Arial" w:hAnsi="Arial"/>
          <w:b w:val="false"/>
          <w:bCs w:val="false"/>
          <w:i w:val="false"/>
          <w:iCs w:val="false"/>
          <w:color w:val="555555"/>
          <w:sz w:val="24"/>
          <w:szCs w:val="24"/>
        </w:rPr>
        <w:t xml:space="preserve">Agentic ETL Architect — IMDA Agentic Governance Project</w:t>
      </w:r>
    </w:p>
    <w:p>
      <w:r>
        <w:t xml:space="preserve"/>
      </w:r>
    </w:p>
    <w:p>
      <w:pPr>
        <w:jc w:val="center"/>
      </w:pPr>
      <w:r>
        <w:rPr>
          <w:rFonts w:ascii="Arial" w:cs="Arial" w:eastAsia="Arial" w:hAnsi="Arial"/>
          <w:b w:val="false"/>
          <w:bCs w:val="false"/>
          <w:i w:val="false"/>
          <w:iCs w:val="false"/>
          <w:color w:val="777777"/>
          <w:sz w:val="22"/>
          <w:szCs w:val="22"/>
        </w:rPr>
        <w:t xml:space="preserve">Version 1.3  |  29 March 2026  |  Singapore</w:t>
      </w:r>
    </w:p>
    <w:p>
      <w:r>
        <w:t xml:space="preserve"/>
      </w:r>
    </w:p>
    <w:p>
      <w:r>
        <w:t xml:space="preserve"/>
      </w:r>
    </w:p>
    <w:p>
      <w:pPr>
        <w:pStyle w:val="Heading1"/>
      </w:pPr>
      <w:r>
        <w:rPr>
          <w:rFonts w:ascii="Arial" w:cs="Arial" w:eastAsia="Arial" w:hAnsi="Arial"/>
        </w:rPr>
        <w:t xml:space="preserve">1. Document Purpose</w:t>
      </w:r>
    </w:p>
    <w:p>
      <w:pPr>
        <w:jc w:val="left"/>
      </w:pPr>
      <w:r>
        <w:rPr>
          <w:rFonts w:ascii="Arial" w:cs="Arial" w:eastAsia="Arial" w:hAnsi="Arial"/>
          <w:b w:val="false"/>
          <w:bCs w:val="false"/>
          <w:i w:val="false"/>
          <w:iCs w:val="false"/>
          <w:color w:val="000000"/>
          <w:sz w:val="22"/>
          <w:szCs w:val="22"/>
        </w:rPr>
        <w:t xml:space="preserve">This document is a structured self-assessment of the Agentic ETL Architect project against all 11 principles of the IMDA AI Verify Testing Framework (2025 Edition). It tracks gap closure across versions and identifies what remains outstanding before formal AI Verify submission in v1.5.</w:t>
      </w:r>
    </w:p>
    <w:p>
      <w:r>
        <w:t xml:space="preserve"/>
      </w:r>
    </w:p>
    <w:p>
      <w:pPr>
        <w:jc w:val="left"/>
      </w:pPr>
      <w:r>
        <w:rPr>
          <w:rFonts w:ascii="Arial" w:cs="Arial" w:eastAsia="Arial" w:hAnsi="Arial"/>
          <w:b w:val="false"/>
          <w:bCs w:val="false"/>
          <w:i w:val="false"/>
          <w:iCs w:val="false"/>
          <w:color w:val="000000"/>
          <w:sz w:val="22"/>
          <w:szCs w:val="22"/>
        </w:rPr>
        <w:t xml:space="preserve">Identifying and documenting gaps honestly — before claiming compliance — is itself a governance best practice and is precisely what the AI Verify framework expects organisations to do.</w:t>
      </w:r>
    </w:p>
    <w:p>
      <w:r>
        <w:t xml:space="preserve"/>
      </w:r>
    </w:p>
    <w:p>
      <w:pPr>
        <w:pStyle w:val="Heading1"/>
      </w:pPr>
      <w:r>
        <w:rPr>
          <w:rFonts w:ascii="Arial" w:cs="Arial" w:eastAsia="Arial" w:hAnsi="Arial"/>
        </w:rPr>
        <w:t xml:space="preserve">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Changed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Mar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assessment — functional prototype. Most principles at Low.</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Mar 2026</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Foundation hardening — SQL injection fix, UUID audit, HITL timeout. P5, P9 improved.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 Mar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Two-person HITL gate — supervisor PIN, three-strike lockout, Gmail escalation. P9, P10 moved to High.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 Mar 2026</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hardening — 23 injection patterns, sanitisation, rate limiting. P4, P5, P6 improved.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 Mar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 test suite — 7 scripts, 134 tests, 0 failures. Evidence generated for P2, P3, P4, P5, P6, P8, P9, P10.</w:t>
            </w:r>
          </w:p>
        </w:tc>
      </w:tr>
    </w:tbl>
    <w:p>
      <w:r>
        <w:t xml:space="preserve"/>
      </w:r>
    </w:p>
    <w:p>
      <w:pPr>
        <w:pStyle w:val="Heading1"/>
      </w:pPr>
      <w:r>
        <w:rPr>
          <w:rFonts w:ascii="Arial" w:cs="Arial" w:eastAsia="Arial" w:hAnsi="Arial"/>
        </w:rPr>
        <w:t xml:space="preserve">3. Current Readiness Summary — v1.3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2800"/>
        <w:gridCol w:w="2060"/>
        <w:gridCol w:w="10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Readiness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 Available</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Remaining Gap</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Transparency</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7A5A00"/>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README, build journal, honest gap disclosures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Card, Materiality Assessment, Acceptable Use Policy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v1.4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Explainability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test_similarity.py — 10/10 passing. Similarity scores shown in output. [AI-GENERATED] labels on all output.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Reproducibility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suite — 134 tests, 0 failures. requirements.txt pinned versions. Deterministic pipeline.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Safety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test_injection.py — 33/33 passing. 23 patterns blocked. Injection never reaches data layer.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Formal safety assessment document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v1.4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test_injection.py, test_rate_limit.py. SHA-256 PIN hashing. Parameterised queries. Rate limiting.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Penetration test (out of scope for portfolio)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v1.5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Robustness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test_sanitisation.py — 18/18 passing. Malformed inputs handled cleanly. Fail-open on monitoring error.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Fairness</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color w:val="7A1F1F"/>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Synthetic data only — no demographic bias analysis conducted.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Fairness assessment on real data. Bias testing.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v1.4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Governance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test_rbac.py — 34/34 passing. All roles verified. PDPA data residency (asia-southeast1). Synthetic data only.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Column-level BigQuery security (documented gap)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v1.4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Accountability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test_audit_log.py — 22/22 passing. Every outcome logged with request_id, role, decision, injection_flag.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 Agency &amp; Oversight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F7A1F"/>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test_hitl.py — 12/12 passing. Two-person rule, PIN, lockout, Gmail escalation all verified.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Windows timeout gap (documented, threading.Timer fix identified)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v1.4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Inclusive Growth</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color w:val="7A1F1F"/>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Singapore context documented. SME use case described in README.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Formal inclusive growth statement. Accessibility assessment.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v1.4</w:t>
            </w:r>
          </w:p>
        </w:tc>
      </w:tr>
    </w:tbl>
    <w:p>
      <w:r>
        <w:t xml:space="preserve"/>
      </w:r>
    </w:p>
    <w:p>
      <w:pPr>
        <w:pStyle w:val="Heading1"/>
      </w:pPr>
      <w:r>
        <w:rPr>
          <w:rFonts w:ascii="Arial" w:cs="Arial" w:eastAsia="Arial" w:hAnsi="Arial"/>
        </w:rPr>
        <w:t xml:space="preserve">4. Principles at Full High Readiness</w:t>
      </w:r>
    </w:p>
    <w:p>
      <w:pPr>
        <w:jc w:val="left"/>
      </w:pPr>
      <w:r>
        <w:rPr>
          <w:rFonts w:ascii="Arial" w:cs="Arial" w:eastAsia="Arial" w:hAnsi="Arial"/>
          <w:b w:val="false"/>
          <w:bCs w:val="false"/>
          <w:i w:val="false"/>
          <w:iCs w:val="false"/>
          <w:color w:val="000000"/>
          <w:sz w:val="22"/>
          <w:szCs w:val="22"/>
        </w:rPr>
        <w:t xml:space="preserve">The following six principles are now fully evidenced with passing automated tests: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 Summary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Explainability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Similarity scores shown for every result. Low-score warning fires below 0.3 threshold. [AI-GENERATED] labels on all output. test_similarity.py 10/10.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Reproducibility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7 test scripts produce identical results on every run. requirements.txt fully pinned. Pipeline is deterministic — same query, same role, same result. 134/134 tests passing.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Safety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 injection patterns blocked across 6 attack categories. Injection never reaches embedding or data layer. test_injection.py 33/33.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Rate limiting at 10 queries/hour/role. SHA-256 PIN hashing. Parameterised SQL queries. Three-strike lockout. test_rate_limit.py 5/5.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Robustness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Sanitisation handles empty, oversized, symbol-only, and control-character inputs. Fails open on monitoring error. test_sanitisation.py 18/18.</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Governance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4 roles verified — permitted fields present, denied fields absent, criminal_record blocked for all roles. HITL triggers correctly. test_rbac.py 34/34.</w:t>
            </w:r>
          </w:p>
        </w:tc>
      </w:tr>
    </w:tbl>
    <w:p>
      <w:r>
        <w:t xml:space="preserve"/>
      </w:r>
    </w:p>
    <w:p>
      <w:pPr>
        <w:pStyle w:val="Heading1"/>
      </w:pPr>
      <w:r>
        <w:rPr>
          <w:rFonts w:ascii="Arial" w:cs="Arial" w:eastAsia="Arial" w:hAnsi="Arial"/>
        </w:rPr>
        <w:t xml:space="preserve">5. Remaining Gaps — v1.4 Targets</w:t>
      </w:r>
    </w:p>
    <w:p>
      <w:pPr>
        <w:jc w:val="left"/>
      </w:pPr>
      <w:r>
        <w:rPr>
          <w:rFonts w:ascii="Arial" w:cs="Arial" w:eastAsia="Arial" w:hAnsi="Arial"/>
          <w:b w:val="false"/>
          <w:bCs w:val="false"/>
          <w:i w:val="false"/>
          <w:iCs w:val="false"/>
          <w:color w:val="000000"/>
          <w:sz w:val="22"/>
          <w:szCs w:val="22"/>
        </w:rPr>
        <w:t xml:space="preserve">The following gaps remain open and will be addressed in v1.4 (governance documents) and v1.5 (AI Verify submission):</w:t>
      </w:r>
    </w:p>
    <w:p>
      <w:r>
        <w:t xml:space="preserve"/>
      </w:r>
    </w:p>
    <w:p>
      <w:pPr>
        <w:pStyle w:val="Heading2"/>
      </w:pPr>
      <w:r>
        <w:rPr>
          <w:rFonts w:ascii="Arial" w:cs="Arial" w:eastAsia="Arial" w:hAnsi="Arial"/>
        </w:rPr>
        <w:t xml:space="preserve">Principle 1 — Transparency</w:t>
      </w:r>
    </w:p>
    <w:p>
      <w:pPr>
        <w:jc w:val="left"/>
      </w:pPr>
      <w:r>
        <w:rPr>
          <w:rFonts w:ascii="Arial" w:cs="Arial" w:eastAsia="Arial" w:hAnsi="Arial"/>
          <w:b w:val="false"/>
          <w:bCs w:val="false"/>
          <w:i w:val="false"/>
          <w:iCs w:val="false"/>
          <w:color w:val="000000"/>
          <w:sz w:val="22"/>
          <w:szCs w:val="22"/>
        </w:rPr>
        <w:t xml:space="preserve">Gap: No formal System Card, Materiality Assessment, or Acceptable Use Policy exists yet. The README provides transparency about what has been built but does not constitute a formal governance document.</w:t>
      </w:r>
    </w:p>
    <w:p>
      <w:pPr>
        <w:jc w:val="left"/>
      </w:pPr>
      <w:r>
        <w:rPr>
          <w:rFonts w:ascii="Arial" w:cs="Arial" w:eastAsia="Arial" w:hAnsi="Arial"/>
          <w:b w:val="false"/>
          <w:bCs w:val="false"/>
          <w:i w:val="false"/>
          <w:iCs w:val="false"/>
          <w:color w:val="000000"/>
          <w:sz w:val="22"/>
          <w:szCs w:val="22"/>
        </w:rPr>
        <w:t xml:space="preserve">Fix in v1.4: System Card, Materiality Assessment, and Incident Response Plan will be published to docs/.</w:t>
      </w:r>
    </w:p>
    <w:p>
      <w:r>
        <w:t xml:space="preserve"/>
      </w:r>
    </w:p>
    <w:p>
      <w:pPr>
        <w:pStyle w:val="Heading2"/>
      </w:pPr>
      <w:r>
        <w:rPr>
          <w:rFonts w:ascii="Arial" w:cs="Arial" w:eastAsia="Arial" w:hAnsi="Arial"/>
        </w:rPr>
        <w:t xml:space="preserve">Principle 7 — Fairness</w:t>
      </w:r>
    </w:p>
    <w:p>
      <w:pPr>
        <w:jc w:val="left"/>
      </w:pPr>
      <w:r>
        <w:rPr>
          <w:rFonts w:ascii="Arial" w:cs="Arial" w:eastAsia="Arial" w:hAnsi="Arial"/>
          <w:b w:val="false"/>
          <w:bCs w:val="false"/>
          <w:i w:val="false"/>
          <w:iCs w:val="false"/>
          <w:color w:val="000000"/>
          <w:sz w:val="22"/>
          <w:szCs w:val="22"/>
        </w:rPr>
        <w:t xml:space="preserve">Gap: The project uses 100% synthetic data with no real demographic distribution. No bias testing has been conducted. This is appropriate for a portfolio project but must be acknowledged.</w:t>
      </w:r>
    </w:p>
    <w:p>
      <w:pPr>
        <w:jc w:val="left"/>
      </w:pPr>
      <w:r>
        <w:rPr>
          <w:rFonts w:ascii="Arial" w:cs="Arial" w:eastAsia="Arial" w:hAnsi="Arial"/>
          <w:b w:val="false"/>
          <w:bCs w:val="false"/>
          <w:i w:val="false"/>
          <w:iCs w:val="false"/>
          <w:color w:val="000000"/>
          <w:sz w:val="22"/>
          <w:szCs w:val="22"/>
        </w:rPr>
        <w:t xml:space="preserve">Fix in v1.4: Fairness statement will be included in the System Card acknowledging this limitation and describing what bias testing would be required for a production deployment.</w:t>
      </w:r>
    </w:p>
    <w:p>
      <w:r>
        <w:t xml:space="preserve"/>
      </w:r>
    </w:p>
    <w:p>
      <w:pPr>
        <w:pStyle w:val="Heading2"/>
      </w:pPr>
      <w:r>
        <w:rPr>
          <w:rFonts w:ascii="Arial" w:cs="Arial" w:eastAsia="Arial" w:hAnsi="Arial"/>
        </w:rPr>
        <w:t xml:space="preserve">Principle 8 — Data Governance (Residual Gap)</w:t>
      </w:r>
    </w:p>
    <w:p>
      <w:pPr>
        <w:jc w:val="left"/>
      </w:pPr>
      <w:r>
        <w:rPr>
          <w:rFonts w:ascii="Arial" w:cs="Arial" w:eastAsia="Arial" w:hAnsi="Arial"/>
          <w:b w:val="false"/>
          <w:bCs w:val="false"/>
          <w:i w:val="false"/>
          <w:iCs w:val="false"/>
          <w:color w:val="000000"/>
          <w:sz w:val="22"/>
          <w:szCs w:val="22"/>
        </w:rPr>
        <w:t xml:space="preserve">Gap: Access controls are enforced at the application layer only. Anyone with direct BigQuery access via GCP IAM can query all fields without going through the pipeline. BigQuery column-level security is not implemented.</w:t>
      </w:r>
    </w:p>
    <w:p>
      <w:pPr>
        <w:jc w:val="left"/>
      </w:pPr>
      <w:r>
        <w:rPr>
          <w:rFonts w:ascii="Arial" w:cs="Arial" w:eastAsia="Arial" w:hAnsi="Arial"/>
          <w:b w:val="false"/>
          <w:bCs w:val="false"/>
          <w:i w:val="false"/>
          <w:iCs w:val="false"/>
          <w:color w:val="000000"/>
          <w:sz w:val="22"/>
          <w:szCs w:val="22"/>
        </w:rPr>
        <w:t xml:space="preserve">Fix in v1.4: This gap will be explicitly documented in the System Card with the honest acknowledgement: 'A production deployment would implement BigQuery column-level security as an additional defence-in-depth layer.'</w:t>
      </w:r>
    </w:p>
    <w:p>
      <w:r>
        <w:t xml:space="preserve"/>
      </w:r>
    </w:p>
    <w:p>
      <w:pPr>
        <w:pStyle w:val="Heading2"/>
      </w:pPr>
      <w:r>
        <w:rPr>
          <w:rFonts w:ascii="Arial" w:cs="Arial" w:eastAsia="Arial" w:hAnsi="Arial"/>
        </w:rPr>
        <w:t xml:space="preserve">Principle 10 — Human Agency (Residual Gap)</w:t>
      </w:r>
    </w:p>
    <w:p>
      <w:pPr>
        <w:jc w:val="left"/>
      </w:pPr>
      <w:r>
        <w:rPr>
          <w:rFonts w:ascii="Arial" w:cs="Arial" w:eastAsia="Arial" w:hAnsi="Arial"/>
          <w:b w:val="false"/>
          <w:bCs w:val="false"/>
          <w:i w:val="false"/>
          <w:iCs w:val="false"/>
          <w:color w:val="000000"/>
          <w:sz w:val="22"/>
          <w:szCs w:val="22"/>
        </w:rPr>
        <w:t xml:space="preserve">Gap: The HITL timeout uses signal.SIGALRM which does not exist on Windows. On the current development machine (Windows) the timeout is silently skipped — the gate waits indefinitely if no supervisor responds.</w:t>
      </w:r>
    </w:p>
    <w:p>
      <w:pPr>
        <w:jc w:val="left"/>
      </w:pPr>
      <w:r>
        <w:rPr>
          <w:rFonts w:ascii="Arial" w:cs="Arial" w:eastAsia="Arial" w:hAnsi="Arial"/>
          <w:b w:val="false"/>
          <w:bCs w:val="false"/>
          <w:i w:val="false"/>
          <w:iCs w:val="false"/>
          <w:color w:val="000000"/>
          <w:sz w:val="22"/>
          <w:szCs w:val="22"/>
        </w:rPr>
        <w:t xml:space="preserve">Fix in v1.4: Documented in System Card. threading.Timer identified as the cross-platform fix for a production deployment.</w:t>
      </w:r>
    </w:p>
    <w:p>
      <w:r>
        <w:t xml:space="preserve"/>
      </w:r>
    </w:p>
    <w:p>
      <w:pPr>
        <w:pStyle w:val="Heading2"/>
      </w:pPr>
      <w:r>
        <w:rPr>
          <w:rFonts w:ascii="Arial" w:cs="Arial" w:eastAsia="Arial" w:hAnsi="Arial"/>
        </w:rPr>
        <w:t xml:space="preserve">Principle 11 — Inclusive Growth</w:t>
      </w:r>
    </w:p>
    <w:p>
      <w:pPr>
        <w:jc w:val="left"/>
      </w:pPr>
      <w:r>
        <w:rPr>
          <w:rFonts w:ascii="Arial" w:cs="Arial" w:eastAsia="Arial" w:hAnsi="Arial"/>
          <w:b w:val="false"/>
          <w:bCs w:val="false"/>
          <w:i w:val="false"/>
          <w:iCs w:val="false"/>
          <w:color w:val="000000"/>
          <w:sz w:val="22"/>
          <w:szCs w:val="22"/>
        </w:rPr>
        <w:t xml:space="preserve">Gap: No formal inclusive growth statement has been written. The Singapore SME context is described in the README but not in a structured governance document.</w:t>
      </w:r>
    </w:p>
    <w:p>
      <w:pPr>
        <w:jc w:val="left"/>
      </w:pPr>
      <w:r>
        <w:rPr>
          <w:rFonts w:ascii="Arial" w:cs="Arial" w:eastAsia="Arial" w:hAnsi="Arial"/>
          <w:b w:val="false"/>
          <w:bCs w:val="false"/>
          <w:i w:val="false"/>
          <w:iCs w:val="false"/>
          <w:color w:val="000000"/>
          <w:sz w:val="22"/>
          <w:szCs w:val="22"/>
        </w:rPr>
        <w:t xml:space="preserve">Fix in v1.4: Inclusive growth statement included in System Card.</w:t>
      </w:r>
    </w:p>
    <w:p>
      <w:r>
        <w:t xml:space="preserve"/>
      </w:r>
    </w:p>
    <w:p>
      <w:pPr>
        <w:pStyle w:val="Heading1"/>
      </w:pPr>
      <w:r>
        <w:rPr>
          <w:rFonts w:ascii="Arial" w:cs="Arial" w:eastAsia="Arial" w:hAnsi="Arial"/>
        </w:rPr>
        <w:t xml:space="preserve">6. What Remains for v1.5</w:t>
      </w:r>
    </w:p>
    <w:p>
      <w:pPr>
        <w:jc w:val="left"/>
      </w:pPr>
      <w:r>
        <w:rPr>
          <w:rFonts w:ascii="Arial" w:cs="Arial" w:eastAsia="Arial" w:hAnsi="Arial"/>
          <w:b w:val="false"/>
          <w:bCs w:val="false"/>
          <w:i w:val="false"/>
          <w:iCs w:val="false"/>
          <w:color w:val="000000"/>
          <w:sz w:val="22"/>
          <w:szCs w:val="22"/>
        </w:rPr>
        <w:t xml:space="preserve">After v1.4 governance documents are complete, the following remain for the final AI Verify submission: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Verify Governance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Formal report compiled using the AI Verify portal, referencing all evidence collected across v1.0–v1.4.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Moonshot Red-Team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Adversarial testing using IMDA's Project Moonshot toolkit to independently verify safety and robustness claims.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Gap Analysis v1.5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This document updated to reflect all v1.4 governance documents and Moonshot results.</w:t>
            </w:r>
          </w:p>
        </w:tc>
      </w:tr>
    </w:tbl>
    <w:p>
      <w:r>
        <w:t xml:space="preserve"/>
      </w:r>
    </w:p>
    <w:p>
      <w:r>
        <w:t xml:space="preserve"/>
      </w:r>
    </w:p>
    <w:p>
      <w:pPr>
        <w:jc w:val="center"/>
      </w:pPr>
      <w:r>
        <w:rPr>
          <w:rFonts w:ascii="Arial" w:cs="Arial" w:eastAsia="Arial" w:hAnsi="Arial"/>
          <w:b w:val="false"/>
          <w:bCs w:val="false"/>
          <w:i w:val="false"/>
          <w:iCs w:val="false"/>
          <w:color w:val="777777"/>
          <w:sz w:val="18"/>
          <w:szCs w:val="18"/>
        </w:rPr>
        <w:t xml:space="preserve">AIVerify_Gap_Analysis_v1_3.docx  |  AIknowlah  |  Agentic ETL Architect</w:t>
      </w:r>
    </w:p>
    <w:p>
      <w:pPr>
        <w:jc w:val="center"/>
      </w:pPr>
      <w:r>
        <w:rPr>
          <w:rFonts w:ascii="Arial" w:cs="Arial" w:eastAsia="Arial" w:hAnsi="Arial"/>
          <w:b w:val="false"/>
          <w:bCs w:val="false"/>
          <w:i w:val="false"/>
          <w:iCs w:val="false"/>
          <w:color w:val="777777"/>
          <w:sz w:val="18"/>
          <w:szCs w:val="18"/>
        </w:rPr>
        <w:t xml:space="preserve">IMDA 2026 AI Governance Framework  |  AI Verify Testing Framework (2025 Edition)  |  PDPA Singapore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2026-03-29T05:53:33.661Z</dcterms:created>
  <dcterms:modified xsi:type="dcterms:W3CDTF">2026-03-29T05:53:33.662Z</dcterms:modified>
</cp:coreProperties>
</file>

<file path=docProps/custom.xml><?xml version="1.0" encoding="utf-8"?>
<Properties xmlns="http://schemas.openxmlformats.org/officeDocument/2006/custom-properties" xmlns:vt="http://schemas.openxmlformats.org/officeDocument/2006/docPropsVTypes"/>
</file>