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i w:val="false"/>
          <w:iCs w:val="false"/>
          <w:color w:val="000000"/>
          <w:sz w:val="36"/>
          <w:szCs w:val="36"/>
        </w:rPr>
        <w:t xml:space="preserve">INCIDENT RESPONSE PLAN</w:t>
      </w:r>
    </w:p>
    <w:p>
      <w:pPr>
        <w:jc w:val="center"/>
      </w:pPr>
      <w:r>
        <w:rPr>
          <w:rFonts w:ascii="Arial" w:cs="Arial" w:eastAsia="Arial" w:hAnsi="Arial"/>
          <w:b/>
          <w:bCs/>
          <w:i w:val="false"/>
          <w:iCs w:val="false"/>
          <w:color w:val="1F4E79"/>
          <w:sz w:val="28"/>
          <w:szCs w:val="28"/>
        </w:rPr>
        <w:t xml:space="preserve">Agentic ETL Architect — Secure RAG Pipeline</w:t>
      </w:r>
    </w:p>
    <w:p>
      <w:pPr>
        <w:jc w:val="center"/>
      </w:pPr>
      <w:r>
        <w:rPr>
          <w:rFonts w:ascii="Arial" w:cs="Arial" w:eastAsia="Arial" w:hAnsi="Arial"/>
          <w:b w:val="false"/>
          <w:bCs w:val="false"/>
          <w:i w:val="false"/>
          <w:iCs w:val="false"/>
          <w:color w:val="777777"/>
          <w:sz w:val="22"/>
          <w:szCs w:val="22"/>
        </w:rPr>
        <w:t xml:space="preserve">AIknowlah  |  Singapore  |  v1.4  |  29 March 2026</w:t>
      </w:r>
    </w:p>
    <w:p>
      <w:r>
        <w:t xml:space="preserve"/>
      </w:r>
    </w:p>
    <w:p>
      <w:r>
        <w:t xml:space="preserve"/>
      </w:r>
    </w:p>
    <w:p>
      <w:pPr>
        <w:pStyle w:val="Heading1"/>
      </w:pPr>
      <w:r>
        <w:rPr>
          <w:rFonts w:ascii="Arial" w:cs="Arial" w:eastAsia="Arial" w:hAnsi="Arial"/>
        </w:rPr>
        <w:t xml:space="preserve">1. Purpose</w:t>
      </w:r>
    </w:p>
    <w:p>
      <w:pPr>
        <w:jc w:val="left"/>
      </w:pPr>
      <w:r>
        <w:rPr>
          <w:rFonts w:ascii="Arial" w:cs="Arial" w:eastAsia="Arial" w:hAnsi="Arial"/>
          <w:b w:val="false"/>
          <w:bCs w:val="false"/>
          <w:i w:val="false"/>
          <w:iCs w:val="false"/>
          <w:color w:val="000000"/>
          <w:sz w:val="22"/>
          <w:szCs w:val="22"/>
        </w:rPr>
        <w:t xml:space="preserve">This document defines the procedures for detecting, responding to, and recovering from incidents involving the Agentic ETL Architect system. It satisfies AI Verify Principles 1 (Transparency) and 9 (Accountability) by demonstrating that the organisation has a documented plan for AI system failures, not just prevention controls.</w:t>
      </w:r>
    </w:p>
    <w:p>
      <w:r>
        <w:t xml:space="preserve"/>
      </w:r>
    </w:p>
    <w:p>
      <w:pPr>
        <w:pStyle w:val="Heading1"/>
      </w:pPr>
      <w:r>
        <w:rPr>
          <w:rFonts w:ascii="Arial" w:cs="Arial" w:eastAsia="Arial" w:hAnsi="Arial"/>
        </w:rPr>
        <w:t xml:space="preserve">2.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Response Time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P1 —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Sensitive data may have been exposed to an unauthorised party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RBAC failure exposing wrong fields; audit log gap; supervisor PIN compromised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 — within 1 hour</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P2 — High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Governance control has failed or been bypassed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Injection attempt reached embedding node; HITL gate did not trigger for sensitive fields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Within 4 hours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P3 —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Operational degradation without data exposure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Supervisor account locked; Gmail escalation failed; rate_limit_log unavailable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Within 24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P4 — 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Minor anomaly with no governance impact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similarity warning on legitimate query; audit log write delay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Within 72 hours</w:t>
            </w:r>
          </w:p>
        </w:tc>
      </w:tr>
    </w:tbl>
    <w:p>
      <w:r>
        <w:t xml:space="preserve"/>
      </w:r>
    </w:p>
    <w:p>
      <w:pPr>
        <w:pStyle w:val="Heading1"/>
      </w:pPr>
      <w:r>
        <w:rPr>
          <w:rFonts w:ascii="Arial" w:cs="Arial" w:eastAsia="Arial" w:hAnsi="Arial"/>
        </w:rPr>
        <w:t xml:space="preserve">3. Incident Response Procedures</w:t>
      </w:r>
    </w:p>
    <w:p>
      <w:r>
        <w:t xml:space="preserve"/>
      </w:r>
    </w:p>
    <w:p>
      <w:pPr>
        <w:pStyle w:val="Heading2"/>
      </w:pPr>
      <w:r>
        <w:rPr>
          <w:rFonts w:ascii="Arial" w:cs="Arial" w:eastAsia="Arial" w:hAnsi="Arial"/>
        </w:rPr>
        <w:t xml:space="preserve">3.1 P1 — Critical: Potential Data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STOP — Immediately halt all pipeline operations. Do not run main.py until the incident is resolved.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PRESERVE — Do not modify any BigQuery tables. Screenshot the audit_log entries for the relevant request_id.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IDENTIFY — Query audit_log: SELECT * FROM audit_log WHERE timestamp &gt;= [incident_time] ORDER BY timestamp. Identify which request_ids are affected.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ASSESS — Determine which fields were exposed, to which role, and whether HITL approval was correctly obtained. Check hitl_decision and rbac_rule_applied columns.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NOTIFY — If real personal data could have been exposed, notify the PDPC within 3 calendar days (PDPA mandatory notification requirement). For synthetic data, notify the project owner.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 — Identify the failure point. If RBAC failed, review ROLE_PERMISSIONS and run test_rbac.py. If HITL failed, review hitl_gate.py and run test_hitl.py.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 Apply the code fix. All fixes must be tested with the full test suite (134 tests) before the pipeline is restarted.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 Write an incident report covering: what happened, root cause, data affected, who was notified, fix applied, and date resolved. Store in docs/incidents/.</w:t>
            </w:r>
          </w:p>
        </w:tc>
      </w:tr>
    </w:tbl>
    <w:p>
      <w:r>
        <w:t xml:space="preserve"/>
      </w:r>
    </w:p>
    <w:p>
      <w:pPr>
        <w:pStyle w:val="Heading2"/>
      </w:pPr>
      <w:r>
        <w:rPr>
          <w:rFonts w:ascii="Arial" w:cs="Arial" w:eastAsia="Arial" w:hAnsi="Arial"/>
        </w:rPr>
        <w:t xml:space="preserve">3.2 P2 — High: Governance Control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IDENTIFY — Determine which control failed. Check audit_log for the request_id. Review decision, injection_flag, hitl_triggered, and hitl_decision columns.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 TESTS — Run the relevant test script immediately: test_injection.py for injection bypass, test_hitl.py for HITL failure, test_rbac.py for RBAC anomaly.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ISOLATE — If the test suite passes, the failure may have been a one-off. If tests fail, halt the pipeline until the fix is applied and all tests pass.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AND VERIFY — Apply fix. Run full test suite (134 tests). Only restart pipeline when 0 failures.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 Record in docs/incidents/ with root cause, fix, and test evidence.</w:t>
            </w:r>
          </w:p>
        </w:tc>
      </w:tr>
    </w:tbl>
    <w:p>
      <w:r>
        <w:t xml:space="preserve"/>
      </w:r>
    </w:p>
    <w:p>
      <w:pPr>
        <w:pStyle w:val="Heading2"/>
      </w:pPr>
      <w:r>
        <w:rPr>
          <w:rFonts w:ascii="Arial" w:cs="Arial" w:eastAsia="Arial" w:hAnsi="Arial"/>
        </w:rPr>
        <w:t xml:space="preserve">3.3 P3 — Medium: Operational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Supervisor locked out: Run setup_supervisors.py to reset failed_attempts and is_locked for the affected supervisor. Verify in BigQuery console.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Gmail escalation failed: Check credentials.json and token.json are present in project root. Verify Gmail OAuth consent screen has the sender email as a test user. Re-run auth flow if token expired.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rate_limit_log unavailable: Pipeline fails open — legitimate queries are not blocked. Check GCP BigQuery console for table status. Recreate if needed by running main.py which calls ensure_rate_limit_table() on startup.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 log write delay: BigQuery streaming buffer can delay visibility by up to 90 seconds. Verify entry appears within 3 minutes. If not, check GCP quotas and billing status.</w:t>
            </w:r>
          </w:p>
        </w:tc>
      </w:tr>
    </w:tbl>
    <w:p>
      <w:r>
        <w:t xml:space="preserve"/>
      </w:r>
    </w:p>
    <w:p>
      <w:pPr>
        <w:pStyle w:val="Heading2"/>
      </w:pPr>
      <w:r>
        <w:rPr>
          <w:rFonts w:ascii="Arial" w:cs="Arial" w:eastAsia="Arial" w:hAnsi="Arial"/>
        </w:rPr>
        <w:t xml:space="preserve">3.4 P4 — Low: Minor Anomaly</w:t>
      </w:r>
    </w:p>
    <w:p>
      <w:pPr>
        <w:jc w:val="left"/>
      </w:pPr>
      <w:r>
        <w:rPr>
          <w:rFonts w:ascii="Arial" w:cs="Arial" w:eastAsia="Arial" w:hAnsi="Arial"/>
          <w:b w:val="false"/>
          <w:bCs w:val="false"/>
          <w:i w:val="false"/>
          <w:iCs w:val="false"/>
          <w:color w:val="000000"/>
          <w:sz w:val="22"/>
          <w:szCs w:val="22"/>
        </w:rPr>
        <w:t xml:space="preserve">Log the anomaly to docs/incidents/ with timestamp, description, and request_id. No immediate action required. Review at next scheduled maintenance.</w:t>
      </w:r>
    </w:p>
    <w:p>
      <w:r>
        <w:t xml:space="preserve"/>
      </w:r>
    </w:p>
    <w:p>
      <w:pPr>
        <w:pStyle w:val="Heading1"/>
      </w:pPr>
      <w:r>
        <w:rPr>
          <w:rFonts w:ascii="Arial" w:cs="Arial" w:eastAsia="Arial" w:hAnsi="Arial"/>
        </w:rPr>
        <w:t xml:space="preserve">4. Key BigQuery Queries for Incident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 all queries in time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 * FROM `secure-rag-sg.secure_rag.audit_log` WHERE timestamp &gt;= TIMESTAMP('2026-03-29') ORDER BY timestamp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 all denied queries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 * FROM `secure-rag-sg.secure_rag.audit_log` WHERE decision LIKE 'DENIED%' ORDER BY timestamp DESC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 injection attempts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 * FROM `secure-rag-sg.secure_rag.audit_log` WHERE injection_flag = 'INJECTION' ORDER BY timestamp DESC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 HITL approvals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 * FROM `secure-rag-sg.secure_rag.audit_log` WHERE hitl_triggered = TRUE AND hitl_decision = 'approve'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 supervisor lock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SELECT supervisor_id, name, is_locked, failed_attempts FROM `secure-rag-sg.secure_rag.supervisors`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Unlock a supervisor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 `secure-rag-sg.secure_rag.supervisors` SET is_locked = FALSE, failed_attempts = 0, locked_by_session = '' WHERE supervisor_id = 'SUP001'</w:t>
            </w:r>
          </w:p>
        </w:tc>
      </w:tr>
    </w:tbl>
    <w:p>
      <w:r>
        <w:t xml:space="preserve"/>
      </w:r>
    </w:p>
    <w:p>
      <w:pPr>
        <w:pStyle w:val="Heading1"/>
      </w:pPr>
      <w:r>
        <w:rPr>
          <w:rFonts w:ascii="Arial" w:cs="Arial" w:eastAsia="Arial" w:hAnsi="Arial"/>
        </w:rPr>
        <w:t xml:space="preserve">5. Communication and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to Notify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P1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Owner + PDPC (if real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Immediately by direct contact. PDPC notification via pdpc.gov.sg within 3 calendar days if real personal data involved.</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P2 High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Owner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Within 4 hours. Document in docs/incidents/ before contacting.</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P3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Manager (David Chen)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Gmail escalation is automatic on supervisor lockout. Other P3 incidents: document and notify within 24 hours.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P4 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Self — log only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 to docs/incidents/. No external notification required.</w:t>
            </w:r>
          </w:p>
        </w:tc>
      </w:tr>
    </w:tbl>
    <w:p>
      <w:r>
        <w:t xml:space="preserve"/>
      </w:r>
    </w:p>
    <w:p>
      <w:pPr>
        <w:pStyle w:val="Heading1"/>
      </w:pPr>
      <w:r>
        <w:rPr>
          <w:rFonts w:ascii="Arial" w:cs="Arial" w:eastAsia="Arial" w:hAnsi="Arial"/>
        </w:rPr>
        <w:t xml:space="preserve">6. Test Suite as Recovery Verification</w:t>
      </w:r>
    </w:p>
    <w:p>
      <w:pPr>
        <w:jc w:val="left"/>
      </w:pPr>
      <w:r>
        <w:rPr>
          <w:rFonts w:ascii="Arial" w:cs="Arial" w:eastAsia="Arial" w:hAnsi="Arial"/>
          <w:b w:val="false"/>
          <w:bCs w:val="false"/>
          <w:i w:val="false"/>
          <w:iCs w:val="false"/>
          <w:color w:val="000000"/>
          <w:sz w:val="22"/>
          <w:szCs w:val="22"/>
        </w:rPr>
        <w:t xml:space="preserve">Before restarting the pipeline after any P1 or P2 incident, the full test suite must pass with zero failures. This is the single gate for confirming the system is safe to operate again.</w:t>
      </w:r>
    </w:p>
    <w:p>
      <w:r>
        <w:t xml:space="preserve"/>
      </w:r>
    </w:p>
    <w:p>
      <w:pPr>
        <w:jc w:val="left"/>
      </w:pPr>
      <w:r>
        <w:rPr>
          <w:rFonts w:ascii="Arial" w:cs="Arial" w:eastAsia="Arial" w:hAnsi="Arial"/>
          <w:b w:val="false"/>
          <w:bCs w:val="false"/>
          <w:i w:val="false"/>
          <w:iCs w:val="false"/>
          <w:color w:val="000000"/>
          <w:sz w:val="22"/>
          <w:szCs w:val="22"/>
        </w:rPr>
        <w:t xml:space="preserve">Command to run full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python tests/test_sanitisation.py</w:t>
            </w:r>
          </w:p>
          <w:p>
            <w:r>
              <w:rPr>
                <w:rFonts w:ascii="Courier New" w:cs="Courier New" w:eastAsia="Courier New" w:hAnsi="Courier New"/>
                <w:sz w:val="18"/>
                <w:szCs w:val="18"/>
              </w:rPr>
              <w:t xml:space="preserve">python tests/test_injection.py</w:t>
            </w:r>
          </w:p>
          <w:p>
            <w:r>
              <w:rPr>
                <w:rFonts w:ascii="Courier New" w:cs="Courier New" w:eastAsia="Courier New" w:hAnsi="Courier New"/>
                <w:sz w:val="18"/>
                <w:szCs w:val="18"/>
              </w:rPr>
              <w:t xml:space="preserve">python tests/test_rate_limit.py</w:t>
            </w:r>
          </w:p>
          <w:p>
            <w:r>
              <w:rPr>
                <w:rFonts w:ascii="Courier New" w:cs="Courier New" w:eastAsia="Courier New" w:hAnsi="Courier New"/>
                <w:sz w:val="18"/>
                <w:szCs w:val="18"/>
              </w:rPr>
              <w:t xml:space="preserve">python tests/test_similarity.py</w:t>
            </w:r>
          </w:p>
          <w:p>
            <w:r>
              <w:rPr>
                <w:rFonts w:ascii="Courier New" w:cs="Courier New" w:eastAsia="Courier New" w:hAnsi="Courier New"/>
                <w:sz w:val="18"/>
                <w:szCs w:val="18"/>
              </w:rPr>
              <w:t xml:space="preserve">python tests/test_rbac.py</w:t>
            </w:r>
          </w:p>
          <w:p>
            <w:r>
              <w:rPr>
                <w:rFonts w:ascii="Courier New" w:cs="Courier New" w:eastAsia="Courier New" w:hAnsi="Courier New"/>
                <w:sz w:val="18"/>
                <w:szCs w:val="18"/>
              </w:rPr>
              <w:t xml:space="preserve">python tests/test_audit_log.py</w:t>
            </w:r>
          </w:p>
          <w:p>
            <w:r>
              <w:rPr>
                <w:rFonts w:ascii="Courier New" w:cs="Courier New" w:eastAsia="Courier New" w:hAnsi="Courier New"/>
                <w:sz w:val="18"/>
                <w:szCs w:val="18"/>
              </w:rPr>
              <w:t xml:space="preserve">python tests/test_hitl.py</w:t>
            </w:r>
          </w:p>
        </w:tc>
      </w:tr>
    </w:tbl>
    <w:p>
      <w:r>
        <w:t xml:space="preserve"/>
      </w:r>
    </w:p>
    <w:p>
      <w:pPr>
        <w:jc w:val="left"/>
      </w:pPr>
      <w:r>
        <w:rPr>
          <w:rFonts w:ascii="Arial" w:cs="Arial" w:eastAsia="Arial" w:hAnsi="Arial"/>
          <w:b/>
          <w:bCs/>
          <w:i w:val="false"/>
          <w:iCs w:val="false"/>
          <w:color w:val="000000"/>
          <w:sz w:val="22"/>
          <w:szCs w:val="22"/>
        </w:rPr>
        <w:t xml:space="preserve">All 7 scripts must show 0 failures before the pipeline is considered safe to restart.</w:t>
      </w:r>
    </w:p>
    <w:p>
      <w:r>
        <w:t xml:space="preserve"/>
      </w:r>
    </w:p>
    <w:p>
      <w:r>
        <w:t xml:space="preserve"/>
      </w:r>
    </w:p>
    <w:p>
      <w:pPr>
        <w:jc w:val="center"/>
      </w:pPr>
      <w:r>
        <w:rPr>
          <w:rFonts w:ascii="Arial" w:cs="Arial" w:eastAsia="Arial" w:hAnsi="Arial"/>
          <w:b w:val="false"/>
          <w:bCs w:val="false"/>
          <w:i w:val="false"/>
          <w:iCs w:val="false"/>
          <w:color w:val="777777"/>
          <w:sz w:val="18"/>
          <w:szCs w:val="18"/>
        </w:rPr>
        <w:t xml:space="preserve">Incident_Response_Plan_v1_4.docx  |  AIknowlah  |  Agentic ETL Architect</w:t>
      </w:r>
    </w:p>
    <w:p>
      <w:pPr>
        <w:jc w:val="center"/>
      </w:pPr>
      <w:r>
        <w:rPr>
          <w:rFonts w:ascii="Arial" w:cs="Arial" w:eastAsia="Arial" w:hAnsi="Arial"/>
          <w:b w:val="false"/>
          <w:bCs w:val="false"/>
          <w:i w:val="false"/>
          <w:iCs w:val="false"/>
          <w:color w:val="777777"/>
          <w:sz w:val="18"/>
          <w:szCs w:val="18"/>
        </w:rPr>
        <w:t xml:space="preserve">IMDA 2026 AI Governance Framework  |  AI Verify Testing Framework (2025 Edition)  |  PDPA Singapore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2026-03-29T05:53:33.708Z</dcterms:created>
  <dcterms:modified xsi:type="dcterms:W3CDTF">2026-03-29T05:53:33.708Z</dcterms:modified>
</cp:coreProperties>
</file>

<file path=docProps/custom.xml><?xml version="1.0" encoding="utf-8"?>
<Properties xmlns="http://schemas.openxmlformats.org/officeDocument/2006/custom-properties" xmlns:vt="http://schemas.openxmlformats.org/officeDocument/2006/docPropsVTypes"/>
</file>