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i w:val="false"/>
          <w:iCs w:val="false"/>
          <w:color w:val="000000"/>
          <w:sz w:val="36"/>
          <w:szCs w:val="36"/>
        </w:rPr>
        <w:t xml:space="preserve">MATERIALITY ASSESSMENT</w:t>
      </w:r>
    </w:p>
    <w:p>
      <w:pPr>
        <w:jc w:val="center"/>
      </w:pPr>
      <w:r>
        <w:rPr>
          <w:rFonts w:ascii="Arial" w:cs="Arial" w:eastAsia="Arial" w:hAnsi="Arial"/>
          <w:b/>
          <w:bCs/>
          <w:i w:val="false"/>
          <w:iCs w:val="false"/>
          <w:color w:val="1F4E79"/>
          <w:sz w:val="28"/>
          <w:szCs w:val="28"/>
        </w:rPr>
        <w:t xml:space="preserve">Agentic ETL Architect — Secure RAG Pipeline</w:t>
      </w:r>
    </w:p>
    <w:p>
      <w:pPr>
        <w:jc w:val="center"/>
      </w:pPr>
      <w:r>
        <w:rPr>
          <w:rFonts w:ascii="Arial" w:cs="Arial" w:eastAsia="Arial" w:hAnsi="Arial"/>
          <w:b w:val="false"/>
          <w:bCs w:val="false"/>
          <w:i w:val="false"/>
          <w:iCs w:val="false"/>
          <w:color w:val="777777"/>
          <w:sz w:val="22"/>
          <w:szCs w:val="22"/>
        </w:rPr>
        <w:t xml:space="preserve">AIknowlah  |  Singapore  |  v1.4  |  29 March 2026</w:t>
      </w:r>
    </w:p>
    <w:p>
      <w:r>
        <w:t xml:space="preserve"/>
      </w:r>
    </w:p>
    <w:p>
      <w:r>
        <w:t xml:space="preserve"/>
      </w:r>
    </w:p>
    <w:p>
      <w:pPr>
        <w:pStyle w:val="Heading1"/>
      </w:pPr>
      <w:r>
        <w:rPr>
          <w:rFonts w:ascii="Arial" w:cs="Arial" w:eastAsia="Arial" w:hAnsi="Arial"/>
        </w:rPr>
        <w:t xml:space="preserve">1. Purpose</w:t>
      </w:r>
    </w:p>
    <w:p>
      <w:pPr>
        <w:jc w:val="left"/>
      </w:pPr>
      <w:r>
        <w:rPr>
          <w:rFonts w:ascii="Arial" w:cs="Arial" w:eastAsia="Arial" w:hAnsi="Arial"/>
          <w:b w:val="false"/>
          <w:bCs w:val="false"/>
          <w:i w:val="false"/>
          <w:iCs w:val="false"/>
          <w:color w:val="000000"/>
          <w:sz w:val="22"/>
          <w:szCs w:val="22"/>
        </w:rPr>
        <w:t xml:space="preserve">This document identifies the material risks associated with the Agentic ETL Architect system, assesses their likelihood and impact, maps existing controls, and identifies residual risk. It is designed to support AI Verify Principles 1 (Transparency) and 7 (Fairness) by demonstrating that risks have been identified, assessed, and mitigated where possible.</w:t>
      </w:r>
    </w:p>
    <w:p>
      <w:r>
        <w:t xml:space="preserve"/>
      </w:r>
    </w:p>
    <w:p>
      <w:pPr>
        <w:pStyle w:val="Heading1"/>
      </w:pPr>
      <w:r>
        <w:rPr>
          <w:rFonts w:ascii="Arial" w:cs="Arial" w:eastAsia="Arial" w:hAnsi="Arial"/>
        </w:rPr>
        <w:t xml:space="preserve">2. Risk Rating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High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Likely to occur in normal operation or under motivated attack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Sensitive data exposed, audit trail compromised, or system bypassed</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Possible under specific conditions or partial failure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data exposure, degraded governance, or user confusion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Unlikely under normal operation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 operational impact, no data exposure</w:t>
            </w:r>
          </w:p>
        </w:tc>
      </w:tr>
    </w:tbl>
    <w:p>
      <w:r>
        <w:t xml:space="preserve"/>
      </w:r>
    </w:p>
    <w:p>
      <w:pPr>
        <w:pStyle w:val="Heading1"/>
      </w:pPr>
      <w:r>
        <w:rPr>
          <w:rFonts w:ascii="Arial" w:cs="Arial" w:eastAsia="Arial" w:hAnsi="Arial"/>
        </w:rPr>
        <w:t xml:space="preserve">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800"/>
        <w:gridCol w:w="800"/>
        <w:gridCol w:w="2500"/>
        <w:gridCol w:w="18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Existing Controls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Residual 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Prompt injection attack bypasses RBAC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23-pattern injection detector blocks before embedding. test_injection.py 33/33 passing.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Unauthorised direct BigQuery access bypasses pipeline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GCP IAM restricts console access to project admins. Synthetic data only — no real PII at risk.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Supervisor account compromised via PIN brute force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PIN hashing. Three-strike lockout. Gmail escalation to manager on lockout.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HITL gate times out — sensitive data auto-approved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High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 always rejects, never approves. signal.SIGALRM on Unix. Windows gap documented.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Sensitive field exposed to wrong role via RBAC failure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RBAC enforced by ROLE_PERMISSIONS dict. test_rbac.py 34/34 — all roles verified every run.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log tampered with or deleted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BigQuery audit_log is append-only by design. GCP IAM restricts table modification.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 bypass via role switching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limiting is per-role. Switching roles resets the counter — documented limitation.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 model produces inconsistent results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pinned to gemini-embedding-001. test_similarity.py verifies scoring behaviour.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False positive injection block disrupts legitimate user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test_injection.py verifies 10 clean queries pass through. User can rephrase query.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Duplicate supervisor entries cause access confusion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setup_supervisors.py clears table before re-seeding. LIMIT 1 on supervisor lookup queries.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Low</w:t>
            </w:r>
          </w:p>
        </w:tc>
      </w:tr>
    </w:tbl>
    <w:p>
      <w:r>
        <w:t xml:space="preserve"/>
      </w:r>
    </w:p>
    <w:p>
      <w:pPr>
        <w:pStyle w:val="Heading1"/>
      </w:pPr>
      <w:r>
        <w:rPr>
          <w:rFonts w:ascii="Arial" w:cs="Arial" w:eastAsia="Arial" w:hAnsi="Arial"/>
        </w:rPr>
        <w:t xml:space="preserve">4. Residual Risk Summary</w:t>
      </w:r>
    </w:p>
    <w:p>
      <w:pPr>
        <w:jc w:val="left"/>
      </w:pPr>
      <w:r>
        <w:rPr>
          <w:rFonts w:ascii="Arial" w:cs="Arial" w:eastAsia="Arial" w:hAnsi="Arial"/>
          <w:b w:val="false"/>
          <w:bCs w:val="false"/>
          <w:i w:val="false"/>
          <w:iCs w:val="false"/>
          <w:color w:val="000000"/>
          <w:sz w:val="22"/>
          <w:szCs w:val="22"/>
        </w:rPr>
        <w:t xml:space="preserve">Three risks carry Medium residual rating after controls are applied. These are acknowledged and documented:</w:t>
      </w:r>
    </w:p>
    <w:p>
      <w:r>
        <w:t xml:space="preserve"/>
      </w:r>
    </w:p>
    <w:p>
      <w:pPr>
        <w:pStyle w:val="Heading2"/>
      </w:pPr>
      <w:r>
        <w:rPr>
          <w:rFonts w:ascii="Arial" w:cs="Arial" w:eastAsia="Arial" w:hAnsi="Arial"/>
        </w:rPr>
        <w:t xml:space="preserve">R2 — Direct BigQuery Access</w:t>
      </w:r>
    </w:p>
    <w:p>
      <w:pPr>
        <w:jc w:val="left"/>
      </w:pPr>
      <w:r>
        <w:rPr>
          <w:rFonts w:ascii="Arial" w:cs="Arial" w:eastAsia="Arial" w:hAnsi="Arial"/>
          <w:b w:val="false"/>
          <w:bCs w:val="false"/>
          <w:i w:val="false"/>
          <w:iCs w:val="false"/>
          <w:color w:val="000000"/>
          <w:sz w:val="22"/>
          <w:szCs w:val="22"/>
        </w:rPr>
        <w:t xml:space="preserve">Controls at the application layer do not prevent someone with GCP IAM access from querying BigQuery directly. This is a structural limitation of the current architecture. For this portfolio project the risk is acceptable because only synthetic data is used. A production deployment must implement BigQuery column-level security.</w:t>
      </w:r>
    </w:p>
    <w:p>
      <w:r>
        <w:t xml:space="preserve"/>
      </w:r>
    </w:p>
    <w:p>
      <w:pPr>
        <w:pStyle w:val="Heading2"/>
      </w:pPr>
      <w:r>
        <w:rPr>
          <w:rFonts w:ascii="Arial" w:cs="Arial" w:eastAsia="Arial" w:hAnsi="Arial"/>
        </w:rPr>
        <w:t xml:space="preserve">R4 — Windows HITL Timeout</w:t>
      </w:r>
    </w:p>
    <w:p>
      <w:pPr>
        <w:jc w:val="left"/>
      </w:pPr>
      <w:r>
        <w:rPr>
          <w:rFonts w:ascii="Arial" w:cs="Arial" w:eastAsia="Arial" w:hAnsi="Arial"/>
          <w:b w:val="false"/>
          <w:bCs w:val="false"/>
          <w:i w:val="false"/>
          <w:iCs w:val="false"/>
          <w:color w:val="000000"/>
          <w:sz w:val="22"/>
          <w:szCs w:val="22"/>
        </w:rPr>
        <w:t xml:space="preserve">On Windows the HITL timeout mechanism is silently inactive. If a supervisor walks away from the keyboard without responding, the gate waits indefinitely. This does not auto-approve — it simply stalls. The risk is operational delay rather than data exposure. A production deployment must use threading.Timer.</w:t>
      </w:r>
    </w:p>
    <w:p>
      <w:r>
        <w:t xml:space="preserve"/>
      </w:r>
    </w:p>
    <w:p>
      <w:pPr>
        <w:pStyle w:val="Heading2"/>
      </w:pPr>
      <w:r>
        <w:rPr>
          <w:rFonts w:ascii="Arial" w:cs="Arial" w:eastAsia="Arial" w:hAnsi="Arial"/>
        </w:rPr>
        <w:t xml:space="preserve">R7 — Rate Limit Role Switching</w:t>
      </w:r>
    </w:p>
    <w:p>
      <w:pPr>
        <w:jc w:val="left"/>
      </w:pPr>
      <w:r>
        <w:rPr>
          <w:rFonts w:ascii="Arial" w:cs="Arial" w:eastAsia="Arial" w:hAnsi="Arial"/>
          <w:b w:val="false"/>
          <w:bCs w:val="false"/>
          <w:i w:val="false"/>
          <w:iCs w:val="false"/>
          <w:color w:val="000000"/>
          <w:sz w:val="22"/>
          <w:szCs w:val="22"/>
        </w:rPr>
        <w:t xml:space="preserve">A motivated user could switch roles between queries to avoid per-role rate limiting. For example, querying as General_Staff 10 times then switching to HR_Admin. This is a known limitation of role-level (rather than user-level) rate limiting. A production deployment should implement user-level rate limiting tied to an authenticated session.</w:t>
      </w:r>
    </w:p>
    <w:p>
      <w:r>
        <w:t xml:space="preserve"/>
      </w:r>
    </w:p>
    <w:p>
      <w:pPr>
        <w:pStyle w:val="Heading1"/>
      </w:pPr>
      <w:r>
        <w:rPr>
          <w:rFonts w:ascii="Arial" w:cs="Arial" w:eastAsia="Arial" w:hAnsi="Arial"/>
        </w:rPr>
        <w:t xml:space="preserve">5. Risk Acceptance Statement</w:t>
      </w:r>
    </w:p>
    <w:p>
      <w:pPr>
        <w:jc w:val="left"/>
      </w:pPr>
      <w:r>
        <w:rPr>
          <w:rFonts w:ascii="Arial" w:cs="Arial" w:eastAsia="Arial" w:hAnsi="Arial"/>
          <w:b w:val="false"/>
          <w:bCs w:val="false"/>
          <w:i w:val="false"/>
          <w:iCs w:val="false"/>
          <w:color w:val="000000"/>
          <w:sz w:val="22"/>
          <w:szCs w:val="22"/>
        </w:rPr>
        <w:t xml:space="preserve">The risks identified in this assessment have been reviewed and the residual risks accepted for the purposes of this educational and portfolio project. This acceptance is based on:</w:t>
      </w:r>
    </w:p>
    <w:p>
      <w:r>
        <w:t xml:space="preserve"/>
      </w:r>
    </w:p>
    <w:p>
      <w:pPr>
        <w:jc w:val="left"/>
      </w:pPr>
      <w:r>
        <w:rPr>
          <w:rFonts w:ascii="Arial" w:cs="Arial" w:eastAsia="Arial" w:hAnsi="Arial"/>
          <w:b w:val="false"/>
          <w:bCs w:val="false"/>
          <w:i w:val="false"/>
          <w:iCs w:val="false"/>
          <w:color w:val="000000"/>
          <w:sz w:val="22"/>
          <w:szCs w:val="22"/>
        </w:rPr>
        <w:t xml:space="preserve">1.  All data used is 100% synthetic — no real personal data is at risk at any stage.</w:t>
      </w:r>
    </w:p>
    <w:p>
      <w:pPr>
        <w:jc w:val="left"/>
      </w:pPr>
      <w:r>
        <w:rPr>
          <w:rFonts w:ascii="Arial" w:cs="Arial" w:eastAsia="Arial" w:hAnsi="Arial"/>
          <w:b w:val="false"/>
          <w:bCs w:val="false"/>
          <w:i w:val="false"/>
          <w:iCs w:val="false"/>
          <w:color w:val="000000"/>
          <w:sz w:val="22"/>
          <w:szCs w:val="22"/>
        </w:rPr>
        <w:t xml:space="preserve">2.  The system is not deployed in production — it runs in a controlled development environment.</w:t>
      </w:r>
    </w:p>
    <w:p>
      <w:pPr>
        <w:jc w:val="left"/>
      </w:pPr>
      <w:r>
        <w:rPr>
          <w:rFonts w:ascii="Arial" w:cs="Arial" w:eastAsia="Arial" w:hAnsi="Arial"/>
          <w:b w:val="false"/>
          <w:bCs w:val="false"/>
          <w:i w:val="false"/>
          <w:iCs w:val="false"/>
          <w:color w:val="000000"/>
          <w:sz w:val="22"/>
          <w:szCs w:val="22"/>
        </w:rPr>
        <w:t xml:space="preserve">3.  All residual risks are documented honestly and the fixes required for production are identified.</w:t>
      </w:r>
    </w:p>
    <w:p>
      <w:pPr>
        <w:jc w:val="left"/>
      </w:pPr>
      <w:r>
        <w:rPr>
          <w:rFonts w:ascii="Arial" w:cs="Arial" w:eastAsia="Arial" w:hAnsi="Arial"/>
          <w:b w:val="false"/>
          <w:bCs w:val="false"/>
          <w:i w:val="false"/>
          <w:iCs w:val="false"/>
          <w:color w:val="000000"/>
          <w:sz w:val="22"/>
          <w:szCs w:val="22"/>
        </w:rPr>
        <w:t xml:space="preserve">4.  The architecture is designed to support the addition of production-grade controls without structural changes.</w:t>
      </w:r>
    </w:p>
    <w:p>
      <w:r>
        <w:t xml:space="preserve"/>
      </w:r>
    </w:p>
    <w:p>
      <w:pPr>
        <w:jc w:val="left"/>
      </w:pPr>
      <w:r>
        <w:rPr>
          <w:rFonts w:ascii="Arial" w:cs="Arial" w:eastAsia="Arial" w:hAnsi="Arial"/>
          <w:b w:val="false"/>
          <w:bCs w:val="false"/>
          <w:i/>
          <w:iCs/>
          <w:color w:val="000000"/>
          <w:sz w:val="22"/>
          <w:szCs w:val="22"/>
        </w:rPr>
        <w:t xml:space="preserve">This honest risk acknowledgement is itself a governance best practice aligned to the AI Verify framework.</w:t>
      </w:r>
    </w:p>
    <w:p>
      <w:r>
        <w:t xml:space="preserve"/>
      </w:r>
    </w:p>
    <w:p>
      <w:r>
        <w:t xml:space="preserve"/>
      </w:r>
    </w:p>
    <w:p>
      <w:pPr>
        <w:jc w:val="center"/>
      </w:pPr>
      <w:r>
        <w:rPr>
          <w:rFonts w:ascii="Arial" w:cs="Arial" w:eastAsia="Arial" w:hAnsi="Arial"/>
          <w:b w:val="false"/>
          <w:bCs w:val="false"/>
          <w:i w:val="false"/>
          <w:iCs w:val="false"/>
          <w:color w:val="777777"/>
          <w:sz w:val="18"/>
          <w:szCs w:val="18"/>
        </w:rPr>
        <w:t xml:space="preserve">Materiality_Assessment_v1_4.docx  |  AIknowlah  |  Agentic ETL Architect</w:t>
      </w:r>
    </w:p>
    <w:p>
      <w:pPr>
        <w:jc w:val="center"/>
      </w:pPr>
      <w:r>
        <w:rPr>
          <w:rFonts w:ascii="Arial" w:cs="Arial" w:eastAsia="Arial" w:hAnsi="Arial"/>
          <w:b w:val="false"/>
          <w:bCs w:val="false"/>
          <w:i w:val="false"/>
          <w:iCs w:val="false"/>
          <w:color w:val="777777"/>
          <w:sz w:val="18"/>
          <w:szCs w:val="18"/>
        </w:rPr>
        <w:t xml:space="preserve">IMDA 2026 AI Governance Framework  |  AI Verify Testing Framework (2025 Edition)  |  PDPA Singapore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2026-03-29T05:53:33.703Z</dcterms:created>
  <dcterms:modified xsi:type="dcterms:W3CDTF">2026-03-29T05:53:33.703Z</dcterms:modified>
</cp:coreProperties>
</file>

<file path=docProps/custom.xml><?xml version="1.0" encoding="utf-8"?>
<Properties xmlns="http://schemas.openxmlformats.org/officeDocument/2006/custom-properties" xmlns:vt="http://schemas.openxmlformats.org/officeDocument/2006/docPropsVTypes"/>
</file>