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eastAsia="Arial" w:cs="Arial"/>
          <w:b/>
          <w:bCs/>
          <w:i w:val="false"/>
          <w:iCs w:val="false"/>
          <w:color w:val="000000"/>
          <w:sz w:val="36"/>
          <w:szCs w:val="36"/>
        </w:rPr>
        <w:t>SYSTEM CARD</w:t>
      </w:r>
    </w:p>
    <w:p>
      <w:pPr>
        <w:pStyle w:val="Normal"/>
        <w:jc w:val="center"/>
        <w:rPr/>
      </w:pPr>
      <w:r>
        <w:rPr>
          <w:rFonts w:eastAsia="Arial" w:cs="Arial"/>
          <w:b/>
          <w:bCs/>
          <w:i w:val="false"/>
          <w:iCs w:val="false"/>
          <w:color w:val="1F4E79"/>
          <w:sz w:val="28"/>
          <w:szCs w:val="28"/>
        </w:rPr>
        <w:t>Agentic ETL Architect — Secure RAG Pipeline</w:t>
      </w:r>
    </w:p>
    <w:p>
      <w:pPr>
        <w:pStyle w:val="Normal"/>
        <w:jc w:val="center"/>
        <w:rPr/>
      </w:pPr>
      <w:r>
        <w:rPr>
          <w:rFonts w:eastAsia="Arial" w:cs="Arial"/>
          <w:b w:val="false"/>
          <w:bCs w:val="false"/>
          <w:i w:val="false"/>
          <w:iCs w:val="false"/>
          <w:color w:val="777777"/>
          <w:sz w:val="22"/>
          <w:szCs w:val="22"/>
        </w:rPr>
        <w:t>AIknowlah  |  Singapore  |  v1.4  |  29 March 2026</w:t>
      </w:r>
    </w:p>
    <w:p>
      <w:pPr>
        <w:pStyle w:val="Normal"/>
        <w:rPr/>
      </w:pPr>
      <w:r>
        <w:rPr/>
      </w:r>
    </w:p>
    <w:p>
      <w:pPr>
        <w:pStyle w:val="Normal"/>
        <w:rPr/>
      </w:pPr>
      <w:r>
        <w:rPr/>
      </w:r>
    </w:p>
    <w:p>
      <w:pPr>
        <w:pStyle w:val="Heading1"/>
        <w:rPr/>
      </w:pPr>
      <w:r>
        <w:rPr>
          <w:rFonts w:eastAsia="Arial" w:cs="Arial" w:ascii="Arial" w:hAnsi="Arial"/>
        </w:rPr>
        <w:t>1. System Overview</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Field</w:t>
            </w:r>
          </w:p>
        </w:tc>
        <w:tc>
          <w:tcPr>
            <w:tcW w:w="6561"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Detail</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System Name</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Agentic ETL Architect — Secure RAG Pipeline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Version</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v1.4 (29 March 2026)</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Developer</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AIknowlah | github.com/AIknowlah/imda-agentic-governance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Purpose</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Demonstrate responsible AI governance in a secure, role-based, AI-powered employee data retrieval system aligned to the IMDA 2026 Model AI Governance Framework.</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Context</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Educational and portfolio project. Built to demonstrate practical application of IMDA 2026 principles for Singapore SME context.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Data Used</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100% synthetic employee records — AI-generated using Gemini. No real personal data at any stage.</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Infrastructure</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Google Cloud Platform — BigQuery (asia-southeast1), Gemini API (gemini-2.5-flash, gemini-embedding-001)</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Governance Framework</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IMDA 2026 Model AI Governance Framework for Agentic AI | AI Verify Testing Framework (2025 Edition) | PDPA Singapore</w:t>
            </w:r>
          </w:p>
        </w:tc>
      </w:tr>
    </w:tbl>
    <w:p>
      <w:pPr>
        <w:pStyle w:val="Normal"/>
        <w:rPr/>
      </w:pPr>
      <w:r>
        <w:rPr/>
      </w:r>
    </w:p>
    <w:p>
      <w:pPr>
        <w:pStyle w:val="Heading1"/>
        <w:rPr/>
      </w:pPr>
      <w:r>
        <w:rPr>
          <w:rFonts w:eastAsia="Arial" w:cs="Arial" w:ascii="Arial" w:hAnsi="Arial"/>
        </w:rPr>
        <w:t>2. What the System Does</w:t>
      </w:r>
    </w:p>
    <w:p>
      <w:pPr>
        <w:pStyle w:val="Normal"/>
        <w:jc w:val="start"/>
        <w:rPr/>
      </w:pPr>
      <w:r>
        <w:rPr>
          <w:rFonts w:eastAsia="Arial" w:cs="Arial"/>
          <w:b w:val="false"/>
          <w:bCs w:val="false"/>
          <w:i w:val="false"/>
          <w:iCs w:val="false"/>
          <w:color w:val="000000"/>
          <w:sz w:val="22"/>
          <w:szCs w:val="22"/>
        </w:rPr>
        <w:t>A user submits a natural language query along with their role. The system:</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599"/>
        <w:gridCol w:w="2400"/>
        <w:gridCol w:w="6361"/>
      </w:tblGrid>
      <w:tr>
        <w:trPr/>
        <w:tc>
          <w:tcPr>
            <w:tcW w:w="5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Step</w:t>
            </w:r>
          </w:p>
        </w:tc>
        <w:tc>
          <w:tcPr>
            <w:tcW w:w="240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Node</w:t>
            </w:r>
          </w:p>
        </w:tc>
        <w:tc>
          <w:tcPr>
            <w:tcW w:w="6361"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Action</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1</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validate_role</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Checks the role against a known list. Unknown roles are denied immediately before any data is accessed.</w:t>
            </w:r>
          </w:p>
        </w:tc>
      </w:tr>
      <w:tr>
        <w:trPr/>
        <w:tc>
          <w:tcPr>
            <w:tcW w:w="5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2</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input_guard</w:t>
            </w:r>
          </w:p>
        </w:tc>
        <w:tc>
          <w:tcPr>
            <w:tcW w:w="63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Sanitises the query, scans for 23 injection patterns across 6 attack categories, and checks the role's query rate (10/hour). Blocked queries are denied and logged.</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3</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embed_query</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Converts the sanitised query to a 3072-dimension embedding using Gemini gemini-embedding-001.</w:t>
            </w:r>
          </w:p>
        </w:tc>
      </w:tr>
      <w:tr>
        <w:trPr/>
        <w:tc>
          <w:tcPr>
            <w:tcW w:w="5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4</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retrieve</w:t>
            </w:r>
          </w:p>
        </w:tc>
        <w:tc>
          <w:tcPr>
            <w:tcW w:w="63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Calculates cosine similarity against stored embeddings. Returns the top 5 most semantically relevant records. Warns if top score is below 0.3.</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5</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enforce_rbac</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Strips all fields not explicitly permitted for the role. General_Staff sees name and employment only. Sensitive fields are never exposed to unauthorised roles.</w:t>
            </w:r>
          </w:p>
        </w:tc>
      </w:tr>
      <w:tr>
        <w:trPr/>
        <w:tc>
          <w:tcPr>
            <w:tcW w:w="5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6</w:t>
            </w:r>
          </w:p>
        </w:tc>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human_review</w:t>
            </w:r>
          </w:p>
        </w:tc>
        <w:tc>
          <w:tcPr>
            <w:tcW w:w="63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If sensitive fields are present in results, the pipeline pauses. A second person (supervisor) must authenticate with a PIN. Three wrong PINs locks the account and emails the manager.</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7</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output</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Displays results labelled [AI-GENERATED] with RBAC rule and similarity scores. Every outcome — approved or denied — is permanently logged to BigQuery audit_log.</w:t>
            </w:r>
          </w:p>
        </w:tc>
      </w:tr>
    </w:tbl>
    <w:p>
      <w:pPr>
        <w:pStyle w:val="Normal"/>
        <w:rPr/>
      </w:pPr>
      <w:r>
        <w:rPr/>
      </w:r>
    </w:p>
    <w:p>
      <w:pPr>
        <w:pStyle w:val="Heading1"/>
        <w:rPr/>
      </w:pPr>
      <w:r>
        <w:rPr>
          <w:rFonts w:eastAsia="Arial" w:cs="Arial" w:ascii="Arial" w:hAnsi="Arial"/>
        </w:rPr>
        <w:t>3. Role-Based Access Control</w:t>
      </w:r>
    </w:p>
    <w:tbl>
      <w:tblPr>
        <w:tblW w:w="9360" w:type="dxa"/>
        <w:jc w:val="start"/>
        <w:tblInd w:w="0" w:type="dxa"/>
        <w:tblLayout w:type="fixed"/>
        <w:tblCellMar>
          <w:top w:w="80" w:type="dxa"/>
          <w:start w:w="120" w:type="dxa"/>
          <w:bottom w:w="80" w:type="dxa"/>
          <w:end w:w="120" w:type="dxa"/>
        </w:tblCellMar>
      </w:tblPr>
      <w:tblGrid>
        <w:gridCol w:w="2000"/>
        <w:gridCol w:w="3499"/>
        <w:gridCol w:w="3861"/>
      </w:tblGrid>
      <w:tr>
        <w:trPr/>
        <w:tc>
          <w:tcPr>
            <w:tcW w:w="200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Role</w:t>
            </w:r>
          </w:p>
        </w:tc>
        <w:tc>
          <w:tcPr>
            <w:tcW w:w="34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Permitted Fields</w:t>
            </w:r>
          </w:p>
        </w:tc>
        <w:tc>
          <w:tcPr>
            <w:tcW w:w="3861"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HITL Required</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General_Staff</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name, employment</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No — no sensitive fields</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HR_Admin</w:t>
            </w:r>
          </w:p>
        </w:tc>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name, employment, nric, ethnicity</w:t>
            </w:r>
          </w:p>
        </w:tc>
        <w:tc>
          <w:tcPr>
            <w:tcW w:w="38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Yes — nric and ethnicity are sensitive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Finance_Lead</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name, employment, financial_info</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Yes — financial_info is sensitive</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Medical_Lead</w:t>
            </w:r>
          </w:p>
        </w:tc>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name, employment, medical_info</w:t>
            </w:r>
          </w:p>
        </w:tc>
        <w:tc>
          <w:tcPr>
            <w:tcW w:w="38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Yes — medical_info is sensitive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criminal_record</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Not permitted for any role</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N/A — field blocked entirely</w:t>
            </w:r>
          </w:p>
        </w:tc>
      </w:tr>
    </w:tbl>
    <w:p>
      <w:pPr>
        <w:pStyle w:val="Normal"/>
        <w:rPr/>
      </w:pPr>
      <w:r>
        <w:rPr/>
      </w:r>
    </w:p>
    <w:p>
      <w:pPr>
        <w:pStyle w:val="Heading1"/>
        <w:rPr/>
      </w:pPr>
      <w:r>
        <w:rPr>
          <w:rFonts w:eastAsia="Arial" w:cs="Arial" w:ascii="Arial" w:hAnsi="Arial"/>
        </w:rPr>
        <w:t>4. Governance Controls</w:t>
      </w:r>
    </w:p>
    <w:tbl>
      <w:tblPr>
        <w:tblW w:w="9360" w:type="dxa"/>
        <w:jc w:val="start"/>
        <w:tblInd w:w="0" w:type="dxa"/>
        <w:tblLayout w:type="fixed"/>
        <w:tblCellMar>
          <w:top w:w="80" w:type="dxa"/>
          <w:start w:w="120" w:type="dxa"/>
          <w:bottom w:w="80" w:type="dxa"/>
          <w:end w:w="120" w:type="dxa"/>
        </w:tblCellMar>
      </w:tblPr>
      <w:tblGrid>
        <w:gridCol w:w="2799"/>
        <w:gridCol w:w="3761"/>
        <w:gridCol w:w="2800"/>
      </w:tblGrid>
      <w:tr>
        <w:trPr/>
        <w:tc>
          <w:tcPr>
            <w:tcW w:w="27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Control</w:t>
            </w:r>
          </w:p>
        </w:tc>
        <w:tc>
          <w:tcPr>
            <w:tcW w:w="3761"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Implementation</w:t>
            </w:r>
          </w:p>
        </w:tc>
        <w:tc>
          <w:tcPr>
            <w:tcW w:w="280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IMDA / AI Verify Alignment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Bounded Autonomy</w:t>
            </w:r>
          </w:p>
        </w:tc>
        <w:tc>
          <w:tcPr>
            <w:tcW w:w="37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LangGraph StateGraph — agent cannot act outside defined nodes</w:t>
            </w:r>
          </w:p>
        </w:tc>
        <w:tc>
          <w:tcPr>
            <w:tcW w:w="28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IMDA 2026 Bounded Autonomy</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Least-Privilege Access</w:t>
            </w:r>
          </w:p>
        </w:tc>
        <w:tc>
          <w:tcPr>
            <w:tcW w:w="37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RBAC strips all fields not explicitly permitted. criminal_record blocked for all roles.</w:t>
            </w:r>
          </w:p>
        </w:tc>
        <w:tc>
          <w:tcPr>
            <w:tcW w:w="28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AI Verify P8 Data Governance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Input Hardening</w:t>
            </w:r>
          </w:p>
        </w:tc>
        <w:tc>
          <w:tcPr>
            <w:tcW w:w="37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23 injection patterns, sanitisation, rate limiting (10/hour/role)</w:t>
            </w:r>
          </w:p>
        </w:tc>
        <w:tc>
          <w:tcPr>
            <w:tcW w:w="28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AI Verify P4, P5, P6</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Meaningful Human Control</w:t>
            </w:r>
          </w:p>
        </w:tc>
        <w:tc>
          <w:tcPr>
            <w:tcW w:w="37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Two-person HITL — supervisor PIN, three-strike lockout, Gmail escalation</w:t>
            </w:r>
          </w:p>
        </w:tc>
        <w:tc>
          <w:tcPr>
            <w:tcW w:w="28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IMDA 2026 Human Control | P10</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Transparency</w:t>
            </w:r>
          </w:p>
        </w:tc>
        <w:tc>
          <w:tcPr>
            <w:tcW w:w="37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[AI-GENERATED] labels, similarity scores, RBAC rule shown on every output</w:t>
            </w:r>
          </w:p>
        </w:tc>
        <w:tc>
          <w:tcPr>
            <w:tcW w:w="28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AI Verify P1, P2</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Auditability</w:t>
            </w:r>
          </w:p>
        </w:tc>
        <w:tc>
          <w:tcPr>
            <w:tcW w:w="37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Every query logged to BigQuery audit_log with request_id, decision, injection_flag, rbac_rule_applied</w:t>
            </w:r>
          </w:p>
        </w:tc>
        <w:tc>
          <w:tcPr>
            <w:tcW w:w="28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AI Verify P9 Accountability</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Data Residency</w:t>
            </w:r>
          </w:p>
        </w:tc>
        <w:tc>
          <w:tcPr>
            <w:tcW w:w="37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All data stored in asia-southeast1 (Singapore) BigQuery region</w:t>
            </w:r>
          </w:p>
        </w:tc>
        <w:tc>
          <w:tcPr>
            <w:tcW w:w="28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PDPA Singapore</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Reproducibility</w:t>
            </w:r>
          </w:p>
        </w:tc>
        <w:tc>
          <w:tcPr>
            <w:tcW w:w="37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134 automated tests, pinned dependencies, deterministic pipeline</w:t>
            </w:r>
          </w:p>
        </w:tc>
        <w:tc>
          <w:tcPr>
            <w:tcW w:w="28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AI Verify P3</w:t>
            </w:r>
          </w:p>
        </w:tc>
      </w:tr>
    </w:tbl>
    <w:p>
      <w:pPr>
        <w:pStyle w:val="Normal"/>
        <w:rPr/>
      </w:pPr>
      <w:r>
        <w:rPr/>
      </w:r>
    </w:p>
    <w:p>
      <w:pPr>
        <w:pStyle w:val="Heading1"/>
        <w:rPr/>
      </w:pPr>
      <w:r>
        <w:rPr>
          <w:rFonts w:eastAsia="Arial" w:cs="Arial" w:ascii="Arial" w:hAnsi="Arial"/>
        </w:rPr>
        <w:t>5. Intended and Prohibited Uses</w:t>
      </w:r>
    </w:p>
    <w:p>
      <w:pPr>
        <w:pStyle w:val="Heading2"/>
        <w:rPr/>
      </w:pPr>
      <w:r>
        <w:rPr>
          <w:rFonts w:eastAsia="Arial" w:cs="Arial" w:ascii="Arial" w:hAnsi="Arial"/>
        </w:rPr>
        <w:t>Intended Uses</w:t>
      </w:r>
    </w:p>
    <w:p>
      <w:pPr>
        <w:pStyle w:val="Normal"/>
        <w:jc w:val="start"/>
        <w:rPr/>
      </w:pPr>
      <w:r>
        <w:rPr>
          <w:rFonts w:eastAsia="Arial" w:cs="Arial"/>
          <w:b w:val="false"/>
          <w:bCs w:val="false"/>
          <w:i w:val="false"/>
          <w:iCs w:val="false"/>
          <w:color w:val="000000"/>
          <w:sz w:val="22"/>
          <w:szCs w:val="22"/>
        </w:rPr>
        <w:t>This system is designed for controlled, role-based retrieval of employee data within an organisation that has clearly defined data access policies. Appropriate uses include HR administrators querying employee PII with proper authorisation, finance leads accessing financial records under supervisor approval, and medical leads accessing health data under the same two-person governance control.</w:t>
      </w:r>
    </w:p>
    <w:p>
      <w:pPr>
        <w:pStyle w:val="Normal"/>
        <w:rPr/>
      </w:pPr>
      <w:r>
        <w:rPr/>
      </w:r>
    </w:p>
    <w:p>
      <w:pPr>
        <w:pStyle w:val="Heading2"/>
        <w:rPr/>
      </w:pPr>
      <w:r>
        <w:rPr>
          <w:rFonts w:eastAsia="Arial" w:cs="Arial" w:ascii="Arial" w:hAnsi="Arial"/>
        </w:rPr>
        <w:t>Prohibited Uses</w:t>
      </w:r>
    </w:p>
    <w:p>
      <w:pPr>
        <w:pStyle w:val="Normal"/>
        <w:jc w:val="start"/>
        <w:rPr/>
      </w:pPr>
      <w:r>
        <w:rPr>
          <w:rFonts w:eastAsia="Arial" w:cs="Arial"/>
          <w:b w:val="false"/>
          <w:bCs w:val="false"/>
          <w:i w:val="false"/>
          <w:iCs w:val="false"/>
          <w:color w:val="000000"/>
          <w:sz w:val="22"/>
          <w:szCs w:val="22"/>
        </w:rPr>
        <w:t>This system must not be used to process real personal data without appropriate data protection impact assessment. It must not be used as the sole access control mechanism without additional infrastructure-level controls. It must not be deployed in production on Windows without replacing the HITL timeout mechanism.</w:t>
      </w:r>
    </w:p>
    <w:p>
      <w:pPr>
        <w:pStyle w:val="Normal"/>
        <w:rPr/>
      </w:pPr>
      <w:r>
        <w:rPr/>
      </w:r>
    </w:p>
    <w:p>
      <w:pPr>
        <w:pStyle w:val="Heading1"/>
        <w:rPr/>
      </w:pPr>
      <w:r>
        <w:rPr>
          <w:rFonts w:eastAsia="Arial" w:cs="Arial" w:ascii="Arial" w:hAnsi="Arial"/>
        </w:rPr>
        <w:t>6. Known Limitations and Honest Gap Disclosures</w:t>
      </w:r>
    </w:p>
    <w:p>
      <w:pPr>
        <w:pStyle w:val="Normal"/>
        <w:rPr/>
      </w:pPr>
      <w:r>
        <w:rPr/>
      </w:r>
    </w:p>
    <w:p>
      <w:pPr>
        <w:pStyle w:val="Heading2"/>
        <w:rPr/>
      </w:pPr>
      <w:r>
        <w:rPr>
          <w:rFonts w:eastAsia="Arial" w:cs="Arial" w:ascii="Arial" w:hAnsi="Arial"/>
        </w:rPr>
        <w:t>Gap 1 — Application-Layer Access Controls Only</w:t>
      </w:r>
    </w:p>
    <w:p>
      <w:pPr>
        <w:pStyle w:val="Normal"/>
        <w:jc w:val="start"/>
        <w:rPr/>
      </w:pPr>
      <w:r>
        <w:rPr>
          <w:rFonts w:eastAsia="Arial" w:cs="Arial"/>
          <w:b w:val="false"/>
          <w:bCs w:val="false"/>
          <w:i w:val="false"/>
          <w:iCs w:val="false"/>
          <w:color w:val="000000"/>
          <w:sz w:val="22"/>
          <w:szCs w:val="22"/>
        </w:rPr>
        <w:t>Access controls are enforced at the application layer. Direct BigQuery access is restricted to project administrators via GCP IAM. A production deployment would implement BigQuery column-level security as an additional defence-in-depth layer. This gap is acknowledged and documented. The use of synthetic data in this project means no real personal data is at risk.</w:t>
      </w:r>
    </w:p>
    <w:p>
      <w:pPr>
        <w:pStyle w:val="Normal"/>
        <w:rPr/>
      </w:pPr>
      <w:r>
        <w:rPr/>
      </w:r>
    </w:p>
    <w:p>
      <w:pPr>
        <w:pStyle w:val="Heading2"/>
        <w:rPr/>
      </w:pPr>
      <w:r>
        <w:rPr>
          <w:rFonts w:eastAsia="Arial" w:cs="Arial" w:ascii="Arial" w:hAnsi="Arial"/>
        </w:rPr>
        <w:t>Gap 2 — Windows HITL Timeout</w:t>
      </w:r>
    </w:p>
    <w:p>
      <w:pPr>
        <w:pStyle w:val="Normal"/>
        <w:jc w:val="start"/>
        <w:rPr/>
      </w:pPr>
      <w:r>
        <w:rPr>
          <w:rFonts w:eastAsia="Arial" w:cs="Arial"/>
          <w:b w:val="false"/>
          <w:bCs w:val="false"/>
          <w:i w:val="false"/>
          <w:iCs w:val="false"/>
          <w:color w:val="000000"/>
          <w:sz w:val="22"/>
          <w:szCs w:val="22"/>
        </w:rPr>
        <w:t>The HITL gate timeout is implemented using signal.SIGALRM, which is only available on Unix/Linux/Mac operating systems. On Windows (the current development environment), the timeout is silently skipped — the gate will wait indefinitely if no supervisor responds. A production deployment would require threading.Timer as a cross-platform alternative to ensure the gate never waits indefinitely regardless of operating system.</w:t>
      </w:r>
    </w:p>
    <w:p>
      <w:pPr>
        <w:pStyle w:val="Normal"/>
        <w:rPr/>
      </w:pPr>
      <w:r>
        <w:rPr/>
      </w:r>
    </w:p>
    <w:p>
      <w:pPr>
        <w:pStyle w:val="Heading2"/>
        <w:rPr/>
      </w:pPr>
      <w:r>
        <w:rPr>
          <w:rFonts w:eastAsia="Arial" w:cs="Arial" w:ascii="Arial" w:hAnsi="Arial"/>
        </w:rPr>
        <w:t>Gap 3 — Fairness Assessment Not Conducted</w:t>
      </w:r>
    </w:p>
    <w:p>
      <w:pPr>
        <w:pStyle w:val="Normal"/>
        <w:jc w:val="start"/>
        <w:rPr/>
      </w:pPr>
      <w:r>
        <w:rPr>
          <w:rFonts w:eastAsia="Arial" w:cs="Arial"/>
          <w:b w:val="false"/>
          <w:bCs w:val="false"/>
          <w:i w:val="false"/>
          <w:iCs w:val="false"/>
          <w:color w:val="000000"/>
          <w:sz w:val="22"/>
          <w:szCs w:val="22"/>
        </w:rPr>
        <w:t>This project uses 100% synthetic employee data generated by Gemini AI. No demographic bias analysis has been conducted because the data is artificial and does not represent any real population. A production deployment using real employee data would require a formal fairness assessment including demographic parity analysis across the RBAC roles and retrieval results.</w:t>
      </w:r>
    </w:p>
    <w:p>
      <w:pPr>
        <w:pStyle w:val="Normal"/>
        <w:rPr/>
      </w:pPr>
      <w:r>
        <w:rPr/>
      </w:r>
    </w:p>
    <w:p>
      <w:pPr>
        <w:pStyle w:val="Heading2"/>
        <w:rPr/>
      </w:pPr>
      <w:r>
        <w:rPr>
          <w:rFonts w:eastAsia="Arial" w:cs="Arial" w:ascii="Arial" w:hAnsi="Arial"/>
        </w:rPr>
        <w:t>Gap 4 — No Formal Penetration Testing</w:t>
      </w:r>
    </w:p>
    <w:p>
      <w:pPr>
        <w:pStyle w:val="Normal"/>
        <w:jc w:val="start"/>
        <w:rPr/>
      </w:pPr>
      <w:r>
        <w:rPr>
          <w:rFonts w:eastAsia="Arial" w:cs="Arial"/>
          <w:b w:val="false"/>
          <w:bCs w:val="false"/>
          <w:i w:val="false"/>
          <w:iCs w:val="false"/>
          <w:color w:val="000000"/>
          <w:sz w:val="22"/>
          <w:szCs w:val="22"/>
        </w:rPr>
        <w:t>The injection detection and rate limiting controls have been verified through automated unit tests (134 tests, 0 failures). However, no formal external penetration test has been conducted. This is appropriate for a portfolio project but would be required before any production deployment.</w:t>
      </w:r>
    </w:p>
    <w:p>
      <w:pPr>
        <w:pStyle w:val="Normal"/>
        <w:rPr/>
      </w:pPr>
      <w:r>
        <w:rPr/>
      </w:r>
    </w:p>
    <w:p>
      <w:pPr>
        <w:pStyle w:val="Heading1"/>
        <w:rPr/>
      </w:pPr>
      <w:r>
        <w:rPr>
          <w:rFonts w:eastAsia="Arial" w:cs="Arial" w:ascii="Arial" w:hAnsi="Arial"/>
        </w:rPr>
        <w:t>7. Test Evidence Summary</w:t>
      </w:r>
    </w:p>
    <w:tbl>
      <w:tblPr>
        <w:tblW w:w="9360" w:type="dxa"/>
        <w:jc w:val="start"/>
        <w:tblInd w:w="0" w:type="dxa"/>
        <w:tblLayout w:type="fixed"/>
        <w:tblCellMar>
          <w:top w:w="80" w:type="dxa"/>
          <w:start w:w="120" w:type="dxa"/>
          <w:bottom w:w="80" w:type="dxa"/>
          <w:end w:w="120" w:type="dxa"/>
        </w:tblCellMar>
      </w:tblPr>
      <w:tblGrid>
        <w:gridCol w:w="2799"/>
        <w:gridCol w:w="1201"/>
        <w:gridCol w:w="5360"/>
      </w:tblGrid>
      <w:tr>
        <w:trPr/>
        <w:tc>
          <w:tcPr>
            <w:tcW w:w="27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Test Script</w:t>
            </w:r>
          </w:p>
        </w:tc>
        <w:tc>
          <w:tcPr>
            <w:tcW w:w="1201"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Result</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What It Proves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test_sanitisation.py</w:t>
            </w:r>
          </w:p>
        </w:tc>
        <w:tc>
          <w:tcPr>
            <w:tcW w:w="12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1F7A1F"/>
                <w:sz w:val="20"/>
                <w:szCs w:val="20"/>
              </w:rPr>
              <w:t>18/18 ✅</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Malformed inputs handled cleanly — empty, oversized, symbol-only, control characters</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test_injection.py</w:t>
            </w:r>
          </w:p>
        </w:tc>
        <w:tc>
          <w:tcPr>
            <w:tcW w:w="12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1F7A1F"/>
                <w:sz w:val="20"/>
                <w:szCs w:val="20"/>
              </w:rPr>
              <w:t>33/33 ✅</w:t>
            </w:r>
          </w:p>
        </w:tc>
        <w:tc>
          <w:tcPr>
            <w:tcW w:w="53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23 injection patterns blocked, 10 legitimate queries allowed through — zero false positives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test_rate_limit.py</w:t>
            </w:r>
          </w:p>
        </w:tc>
        <w:tc>
          <w:tcPr>
            <w:tcW w:w="12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1F7A1F"/>
                <w:sz w:val="20"/>
                <w:szCs w:val="20"/>
              </w:rPr>
              <w:t>5/5 ✅</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Rate limit triggers at query 11, blocked attempts logged with blocked=TRUE</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test_similarity.py</w:t>
            </w:r>
          </w:p>
        </w:tc>
        <w:tc>
          <w:tcPr>
            <w:tcW w:w="12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1F7A1F"/>
                <w:sz w:val="20"/>
                <w:szCs w:val="20"/>
              </w:rPr>
              <w:t>10/10 ✅</w:t>
            </w:r>
          </w:p>
        </w:tc>
        <w:tc>
          <w:tcPr>
            <w:tcW w:w="53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Similarity scoring correct, low-score warning fires below 0.3 threshold</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test_rbac.py</w:t>
            </w:r>
          </w:p>
        </w:tc>
        <w:tc>
          <w:tcPr>
            <w:tcW w:w="12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1F7A1F"/>
                <w:sz w:val="20"/>
                <w:szCs w:val="20"/>
              </w:rPr>
              <w:t>34/34 ✅</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All 4 roles verified — permitted fields present, denied fields absent, criminal_record blocked</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test_audit_log.py</w:t>
            </w:r>
          </w:p>
        </w:tc>
        <w:tc>
          <w:tcPr>
            <w:tcW w:w="12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1F7A1F"/>
                <w:sz w:val="20"/>
                <w:szCs w:val="20"/>
              </w:rPr>
              <w:t>22/22 ✅</w:t>
            </w:r>
          </w:p>
        </w:tc>
        <w:tc>
          <w:tcPr>
            <w:tcW w:w="53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Every pipeline outcome produces complete, accurate BigQuery audit entry</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test_hitl.py</w:t>
            </w:r>
          </w:p>
        </w:tc>
        <w:tc>
          <w:tcPr>
            <w:tcW w:w="12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1F7A1F"/>
                <w:sz w:val="20"/>
                <w:szCs w:val="20"/>
              </w:rPr>
              <w:t>12/12 ✅</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Locked accounts blocked, two-person rule enforced, PIN verification correct, reset verified</w:t>
            </w:r>
          </w:p>
        </w:tc>
      </w:tr>
      <w:tr>
        <w:trPr/>
        <w:tc>
          <w:tcPr>
            <w:tcW w:w="27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TOTAL</w:t>
            </w:r>
          </w:p>
        </w:tc>
        <w:tc>
          <w:tcPr>
            <w:tcW w:w="1201"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134/134</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val="false"/>
                <w:bCs w:val="false"/>
                <w:color w:val="FFFFFF"/>
                <w:sz w:val="20"/>
                <w:szCs w:val="20"/>
              </w:rPr>
              <w:t>All tests passing — 0 failures</w:t>
            </w:r>
          </w:p>
        </w:tc>
      </w:tr>
    </w:tbl>
    <w:p>
      <w:pPr>
        <w:pStyle w:val="Normal"/>
        <w:rPr/>
      </w:pPr>
      <w:r>
        <w:rPr/>
      </w:r>
    </w:p>
    <w:p>
      <w:pPr>
        <w:pStyle w:val="Heading1"/>
        <w:rPr/>
      </w:pPr>
      <w:r>
        <w:rPr>
          <w:rFonts w:eastAsia="Arial" w:cs="Arial" w:ascii="Arial" w:hAnsi="Arial"/>
        </w:rPr>
        <w:t>8. Inclusive Growth Statement</w:t>
      </w:r>
    </w:p>
    <w:p>
      <w:pPr>
        <w:pStyle w:val="Normal"/>
        <w:jc w:val="start"/>
        <w:rPr/>
      </w:pPr>
      <w:r>
        <w:rPr>
          <w:rFonts w:eastAsia="Arial" w:cs="Arial"/>
          <w:b w:val="false"/>
          <w:bCs w:val="false"/>
          <w:i w:val="false"/>
          <w:iCs w:val="false"/>
          <w:color w:val="000000"/>
          <w:sz w:val="22"/>
          <w:szCs w:val="22"/>
        </w:rPr>
        <w:t>This project is built in the Singapore context and is designed to demonstrate that responsible AI governance is achievable by small and medium enterprises, not only large organisations with dedicated compliance teams. The IMDA 2026 framework and AI Verify toolkit are specifically designed to be accessible to Singapore SMEs, and this project demonstrates a practical, documented implementation at an appropriate scale.</w:t>
      </w:r>
    </w:p>
    <w:p>
      <w:pPr>
        <w:pStyle w:val="Normal"/>
        <w:rPr/>
      </w:pPr>
      <w:r>
        <w:rPr/>
      </w:r>
    </w:p>
    <w:p>
      <w:pPr>
        <w:pStyle w:val="Normal"/>
        <w:jc w:val="start"/>
        <w:rPr/>
      </w:pPr>
      <w:r>
        <w:rPr>
          <w:rFonts w:eastAsia="Arial" w:cs="Arial"/>
          <w:b w:val="false"/>
          <w:bCs w:val="false"/>
          <w:i w:val="false"/>
          <w:iCs w:val="false"/>
          <w:color w:val="000000"/>
          <w:sz w:val="22"/>
          <w:szCs w:val="22"/>
        </w:rPr>
        <w:t>The synthetic dataset used in this project was designed to reflect Singapore's multi-racial workforce — names and records represent Chinese, Malay, and Indian communities as well as other nationalities, consistent with Singapore's demographic reality. This design choice ensures the system is tested in a context that reflects the population it might serve.</w:t>
      </w:r>
    </w:p>
    <w:p>
      <w:pPr>
        <w:pStyle w:val="Normal"/>
        <w:rPr/>
      </w:pPr>
      <w:r>
        <w:rPr/>
      </w:r>
    </w:p>
    <w:p>
      <w:pPr>
        <w:pStyle w:val="Normal"/>
        <w:rPr/>
      </w:pPr>
      <w:r>
        <w:rPr/>
      </w:r>
    </w:p>
    <w:p>
      <w:pPr>
        <w:pStyle w:val="Normal"/>
        <w:jc w:val="center"/>
        <w:rPr/>
      </w:pPr>
      <w:r>
        <w:rPr>
          <w:rFonts w:eastAsia="Arial" w:cs="Arial"/>
          <w:b w:val="false"/>
          <w:bCs w:val="false"/>
          <w:i w:val="false"/>
          <w:iCs w:val="false"/>
          <w:color w:val="777777"/>
          <w:sz w:val="18"/>
          <w:szCs w:val="18"/>
        </w:rPr>
        <w:t>System_Card_v1_4.docx  |  AIknowlah  |  Agentic ETL Architect  |  AIknowlah  |  Agentic ETL Architect</w:t>
      </w:r>
    </w:p>
    <w:p>
      <w:pPr>
        <w:pStyle w:val="Normal"/>
        <w:jc w:val="center"/>
        <w:rPr/>
      </w:pPr>
      <w:r>
        <w:rPr>
          <w:rFonts w:eastAsia="Arial" w:cs="Arial"/>
          <w:b w:val="false"/>
          <w:bCs w:val="false"/>
          <w:i w:val="false"/>
          <w:iCs w:val="false"/>
          <w:color w:val="777777"/>
          <w:sz w:val="18"/>
          <w:szCs w:val="18"/>
        </w:rPr>
        <w:t>IMDA 2026 AI Governance Framework  |  AI Verify Testing Framework (2025 Edition)  |  PDPA Singapore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6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SG"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SG" w:eastAsia="zh-CN" w:bidi="hi-IN"/>
    </w:rPr>
  </w:style>
  <w:style w:type="paragraph" w:styleId="Heading1">
    <w:name w:val="heading 1"/>
    <w:basedOn w:val="Heading"/>
    <w:qFormat/>
    <w:pPr>
      <w:spacing w:before="300" w:after="120"/>
      <w:outlineLvl w:val="0"/>
    </w:pPr>
    <w:rPr>
      <w:rFonts w:ascii="Arial" w:hAnsi="Arial" w:eastAsia="Arial" w:cs="Arial"/>
      <w:b/>
      <w:bCs/>
      <w:color w:val="1F4E79"/>
      <w:sz w:val="32"/>
      <w:szCs w:val="32"/>
    </w:rPr>
  </w:style>
  <w:style w:type="paragraph" w:styleId="Heading2">
    <w:name w:val="heading 2"/>
    <w:basedOn w:val="Heading"/>
    <w:qFormat/>
    <w:pPr>
      <w:spacing w:before="240" w:after="80"/>
      <w:outlineLvl w:val="1"/>
    </w:pPr>
    <w:rPr>
      <w:rFonts w:ascii="Arial" w:hAnsi="Arial" w:eastAsia="Arial" w:cs="Arial"/>
      <w:b/>
      <w:bCs/>
      <w:color w:val="2E75B6"/>
      <w:sz w:val="26"/>
      <w:szCs w:val="26"/>
    </w:rPr>
  </w:style>
  <w:style w:type="paragraph" w:styleId="Heading3">
    <w:name w:val="heading 3"/>
    <w:basedOn w:val="Heading"/>
    <w:qFormat/>
    <w:pPr>
      <w:spacing w:before="180" w:after="6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SG"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SG"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2</Pages>
  <Words>1090</Words>
  <Characters>6762</Characters>
  <CharactersWithSpaces>7751</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2026-03-29T05:53:33Z</dcterms:created>
  <dc:creator>Un-named</dc:creator>
  <dc:description/>
  <dc:language>en-SG</dc:language>
  <cp:lastModifiedBy>Un-named</cp:lastModifiedBy>
  <dcterms:modified xsi:type="dcterms:W3CDTF">2026-03-29T05:53:33Z</dcterms:modified>
  <cp:revision>1</cp:revision>
  <dc:subject/>
  <dc:title/>
</cp:coreProperties>
</file>