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80"/>
        <w:jc w:val="center"/>
        <w:rPr/>
      </w:pPr>
      <w:r>
        <w:rPr>
          <w:rFonts w:eastAsia="Arial" w:cs="Arial"/>
          <w:b/>
          <w:bCs/>
          <w:color w:val="1F4E79"/>
          <w:sz w:val="56"/>
          <w:szCs w:val="56"/>
        </w:rPr>
        <w:t>AI VERIFY FRAMEWORK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36"/>
          <w:szCs w:val="36"/>
        </w:rPr>
        <w:t>Gap Analysis Report — v1.1 Update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666666"/>
          <w:sz w:val="26"/>
          <w:szCs w:val="26"/>
        </w:rPr>
        <w:t>Agentic ETL Architect — Secure RAG Pipeline</w:t>
      </w:r>
    </w:p>
    <w:p>
      <w:pPr>
        <w:pStyle w:val="Normal"/>
        <w:spacing w:before="0" w:after="360"/>
        <w:jc w:val="center"/>
        <w:rPr/>
      </w:pPr>
      <w:r>
        <w:rPr>
          <w:rFonts w:eastAsia="Arial" w:cs="Arial"/>
          <w:i/>
          <w:iCs/>
          <w:color w:val="666666"/>
          <w:sz w:val="22"/>
          <w:szCs w:val="22"/>
        </w:rPr>
        <w:t>28 March 2026  |  IMDA AI Verify Testing Framework (2025 Edition)  |  Updated from v0.9 baseline</w:t>
      </w:r>
    </w:p>
    <w:p>
      <w:pPr>
        <w:pStyle w:val="Normal"/>
        <w:spacing w:before="240" w:after="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8" w:space="0" w:color="C55A11"/>
              <w:start w:val="single" w:sz="8" w:space="0" w:color="C55A11"/>
              <w:bottom w:val="single" w:sz="8" w:space="0" w:color="C55A11"/>
              <w:end w:val="single" w:sz="8" w:space="0" w:color="C55A11"/>
            </w:tcBorders>
            <w:shd w:fill="FCE4D6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C55A11"/>
                <w:sz w:val="22"/>
                <w:szCs w:val="22"/>
              </w:rPr>
              <w:t xml:space="preserve">⚠ </w:t>
            </w:r>
            <w:r>
              <w:rPr>
                <w:rFonts w:eastAsia="Arial" w:cs="Arial"/>
                <w:b/>
                <w:bCs/>
                <w:color w:val="C55A11"/>
                <w:sz w:val="22"/>
                <w:szCs w:val="22"/>
              </w:rPr>
              <w:t>VERSIONING NOTICE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This document represents the gap analysis updated at </w:t>
            </w: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v1.1 (27 March 2026)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. It is intentionally preserved as a baseline assessment and should not be read as the current compliance status of the project.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This v1.1 update marks gaps resolved in v1.0 and v1.1. Gaps resolved in v1.0: 1.1.3, 1.1.4, 3.1.1, 3.5.1, 4.5.1, 10.3.2, 10.3.3. Gaps resolved in v1.1: supervisor PIN verification strengthens 9.6.1 and 10.3.1. Next update at v1.3 after Python test suite is built.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See the project README on GitHub for current compliance status and the full version roadmap (v0.9 → v1.5).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8" w:space="0" w:color="2E75B6"/>
              <w:start w:val="single" w:sz="8" w:space="0" w:color="2E75B6"/>
              <w:bottom w:val="single" w:sz="8" w:space="0" w:color="2E75B6"/>
              <w:end w:val="single" w:sz="8" w:space="0" w:color="2E75B6"/>
            </w:tcBorders>
            <w:shd w:fill="EBF3FB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F4E79"/>
                <w:sz w:val="24"/>
                <w:szCs w:val="24"/>
              </w:rPr>
              <w:t>HOW TO READ THIS REPORT</w:t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7E34"/>
                <w:sz w:val="20"/>
                <w:szCs w:val="20"/>
              </w:rPr>
              <w:t xml:space="preserve">  ✓ </w:t>
            </w:r>
            <w:r>
              <w:rPr>
                <w:rFonts w:eastAsia="Arial" w:cs="Arial"/>
                <w:b/>
                <w:bCs/>
                <w:color w:val="1E7E34"/>
                <w:sz w:val="20"/>
                <w:szCs w:val="20"/>
              </w:rPr>
              <w:t xml:space="preserve">HAVE  </w:t>
            </w:r>
            <w:r>
              <w:rPr>
                <w:rFonts w:eastAsia="Arial" w:cs="Arial"/>
                <w:sz w:val="20"/>
                <w:szCs w:val="20"/>
              </w:rPr>
              <w:t xml:space="preserve"> — Evidence already exists in your codebase or documentation     </w:t>
            </w:r>
            <w:r>
              <w:rPr>
                <w:rFonts w:eastAsia="Arial" w:cs="Arial"/>
                <w:b/>
                <w:bCs/>
                <w:color w:val="7B4F00"/>
                <w:sz w:val="20"/>
                <w:szCs w:val="20"/>
              </w:rPr>
              <w:t xml:space="preserve">  ~ PARTIAL  </w:t>
            </w:r>
            <w:r>
              <w:rPr>
                <w:rFonts w:eastAsia="Arial" w:cs="Arial"/>
                <w:sz w:val="20"/>
                <w:szCs w:val="20"/>
              </w:rPr>
              <w:t xml:space="preserve"> — Partially addressed; needs formalisation or documentation     </w:t>
            </w:r>
            <w:r>
              <w:rPr>
                <w:rFonts w:eastAsia="Arial" w:cs="Arial"/>
                <w:b/>
                <w:bCs/>
                <w:color w:val="B30000"/>
                <w:sz w:val="20"/>
                <w:szCs w:val="20"/>
              </w:rPr>
              <w:t xml:space="preserve">  ✗ GAP  </w:t>
            </w:r>
            <w:r>
              <w:rPr>
                <w:rFonts w:eastAsia="Arial" w:cs="Arial"/>
                <w:sz w:val="20"/>
                <w:szCs w:val="20"/>
              </w:rPr>
              <w:t xml:space="preserve"> — Not yet built; action required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4E79"/>
          <w:sz w:val="34"/>
          <w:szCs w:val="34"/>
        </w:rPr>
        <w:t>1. Readiness Scorecard — All 11 Principles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Summary of your current readiness across all 11 AI Verify principles. Readiness is calculated as: (Have + 0.5 × Partial) ÷ Total checks.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991"/>
        <w:gridCol w:w="1123"/>
        <w:gridCol w:w="1123"/>
        <w:gridCol w:w="1123"/>
        <w:gridCol w:w="1123"/>
        <w:gridCol w:w="1597"/>
      </w:tblGrid>
      <w:tr>
        <w:trPr/>
        <w:tc>
          <w:tcPr>
            <w:tcW w:w="39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Principle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 xml:space="preserve">✓ </w:t>
            </w: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Have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~ Partial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 xml:space="preserve">✗ </w:t>
            </w: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Readiness</w:t>
            </w:r>
          </w:p>
        </w:tc>
      </w:tr>
      <w:tr>
        <w:trPr/>
        <w:tc>
          <w:tcPr>
            <w:tcW w:w="39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1. Transparency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9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7E34"/>
                <w:sz w:val="19"/>
                <w:szCs w:val="19"/>
              </w:rPr>
              <w:t>3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7B4F00"/>
                <w:sz w:val="19"/>
                <w:szCs w:val="19"/>
              </w:rPr>
              <w:t>2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30000"/>
                <w:sz w:val="19"/>
                <w:szCs w:val="19"/>
              </w:rPr>
              <w:t>4</w:t>
            </w:r>
          </w:p>
        </w:tc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MEDIUM</w:t>
            </w:r>
          </w:p>
        </w:tc>
      </w:tr>
      <w:tr>
        <w:trPr/>
        <w:tc>
          <w:tcPr>
            <w:tcW w:w="39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2. Explainability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7E34"/>
                <w:sz w:val="19"/>
                <w:szCs w:val="19"/>
              </w:rPr>
              <w:t>1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7B4F00"/>
                <w:sz w:val="19"/>
                <w:szCs w:val="19"/>
              </w:rPr>
              <w:t>1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30000"/>
                <w:sz w:val="19"/>
                <w:szCs w:val="19"/>
              </w:rPr>
              <w:t>0</w:t>
            </w:r>
          </w:p>
        </w:tc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HIGH</w:t>
            </w:r>
          </w:p>
        </w:tc>
      </w:tr>
      <w:tr>
        <w:trPr/>
        <w:tc>
          <w:tcPr>
            <w:tcW w:w="39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3. Reproducibility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12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7E34"/>
                <w:sz w:val="19"/>
                <w:szCs w:val="19"/>
              </w:rPr>
              <w:t>2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7B4F00"/>
                <w:sz w:val="19"/>
                <w:szCs w:val="19"/>
              </w:rPr>
              <w:t>2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30000"/>
                <w:sz w:val="19"/>
                <w:szCs w:val="19"/>
              </w:rPr>
              <w:t>8</w:t>
            </w:r>
          </w:p>
        </w:tc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LOW</w:t>
            </w:r>
          </w:p>
        </w:tc>
      </w:tr>
      <w:tr>
        <w:trPr/>
        <w:tc>
          <w:tcPr>
            <w:tcW w:w="39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4. Safety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13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7E34"/>
                <w:sz w:val="19"/>
                <w:szCs w:val="19"/>
              </w:rPr>
              <w:t>2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7B4F00"/>
                <w:sz w:val="19"/>
                <w:szCs w:val="19"/>
              </w:rPr>
              <w:t>1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30000"/>
                <w:sz w:val="19"/>
                <w:szCs w:val="19"/>
              </w:rPr>
              <w:t>10</w:t>
            </w:r>
          </w:p>
        </w:tc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LOW</w:t>
            </w:r>
          </w:p>
        </w:tc>
      </w:tr>
      <w:tr>
        <w:trPr/>
        <w:tc>
          <w:tcPr>
            <w:tcW w:w="39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5. Security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14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7E34"/>
                <w:sz w:val="19"/>
                <w:szCs w:val="19"/>
              </w:rPr>
              <w:t>3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7B4F00"/>
                <w:sz w:val="19"/>
                <w:szCs w:val="19"/>
              </w:rPr>
              <w:t>2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30000"/>
                <w:sz w:val="19"/>
                <w:szCs w:val="19"/>
              </w:rPr>
              <w:t>9</w:t>
            </w:r>
          </w:p>
        </w:tc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LOW</w:t>
            </w:r>
          </w:p>
        </w:tc>
      </w:tr>
      <w:tr>
        <w:trPr/>
        <w:tc>
          <w:tcPr>
            <w:tcW w:w="39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6. Robustness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9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7E34"/>
                <w:sz w:val="19"/>
                <w:szCs w:val="19"/>
              </w:rPr>
              <w:t>1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7B4F00"/>
                <w:sz w:val="19"/>
                <w:szCs w:val="19"/>
              </w:rPr>
              <w:t>2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30000"/>
                <w:sz w:val="19"/>
                <w:szCs w:val="19"/>
              </w:rPr>
              <w:t>6</w:t>
            </w:r>
          </w:p>
        </w:tc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LOW</w:t>
            </w:r>
          </w:p>
        </w:tc>
      </w:tr>
      <w:tr>
        <w:trPr/>
        <w:tc>
          <w:tcPr>
            <w:tcW w:w="39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7. Fairness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11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7E34"/>
                <w:sz w:val="19"/>
                <w:szCs w:val="19"/>
              </w:rPr>
              <w:t>1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7B4F00"/>
                <w:sz w:val="19"/>
                <w:szCs w:val="19"/>
              </w:rPr>
              <w:t>1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30000"/>
                <w:sz w:val="19"/>
                <w:szCs w:val="19"/>
              </w:rPr>
              <w:t>9</w:t>
            </w:r>
          </w:p>
        </w:tc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LOW</w:t>
            </w:r>
          </w:p>
        </w:tc>
      </w:tr>
      <w:tr>
        <w:trPr/>
        <w:tc>
          <w:tcPr>
            <w:tcW w:w="39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8. Data Governance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5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7E34"/>
                <w:sz w:val="19"/>
                <w:szCs w:val="19"/>
              </w:rPr>
              <w:t>3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7B4F00"/>
                <w:sz w:val="19"/>
                <w:szCs w:val="19"/>
              </w:rPr>
              <w:t>1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30000"/>
                <w:sz w:val="19"/>
                <w:szCs w:val="19"/>
              </w:rPr>
              <w:t>1</w:t>
            </w:r>
          </w:p>
        </w:tc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MEDIUM</w:t>
            </w:r>
          </w:p>
        </w:tc>
      </w:tr>
      <w:tr>
        <w:trPr/>
        <w:tc>
          <w:tcPr>
            <w:tcW w:w="39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9. Accountability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12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7E34"/>
                <w:sz w:val="19"/>
                <w:szCs w:val="19"/>
              </w:rPr>
              <w:t>2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7B4F00"/>
                <w:sz w:val="19"/>
                <w:szCs w:val="19"/>
              </w:rPr>
              <w:t>2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30000"/>
                <w:sz w:val="19"/>
                <w:szCs w:val="19"/>
              </w:rPr>
              <w:t>8</w:t>
            </w:r>
          </w:p>
        </w:tc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LOW</w:t>
            </w:r>
          </w:p>
        </w:tc>
      </w:tr>
      <w:tr>
        <w:trPr/>
        <w:tc>
          <w:tcPr>
            <w:tcW w:w="39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10. Human Agency &amp; Oversight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8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7E34"/>
                <w:sz w:val="19"/>
                <w:szCs w:val="19"/>
              </w:rPr>
              <w:t>4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7B4F00"/>
                <w:sz w:val="19"/>
                <w:szCs w:val="19"/>
              </w:rPr>
              <w:t>1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30000"/>
                <w:sz w:val="19"/>
                <w:szCs w:val="19"/>
              </w:rPr>
              <w:t>3</w:t>
            </w:r>
          </w:p>
        </w:tc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MEDIUM</w:t>
            </w:r>
          </w:p>
        </w:tc>
      </w:tr>
      <w:tr>
        <w:trPr/>
        <w:tc>
          <w:tcPr>
            <w:tcW w:w="399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11. Inclusive Growth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9"/>
                <w:szCs w:val="19"/>
              </w:rPr>
              <w:t>2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7E34"/>
                <w:sz w:val="19"/>
                <w:szCs w:val="19"/>
              </w:rPr>
              <w:t>0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7B4F00"/>
                <w:sz w:val="19"/>
                <w:szCs w:val="19"/>
              </w:rPr>
              <w:t>1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B30000"/>
                <w:sz w:val="19"/>
                <w:szCs w:val="19"/>
              </w:rPr>
              <w:t>1</w:t>
            </w:r>
          </w:p>
        </w:tc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LOW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80"/>
        <w:rPr/>
      </w:pPr>
      <w:r>
        <w:rPr>
          <w:rFonts w:eastAsia="Arial" w:cs="Arial"/>
          <w:i/>
          <w:iCs/>
          <w:color w:val="1A1A1A"/>
          <w:sz w:val="22"/>
          <w:szCs w:val="22"/>
        </w:rPr>
        <w:t>Key insight: Principles 8 (Data Governance), 2 (Explainability), and 10 (Human Agency) are your strongest areas — these were built deliberately into your system. Principles 4 (Safety), 5 (Security), 3 (Reproducibility), and 7 (Fairness) require the most work and will form your Track 2 Python test suite.</w:t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4E79"/>
          <w:sz w:val="34"/>
          <w:szCs w:val="34"/>
        </w:rPr>
        <w:t>2. Detailed Gap Analysis by Principle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Each table below lists every process check from the AI Verify document, your current status, and the exact evidence you need to build.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Principle 1 — Transparency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Ability to provide responsible disclosure to those affected by AI systems to understand the outcome.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9"/>
        <w:gridCol w:w="4695"/>
        <w:gridCol w:w="1507"/>
        <w:gridCol w:w="2909"/>
      </w:tblGrid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Evidence Needed / Action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In-house policy on communication to consumers — purpose, context, how AI is used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 1-page Communication Policy doc for the system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1.1.2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Inform stakeholders that AI is used in your product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Session Progress Report already documents this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1.1.3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Label/disclaimer that users are interacting with an AI system (GenAI)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5E20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B5E20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[AI-GENERATED] tag to all pipeline outputs in main.py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1.1.4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Communicate factors leading to AI decision (similarity score, RBAC rule applied)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Print similarity scores + RBAC rule applied in output node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1.1.5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Consult end users at earliest stages of development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design decisions made — write a brief stakeholder note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1.1.6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Publish system card: accuracy, intended use, limitations, red-team results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Build System Card document (Phase 4 deliverable)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Provide info on purpose, intended use, intended response to end users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README with user guide section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1.3.1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Align with data protection laws (PDPA Singapore)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BigQuery Singapore region + PDPA residency already in place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1.4.1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Publish privacy policy on org website / documentation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 Privacy Notice document for the system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1.5.1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Process for communicating incidents to end users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 1-page Incident Communication Plan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1.6.1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Process for users to report adverse impacts (whistleblower protection)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feedback/report mechanism — at minimum, a documented email channel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1.7.1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Publish generic AI governance info on organisation website/filing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governance section to GitHub README or portfolio site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1.7.2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Publish system card / model card publicly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System Card to be published on GitHub (Phase 4)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Principle 2 — Explainability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Ability to assess factors that led to the AI system's decision, behaviour, and implications.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9"/>
        <w:gridCol w:w="4695"/>
        <w:gridCol w:w="1507"/>
        <w:gridCol w:w="2909"/>
      </w:tblGrid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Evidence Needed / Action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2.1.1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Perform feature contribution analysis using technical tools (Traditional AI — N/A for GenAI RAG)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N/A — GenAI RAG system. RBAC rules serve as explicit feature attribution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2.2.1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Document rationale, risk assessment, trade-offs for choice of AI model (why Gemini)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a 'Model Selection Rationale' section to your README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Principle 3 — Reproducibility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Ability to consistently perform required functions and for an independent party to reproduce results.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9"/>
        <w:gridCol w:w="4695"/>
        <w:gridCol w:w="1507"/>
        <w:gridCol w:w="2909"/>
      </w:tblGrid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Evidence Needed / Action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3.1.1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Version control of source code, parameters, hyperparameters, source data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Initialise Git repo for project; tag current code as v1.0.0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3.2.1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Log and capture data used to train/produce inference results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BigQuery employee_data + embeddings tables serve as this record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3.3.1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Link inference results back to underlying model and source code (Traditional AI)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N/A for GenAI — BigQuery audit_log links query → result → role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3.4.1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Log all inputs and inference outputs including HITL decisions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BigQuery audit_log already captures this — confirmed working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3.5.1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Version control model artefacts — code, dependencies, parameters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5E20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B5E20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Create requirements.txt with pinned versions; add to Git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3.6.1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Run same query multiple times, verify output consistency within acceptable limits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Python test: run 5 identical queries, assert same TOP_K results returned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3.7.1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Define technical and business metrics AI model is assessed against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Document: retrieval precision@5, RBAC compliance rate, HITL trigger rate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3.8.1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Track experiments, hyperparameters, rationale for final model choice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 Model Development Log documenting why TOP_K=5, embedding model chosen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3.9.1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Version control input data; track transformation steps as DAG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data pipeline steps: Excel → pandas → BigQuery as a DAG diagram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3.10.1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Monitor statistical distribution of inputs/outputs for drift (Traditional AI)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Partially N/A; document that Gemini API version is pinned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3.11.1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Log audit trail of when/how each model version was deployed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deployment log file: date, code version, embedding model version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3.12.1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Assess third-party (Gemini) vendor claims on accuracy using test set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Run 10 known queries against BigQuery; document retrieval accuracy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Principle 4 — Safety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AI should not result in harm to humans. Measures should be in place to mitigate harm throughout the AI lifecycle.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9"/>
        <w:gridCol w:w="4695"/>
        <w:gridCol w:w="1507"/>
        <w:gridCol w:w="2909"/>
      </w:tblGrid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Evidence Needed / Action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Run benchmarking and red-teaming using Project Moonshot (GenAI)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Install Project Moonshot; run standard benchmark on Gemini RAG system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Complete Assessment of Materiality — probability of harm, severity, transparency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 Materiality Assessment document (1–2 pages)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4.3.1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Document intended use cases, capabilities, limitations via model card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 Model Card document for the system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4.3.2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Regular risk evaluation for GenAI models; plan post-deployment safeguard assessment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review schedule (e.g., quarterly) in governance policy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4.4.1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Assign reviewer for post-deployment monitoring; publish performance reports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Designate reviewer role; schedule quarterly audit_log review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4.5.1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Detect if model might fail; return confidence/outlier score with predictions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similarity score threshold warning in output node (e.g., if score &lt; 0.5)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4.5.2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Contingency plan for third-party (Gemini API) failure; fallback plan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 Fallback Plan: what happens if Gemini API is unavailable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4.6.1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Deployment strategies: blue-green or canary deployments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as future production consideration; N/A for prototype stage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4.6.2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Backup model server in blue-green deployment mode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as future production consideration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4.6.3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Confidence score with prediction; fallback to backup on failure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Implement similarity score in output; document fallback to manual lookup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4.6.4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Feedback loop: retrain models with production ground truth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retraining policy — e.g., re-embed if source data changes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4.7.1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Document residual risks and reasons for tolerance level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Residual Risk section to Materiality Assessment document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4.8.1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Prevent AI from generating content violating laws (guardrails, filters)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RBAC strips sensitive fields — document this as a guardrail in policy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4.10.1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Document TEVV (Test, Evaluation, Verification, Validation) considerations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 TEVV policy section — how system is tested before each deployment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Principle 5 — Security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Protection of AI systems, data, and infrastructure from unauthorised access, modification, or disruption.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9"/>
        <w:gridCol w:w="4695"/>
        <w:gridCol w:w="1507"/>
        <w:gridCol w:w="2909"/>
      </w:tblGrid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Evidence Needed / Action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Training and guidance on AI security risks for all personnel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completion of relevant security training (e.g., IAPP AIGPP)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Holistic threat and risk assessment aligned to industry standards (NIST, OWASP)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 Threat Model document using CIA triad framework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5.3.1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Assess and monitor supply chain security risks (libraries, third-party models)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library versions in requirements.txt; note Gemini API trust assessment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5.4.1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Consider security trade-offs when selecting AI model (complexity, sensitivity)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model selection security considerations in README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5.5.1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Identify, track, protect AI-related assets — models, data, prompts, logs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BigQuery tables are secured; API key in .env; audit_log is immutable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5.6.1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Secure development environment: access controls, least-privilege, secure config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ADC credentials used; .env for secrets; RBAC enforces least-privilege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5.7.1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Secure deployment environment: access controls, firewalls, logging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BigQuery IAM provides access control; document GCP security config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5.8.1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Incident response, escalation and remediation plans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an Incident Response Playbook (1 page minimum)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5.9.1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Release AI only after security checks and evaluation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pre-release checklist: what tests must pass before deployment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5.10.1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Monitor and log inputs to AI system (queries, prompts, requests)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BigQuery audit_log captures all input queries — confirmed working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5.11.1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Monitor AI system outputs and behaviour post-deployment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Build Python monitoring script: query audit_log for anomalous patterns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5.12.1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Secure-by-design approach to model updates and continuous learning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update policy: treat new data ingestion as versioned update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5.13.1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Vulnerability disclosure process: channel for users to report findings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GitHub Issues template for security vulnerability reporting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5.14.1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Proper and secure disposal of data and models per regulations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data retention and deletion policy aligned to PDPA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Principle 6 — Robustness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AI system should be resilient against attacks, manipulation, and unexpected inputs.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9"/>
        <w:gridCol w:w="4695"/>
        <w:gridCol w:w="1507"/>
        <w:gridCol w:w="2909"/>
      </w:tblGrid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Evidence Needed / Action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6.1.1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Calculate accuracy metrics; benchmark GenAI with perturbated prompts (typos, synonyms)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Python test: run queries with typos/synonyms; verify results remain consistent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6.2.1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Ensure data quality: up-to-date, complete, representative, no drift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data quality checks run during processor.py ingestion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6.3.1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Document intended use cases, risks, limitations in model card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Model Card (same as 4.3.1) — covers use cases and limitations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6.4.1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Document use cases and risks including feedback loops and adversarial inputs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Model Card — add adversarial input risk section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6.5.1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Review process triggered by changes to code, input data, or output metrics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 Change Review Policy: when re-evaluation is required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6.6.1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Mitigate known adversarial attacks at training time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Document: RBAC as adversarial guard; add prompt injection test case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6.6.2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Monitor query frequency and feature distribution to detect suspicious use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Build Python script: query audit_log for repeated roles, high-frequency queries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6.6.3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Take action on suspicious users — flag, rate-limit, block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rate-limit counter to main.py; flag if same role queries &gt; N times/min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6.7.1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Continuous monitoring and periodic validation of model output quality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Schedule quarterly audit_log review; document latency/error thresholds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6.7.2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Policy for RAG citation verification; track domain knowledge sources (GenAI)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that embeddings link to source employee_data rows in BigQuery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Principle 7 — Fairness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AI should not result in unintended or inappropriate discrimination against individuals or groups.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9"/>
        <w:gridCol w:w="4695"/>
        <w:gridCol w:w="1507"/>
        <w:gridCol w:w="2909"/>
      </w:tblGrid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Evidence Needed / Action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7.1.1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Quantitative fairness analysis — disparity of error rates across groups (Traditional AI)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N/A — not a classification model. RBAC applies equal rules to all roles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7.2.1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Red-team for bias, toxic output against individuals/groups using Project Moonshot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Run Project Moonshot fairness benchmarks on Gemini RAG output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7.3.1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Counterfactual fairness assessment (Traditional AI)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Partially N/A; document: same query by different roles — compare results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7.4.1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Monitor fairness metric values across AI system lifecycle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Define RBAC compliance rate as fairness metric; log per audit_log query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7.5.1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Select fairness metrics aligned to use case using Fairness Decision Tree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Document: RBAC compliance rate (100% target) as primary fairness metric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7.6.1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Identify sensitive features and privileged/unprivileged groups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SENSITIVE_FIELDS already defined in code — formalise in policy document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7.7.1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Consult impacted communities on correct definition of fairness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consultation with HR and data subjects on RBAC role definitions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7.8.1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Exploratory data analysis — verify data is representative of end-user population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Run Python EDA on f_data.xlsx; document demographic distribution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7.9.1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Monitor fairness threshold violations post-deployment; offer redress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RBAC violation counter to audit_log; document redress process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7.10.1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Monitor metrics for latest deployed data on ongoing basis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Quarterly audit_log review — check RBAC compliance rate has not degraded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7.11.1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Handle imbalanced datasets — oversample minority, SMOTE if needed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Document: employee_data distribution by role and department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Principle 8 — Data Governance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Governing data used in AI systems including quality, lineage, and regulatory compliance. This is your strongest principle.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9"/>
        <w:gridCol w:w="4695"/>
        <w:gridCol w:w="1507"/>
        <w:gridCol w:w="2909"/>
      </w:tblGrid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Evidence Needed / Action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8.1.1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Verify data quality: accuracy, completeness, veracity, relevance, usability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processor.py validates data during ingestion; 100 records loaded cleanly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8.2.1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Maintain data provenance record: origin, transformation, labelling, PII handling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data flow: f_data.xlsx → pandas → BigQuery; add data dictionary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8.3.1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Ensure data practices comply with PDPA and relevant standards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BigQuery Singapore region; PDPA residency by design — confirmed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8.3.2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Detect PII in generated output; anonymise where needed (GenAI)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RBAC strips all PII fields before output — confirmed working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8.4.1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Ensure team members are knowledgeable about data governance roles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Document: IAPP AIGPP study as evidence of data governance training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8.5.1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Assess third-party IP risks; monitor output for data disclosure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Document: Gemini API usage terms reviewed; no training data sent to Google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Principle 9 — Accountability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Clear organisational structures and actors accountable for the proper functioning of AI systems.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9"/>
        <w:gridCol w:w="4695"/>
        <w:gridCol w:w="1507"/>
        <w:gridCol w:w="2909"/>
      </w:tblGrid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Evidence Needed / Action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Define acceptable, unacceptable, illegal uses; mechanism for recourse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an Acceptable Use Policy for the system (1 page)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Document deployment context, norms, expectations, stakeholder interactions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Deployment Context section to System Card document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9.3.1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Select AI suppliers aligned to organisation's approach; remedial processes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Document: Google Cloud / Gemini selected for PDPA, SLA, trust reasons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9.4.1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Deactivation and decommissioning manual; communication plan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 1-page Decommissioning Policy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9.5.1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Adapt governance structures, communication lines, procedures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Define governance structure — even single-person owner is acceptable for SME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9.5.2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AI governance committee with cross-functional representation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For SME/portfolio: document Owner, Reviewer, and User roles formally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9.5.3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Policies and training for staff on AI risks and responsibilities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training completed (IAPP AIGPP); link to this project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9.5.4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Incident management process: reporting, escalation, response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an Incident Response Plan (1–2 pages)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9.6.1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Fine-grained access control for code, data, deployment, admin actions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RBAC in main.py + BigQuery IAM controls access at infrastructure level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9.7.1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Clear responsibilities with third parties; SLAs; risk assessment of vendors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third-party dependencies: Google Cloud, Gemini API, terms reviewed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9.8.1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Governance-by-design: version control, immutable data, audit trail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BigQuery audit_log is immutable; Git version control to be added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9.9.1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Evaluate necessity of third-party (Gemini) model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Document: in-house LLM not feasible; Gemini chosen for quality + compliance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9.9.2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Understand how third-party model was built; its data, assessment, failure modes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 Gemini model card review; note known limitations from Google docs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Principle 10 — Human Agency &amp; Oversight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Ability to implement appropriate oversight and control measures with humans-in-the-loop. This is your second-strongest principle.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9"/>
        <w:gridCol w:w="4695"/>
        <w:gridCol w:w="1507"/>
        <w:gridCol w:w="2909"/>
      </w:tblGrid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Evidence Needed / Action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10.1.1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Reviewers distinct from those training and deploying models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Document: HITL reviewer role is distinct from developer role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10.2.1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Guided flow for documenting model cards, forms, objective criteria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Create Model Card template and fill it in for your system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10.2.2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Data management system for different user roles — reviewing, monitoring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BigQuery audit_log organises data by role, query, decision — confirmed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10.3.1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Define human role in oversight: HITL, HOTL, or HOTL; escalation pathways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HITL gate explicitly implemented in main.py — confirmed working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10.3.2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Flag cases where AI is significantly unsure; monitor human overrides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low-similarity-score flag in output node; log HITL rejections separately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10.3.3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Detect if input represents outlier in training data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8F5E9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B5E20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B5E20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Add outlier detection: flag if query similarity score &lt; 0.3 in output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10.4.1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Systematic review process before deployment — performance, fairness metrics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Write a Pre-Deployment Review Checklist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10.5.1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Frequency and process for testing and re-evaluating AI system post-deployment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BigQuery audit_log enables ongoing review; document quarterly review schedule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10.6.1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Declaration of transparency on where AI complements/replaces human decision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4EDDA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 xml:space="preserve">✓ </w:t>
            </w:r>
            <w:r>
              <w:rPr>
                <w:rFonts w:eastAsia="Arial" w:cs="Arial"/>
                <w:b/>
                <w:bCs/>
                <w:color w:val="1E7E34"/>
                <w:sz w:val="18"/>
                <w:szCs w:val="18"/>
              </w:rPr>
              <w:t>HAVE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HITL gate + RBAC rules explicitly define AI vs human decision boundary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Principle 11 — Inclusive Growth, Societal &amp; Environmental Well-being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Potential for trustworthy AI to contribute to overall growth and prosperity for all individuals, society, and the planet.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69"/>
        <w:gridCol w:w="4695"/>
        <w:gridCol w:w="1507"/>
        <w:gridCol w:w="2909"/>
      </w:tblGrid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Process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Evidence Needed / Action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11.1.1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Impact assessment on natural environment — energy/water use, carbon capture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CE4E4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 xml:space="preserve">✗ </w:t>
            </w:r>
            <w:r>
              <w:rPr>
                <w:rFonts w:eastAsia="Arial" w:cs="Arial"/>
                <w:b/>
                <w:bCs/>
                <w:color w:val="B30000"/>
                <w:sz w:val="18"/>
                <w:szCs w:val="18"/>
              </w:rPr>
              <w:t>GAP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Document: BigQuery Singapore data centre energy efficiency; Gemini API carbon offset</w:t>
            </w:r>
          </w:p>
        </w:tc>
      </w:tr>
      <w:tr>
        <w:trPr/>
        <w:tc>
          <w:tcPr>
            <w:tcW w:w="96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18"/>
                <w:szCs w:val="18"/>
              </w:rPr>
              <w:t>11.2.1</w:t>
            </w:r>
          </w:p>
        </w:tc>
        <w:tc>
          <w:tcPr>
            <w:tcW w:w="469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Impact assessment on individuals/society — jobs, skills, health, inclusion</w:t>
            </w:r>
          </w:p>
        </w:tc>
        <w:tc>
          <w:tcPr>
            <w:tcW w:w="150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3CD" w:val="clear"/>
            <w:tcMar>
              <w:start w:w="100" w:type="dxa"/>
              <w:end w:w="10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7B4F00"/>
                <w:sz w:val="18"/>
                <w:szCs w:val="18"/>
              </w:rPr>
              <w:t>~ PARTIAL</w:t>
            </w:r>
          </w:p>
        </w:tc>
        <w:tc>
          <w:tcPr>
            <w:tcW w:w="29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666666"/>
                <w:sz w:val="18"/>
                <w:szCs w:val="18"/>
              </w:rPr>
              <w:t>Document: system designed to protect employee privacy, not replace HR roles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Heading1"/>
        <w:spacing w:before="360" w:after="160"/>
        <w:rPr/>
      </w:pPr>
      <w:r>
        <w:rPr>
          <w:rFonts w:eastAsia="Arial" w:cs="Arial" w:ascii="Arial" w:hAnsi="Arial"/>
          <w:b/>
          <w:bCs/>
          <w:color w:val="1F4E79"/>
          <w:sz w:val="34"/>
          <w:szCs w:val="34"/>
        </w:rPr>
        <w:t>3. Prioritised Action Plan</w:t>
      </w:r>
    </w:p>
    <w:p>
      <w:pPr>
        <w:pStyle w:val="Normal"/>
        <w:spacing w:before="60" w:after="80"/>
        <w:rPr/>
      </w:pPr>
      <w:r>
        <w:rPr>
          <w:rFonts w:eastAsia="Arial" w:cs="Arial"/>
          <w:i w:val="false"/>
          <w:iCs w:val="false"/>
          <w:color w:val="1A1A1A"/>
          <w:sz w:val="22"/>
          <w:szCs w:val="22"/>
        </w:rPr>
        <w:t>Based on the gap analysis above, here is a recommended sequence for building your evidence. Items are grouped by effort and impact.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8" w:space="0" w:color="1E7E34"/>
              <w:start w:val="single" w:sz="8" w:space="0" w:color="1E7E34"/>
              <w:bottom w:val="single" w:sz="2" w:space="0" w:color="CCCCCC"/>
              <w:end w:val="single" w:sz="2" w:space="0" w:color="CCCCCC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7E34"/>
                <w:sz w:val="22"/>
                <w:szCs w:val="22"/>
              </w:rPr>
              <w:t>TIER 1 — Quick Wins (1–3 hours each) — Do these first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Add [AI-GENERATED] label to pipeline output in main.py (1.1.3)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Print similarity score + RBAC rule applied in the output node (1.1.4)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Initialise Git repository and tag current codebase as v1.0.0 (3.1.1, 3.5.1)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Create requirements.txt with pinned library versions (3.5.1)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Add Model Selection Rationale section to README — why Gemini, why BigQuery (2.2.1, 9.9.1)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Document SENSITIVE_FIELDS definition and RBAC role definitions formally in a policy note (7.6.1)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Add low similarity score warning in output node if score &lt; 0.3 (4.5.1, 10.3.3)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8" w:space="0" w:color="7B4F00"/>
              <w:start w:val="single" w:sz="8" w:space="0" w:color="7B4F00"/>
              <w:bottom w:val="single" w:sz="2" w:space="0" w:color="CCCCCC"/>
              <w:end w:val="single" w:sz="2" w:space="0" w:color="CCCCCC"/>
            </w:tcBorders>
            <w:shd w:fill="FFFB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7B4F00"/>
                <w:sz w:val="22"/>
                <w:szCs w:val="22"/>
              </w:rPr>
              <w:t>TIER 2 — Core Documents (half-day each) — Build these before the full report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System Card / Model Card — purpose, intended use, limitations, RBAC design, known risks (4.3.1, 6.3.1, 10.2.1)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Materiality Assessment — probability of harm, severity, stakeholder impact, residual risk (4.2.1, 4.7.1)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Incident Response Plan — detection, escalation, communication, remediation (5.8.1, 9.5.4)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Acceptable Use Policy — what the system may and may not be used for (9.1.1)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Data Provenance Record — f_data.xlsx origin, transformation steps, field definitions (8.2.1)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Communication Policy — how users are informed of AI decisions and their rights (1.1.1)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8" w:space="0" w:color="2E75B6"/>
              <w:start w:val="single" w:sz="8" w:space="0" w:color="2E75B6"/>
              <w:bottom w:val="single" w:sz="2" w:space="0" w:color="CCCCCC"/>
              <w:end w:val="single" w:sz="2" w:space="0" w:color="CCCCCC"/>
            </w:tcBorders>
            <w:shd w:fill="EBF3F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5B6"/>
                <w:sz w:val="22"/>
                <w:szCs w:val="22"/>
              </w:rPr>
              <w:t>TIER 3 — Python Test Suite (Track 2) — Generates technical evidence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test_reproducibility.py — run same query 5× and assert consistent TOP_K results (3.6.1)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test_rbac_compliance.py — assert every role returns only permitted fields (7.4.1, 9.6.1)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test_robustness.py — run queries with typos/synonyms; verify results are stable (6.1.1)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test_hitl_trigger.py — assert HITL fires on sensitive fields and does not fire on clean queries (10.3.1)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test_audit_log.py — assert every query writes a complete log entry to BigQuery (3.4.1)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test_adversarial.py — attempt prompt injection; verify pipeline rejects or sanitises (6.6.1)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monitor_anomalies.py — query audit_log for high-frequency queries or suspicious role patterns (6.6.2)</w:t>
      </w:r>
    </w:p>
    <w:p>
      <w:pPr>
        <w:pStyle w:val="Normal"/>
        <w:spacing w:before="60" w:after="60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10080"/>
      </w:tblGrid>
      <w:tr>
        <w:trPr/>
        <w:tc>
          <w:tcPr>
            <w:tcW w:w="10080" w:type="dxa"/>
            <w:tcBorders>
              <w:top w:val="single" w:sz="8" w:space="0" w:color="B30000"/>
              <w:start w:val="single" w:sz="8" w:space="0" w:color="B30000"/>
              <w:bottom w:val="single" w:sz="2" w:space="0" w:color="CCCCCC"/>
              <w:end w:val="single" w:sz="2" w:space="0" w:color="CCCCCC"/>
            </w:tcBorders>
            <w:shd w:fill="FFF3F3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B30000"/>
                <w:sz w:val="22"/>
                <w:szCs w:val="22"/>
              </w:rPr>
              <w:t>TIER 4 — Project Moonshot Red-Teaming — Advanced; do last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Install Project Moonshot from IMDA GitHub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Run standard safety benchmarks: toxicity, bias, hallucination on Gemini RAG (4.1.1, 7.2.1)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Run red-team attacks: prompt injection, jailbreak attempts, role escalation (6.6.1)</w:t>
      </w:r>
    </w:p>
    <w:p>
      <w:pPr>
        <w:pStyle w:val="ListParagraph"/>
        <w:numPr>
          <w:ilvl w:val="0"/>
          <w:numId w:val="1"/>
        </w:numPr>
        <w:spacing w:before="50" w:after="50"/>
        <w:rPr/>
      </w:pPr>
      <w:r>
        <w:rPr>
          <w:rFonts w:eastAsia="Arial" w:cs="Arial"/>
          <w:b w:val="false"/>
          <w:bCs w:val="false"/>
          <w:sz w:val="21"/>
          <w:szCs w:val="21"/>
        </w:rPr>
        <w:t>Document all test results and include in formal AI Verify governance report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bottom w:val="single" w:sz="6" w:space="1" w:color="2E75B6"/>
        </w:pBdr>
        <w:spacing w:before="200" w:after="200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>
          <w:rFonts w:eastAsia="Arial" w:cs="Arial"/>
          <w:i/>
          <w:iCs/>
          <w:color w:val="888888"/>
          <w:sz w:val="18"/>
          <w:szCs w:val="18"/>
        </w:rPr>
        <w:t>AI Verify Testing Framework © 2025 IMDA and AI Verify Foundation  |  Gap analysis prepared for Agentic ETL Architect project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80" w:right="1080" w:gutter="0" w:header="0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Agentic ETL Architect  |  AI Verify Gap Analysis  |  Page </w:t>
    </w:r>
    <w:r>
      <w:rPr>
        <w:rFonts w:eastAsia="Arial" w:cs="Arial"/>
        <w:i/>
        <w:iCs/>
        <w:color w:val="888888"/>
        <w:sz w:val="18"/>
        <w:szCs w:val="18"/>
      </w:rPr>
      <w:fldChar w:fldCharType="begin"/>
    </w:r>
    <w:r>
      <w:rPr>
        <w:rFonts w:eastAsia="Arial" w:cs="Arial"/>
        <w:i/>
        <w:iCs/>
        <w:color w:val="888888"/>
        <w:sz w:val="18"/>
        <w:szCs w:val="18"/>
      </w:rPr>
      <w:instrText xml:space="preserve"> PAGE </w:instrText>
    </w:r>
    <w:r>
      <w:rPr>
        <w:rFonts w:eastAsia="Arial" w:cs="Arial"/>
        <w:i/>
        <w:iCs/>
        <w:color w:val="888888"/>
        <w:sz w:val="18"/>
        <w:szCs w:val="18"/>
      </w:rPr>
      <w:fldChar w:fldCharType="separate"/>
    </w:r>
    <w:r>
      <w:rPr>
        <w:rFonts w:eastAsia="Arial" w:cs="Arial"/>
        <w:i/>
        <w:iCs/>
        <w:color w:val="888888"/>
        <w:sz w:val="18"/>
        <w:szCs w:val="18"/>
      </w:rPr>
      <w:t>10</w:t>
    </w:r>
    <w:r>
      <w:rPr>
        <w:rFonts w:eastAsia="Arial" w:cs="Arial"/>
        <w:i/>
        <w:iCs/>
        <w:color w:val="888888"/>
        <w:sz w:val="18"/>
        <w:szCs w:val="18"/>
      </w:rPr>
      <w:fldChar w:fldCharType="end"/>
    </w:r>
    <w:r>
      <w:rPr>
        <w:rFonts w:eastAsia="Arial" w:cs="Arial"/>
        <w:color w:val="888888"/>
        <w:sz w:val="18"/>
        <w:szCs w:val="18"/>
      </w:rPr>
      <w:t xml:space="preserve"> of </w:t>
    </w:r>
    <w:r>
      <w:rPr>
        <w:rFonts w:eastAsia="Arial" w:cs="Arial"/>
        <w:i/>
        <w:iCs/>
        <w:color w:val="888888"/>
        <w:sz w:val="18"/>
        <w:szCs w:val="18"/>
      </w:rPr>
      <w:fldChar w:fldCharType="begin"/>
    </w:r>
    <w:r>
      <w:rPr>
        <w:rFonts w:eastAsia="Arial" w:cs="Arial"/>
        <w:i/>
        <w:iCs/>
        <w:color w:val="888888"/>
        <w:sz w:val="18"/>
        <w:szCs w:val="18"/>
      </w:rPr>
      <w:instrText xml:space="preserve"> NUMPAGES </w:instrText>
    </w:r>
    <w:r>
      <w:rPr>
        <w:rFonts w:eastAsia="Arial" w:cs="Arial"/>
        <w:i/>
        <w:iCs/>
        <w:color w:val="888888"/>
        <w:sz w:val="18"/>
        <w:szCs w:val="18"/>
      </w:rPr>
      <w:fldChar w:fldCharType="separate"/>
    </w:r>
    <w:r>
      <w:rPr>
        <w:rFonts w:eastAsia="Arial" w:cs="Arial"/>
        <w:i/>
        <w:iCs/>
        <w:color w:val="888888"/>
        <w:sz w:val="18"/>
        <w:szCs w:val="18"/>
      </w:rPr>
      <w:t>10</w:t>
    </w:r>
    <w:r>
      <w:rPr>
        <w:rFonts w:eastAsia="Arial" w:cs="Arial"/>
        <w:i/>
        <w:iCs/>
        <w:color w:val="888888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888888"/>
        <w:sz w:val="18"/>
        <w:szCs w:val="18"/>
      </w:rPr>
      <w:t xml:space="preserve">Agentic ETL Architect  |  AI Verify Gap Analysis  |  Page </w:t>
    </w:r>
    <w:r>
      <w:rPr>
        <w:rFonts w:eastAsia="Arial" w:cs="Arial"/>
        <w:i/>
        <w:iCs/>
        <w:color w:val="888888"/>
        <w:sz w:val="18"/>
        <w:szCs w:val="18"/>
      </w:rPr>
      <w:fldChar w:fldCharType="begin"/>
    </w:r>
    <w:r>
      <w:rPr>
        <w:rFonts w:eastAsia="Arial" w:cs="Arial"/>
        <w:i/>
        <w:iCs/>
        <w:color w:val="888888"/>
        <w:sz w:val="18"/>
        <w:szCs w:val="18"/>
      </w:rPr>
      <w:instrText xml:space="preserve"> PAGE </w:instrText>
    </w:r>
    <w:r>
      <w:rPr>
        <w:rFonts w:eastAsia="Arial" w:cs="Arial"/>
        <w:i/>
        <w:iCs/>
        <w:color w:val="888888"/>
        <w:sz w:val="18"/>
        <w:szCs w:val="18"/>
      </w:rPr>
      <w:fldChar w:fldCharType="separate"/>
    </w:r>
    <w:r>
      <w:rPr>
        <w:rFonts w:eastAsia="Arial" w:cs="Arial"/>
        <w:i/>
        <w:iCs/>
        <w:color w:val="888888"/>
        <w:sz w:val="18"/>
        <w:szCs w:val="18"/>
      </w:rPr>
      <w:t>10</w:t>
    </w:r>
    <w:r>
      <w:rPr>
        <w:rFonts w:eastAsia="Arial" w:cs="Arial"/>
        <w:i/>
        <w:iCs/>
        <w:color w:val="888888"/>
        <w:sz w:val="18"/>
        <w:szCs w:val="18"/>
      </w:rPr>
      <w:fldChar w:fldCharType="end"/>
    </w:r>
    <w:r>
      <w:rPr>
        <w:rFonts w:eastAsia="Arial" w:cs="Arial"/>
        <w:color w:val="888888"/>
        <w:sz w:val="18"/>
        <w:szCs w:val="18"/>
      </w:rPr>
      <w:t xml:space="preserve"> of </w:t>
    </w:r>
    <w:r>
      <w:rPr>
        <w:rFonts w:eastAsia="Arial" w:cs="Arial"/>
        <w:i/>
        <w:iCs/>
        <w:color w:val="888888"/>
        <w:sz w:val="18"/>
        <w:szCs w:val="18"/>
      </w:rPr>
      <w:fldChar w:fldCharType="begin"/>
    </w:r>
    <w:r>
      <w:rPr>
        <w:rFonts w:eastAsia="Arial" w:cs="Arial"/>
        <w:i/>
        <w:iCs/>
        <w:color w:val="888888"/>
        <w:sz w:val="18"/>
        <w:szCs w:val="18"/>
      </w:rPr>
      <w:instrText xml:space="preserve"> NUMPAGES </w:instrText>
    </w:r>
    <w:r>
      <w:rPr>
        <w:rFonts w:eastAsia="Arial" w:cs="Arial"/>
        <w:i/>
        <w:iCs/>
        <w:color w:val="888888"/>
        <w:sz w:val="18"/>
        <w:szCs w:val="18"/>
      </w:rPr>
      <w:fldChar w:fldCharType="separate"/>
    </w:r>
    <w:r>
      <w:rPr>
        <w:rFonts w:eastAsia="Arial" w:cs="Arial"/>
        <w:i/>
        <w:iCs/>
        <w:color w:val="888888"/>
        <w:sz w:val="18"/>
        <w:szCs w:val="18"/>
      </w:rPr>
      <w:t>10</w:t>
    </w:r>
    <w:r>
      <w:rPr>
        <w:rFonts w:eastAsia="Arial" w:cs="Arial"/>
        <w:i/>
        <w:iCs/>
        <w:color w:val="888888"/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1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SG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1F4E79"/>
      <w:sz w:val="34"/>
      <w:szCs w:val="34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SG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SG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2</Pages>
  <Words>3265</Words>
  <Characters>18951</Characters>
  <CharactersWithSpaces>21683</CharactersWithSpaces>
  <Paragraphs>609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2026-03-09T02:59:40Z</dcterms:created>
  <dc:creator>Un-named</dc:creator>
  <dc:description/>
  <dc:language>en-SG</dc:language>
  <cp:lastModifiedBy>Un-named</cp:lastModifiedBy>
  <dcterms:modified xsi:type="dcterms:W3CDTF">2026-03-09T02:59:40Z</dcterms:modified>
  <cp:revision>1</cp:revision>
  <dc:subject/>
  <dc:title/>
</cp:coreProperties>
</file>