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480" w:after="80"/>
        <w:jc w:val="center"/>
        <w:rPr/>
      </w:pPr>
      <w:r>
        <w:rPr>
          <w:rFonts w:eastAsia="Arial" w:cs="Arial"/>
          <w:b/>
          <w:bCs/>
          <w:color w:val="1F4E79"/>
          <w:sz w:val="56"/>
          <w:szCs w:val="56"/>
        </w:rPr>
        <w:t>AI VERIFY FRAMEWORK</w:t>
      </w:r>
    </w:p>
    <w:p>
      <w:pPr>
        <w:pStyle w:val="Normal"/>
        <w:spacing w:before="0" w:after="80"/>
        <w:jc w:val="center"/>
        <w:rPr/>
      </w:pPr>
      <w:r>
        <w:rPr>
          <w:rFonts w:eastAsia="Arial" w:cs="Arial"/>
          <w:color w:val="2E75B6"/>
          <w:sz w:val="36"/>
          <w:szCs w:val="36"/>
        </w:rPr>
        <w:t>Gap Analysis Report — v1.1 Update</w:t>
      </w:r>
    </w:p>
    <w:p>
      <w:pPr>
        <w:pStyle w:val="Normal"/>
        <w:spacing w:before="0" w:after="80"/>
        <w:jc w:val="center"/>
        <w:rPr/>
      </w:pPr>
      <w:r>
        <w:rPr>
          <w:rFonts w:eastAsia="Arial" w:cs="Arial"/>
          <w:color w:val="666666"/>
          <w:sz w:val="26"/>
          <w:szCs w:val="26"/>
        </w:rPr>
        <w:t>Agentic ETL Architect — Secure RAG Pipeline</w:t>
      </w:r>
    </w:p>
    <w:p>
      <w:pPr>
        <w:pStyle w:val="Normal"/>
        <w:spacing w:before="0" w:after="36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2</w:t>
      </w:r>
      <w:r>
        <w:rPr>
          <w:rFonts w:eastAsia="Arial" w:cs="Arial"/>
          <w:i/>
          <w:iCs/>
          <w:color w:val="666666"/>
          <w:sz w:val="22"/>
          <w:szCs w:val="22"/>
        </w:rPr>
        <w:t>7</w:t>
      </w:r>
      <w:r>
        <w:rPr>
          <w:rFonts w:eastAsia="Arial" w:cs="Arial"/>
          <w:i/>
          <w:iCs/>
          <w:color w:val="666666"/>
          <w:sz w:val="22"/>
          <w:szCs w:val="22"/>
        </w:rPr>
        <w:t xml:space="preserve"> March 2026  |  IMDA AI Verify Testing Framework (2025 Edition)  |  Updated from v0.9 baseline</w:t>
      </w:r>
    </w:p>
    <w:p>
      <w:pPr>
        <w:pStyle w:val="Normal"/>
        <w:spacing w:before="240" w:after="0"/>
        <w:rPr/>
      </w:pPr>
      <w:r>
        <w:rPr/>
      </w:r>
    </w:p>
    <w:tbl>
      <w:tblPr>
        <w:tblW w:w="10080" w:type="dxa"/>
        <w:jc w:val="start"/>
        <w:tblInd w:w="0" w:type="dxa"/>
        <w:tblLayout w:type="fixed"/>
        <w:tblCellMar>
          <w:top w:w="160" w:type="dxa"/>
          <w:start w:w="240" w:type="dxa"/>
          <w:bottom w:w="160" w:type="dxa"/>
          <w:end w:w="240" w:type="dxa"/>
        </w:tblCellMar>
      </w:tblPr>
      <w:tblGrid>
        <w:gridCol w:w="10080"/>
      </w:tblGrid>
      <w:tr>
        <w:trPr/>
        <w:tc>
          <w:tcPr>
            <w:tcW w:w="10080" w:type="dxa"/>
            <w:tcBorders>
              <w:top w:val="single" w:sz="8" w:space="0" w:color="C55A11"/>
              <w:start w:val="single" w:sz="8" w:space="0" w:color="C55A11"/>
              <w:bottom w:val="single" w:sz="8" w:space="0" w:color="C55A11"/>
              <w:end w:val="single" w:sz="8" w:space="0" w:color="C55A11"/>
            </w:tcBorders>
            <w:shd w:fill="FCE4D6" w:val="clear"/>
          </w:tcPr>
          <w:p>
            <w:pPr>
              <w:pStyle w:val="Normal"/>
              <w:spacing w:before="0" w:after="80"/>
              <w:rPr/>
            </w:pPr>
            <w:r>
              <w:rPr>
                <w:rFonts w:eastAsia="Arial" w:cs="Arial"/>
                <w:b/>
                <w:bCs/>
                <w:color w:val="C55A11"/>
                <w:sz w:val="22"/>
                <w:szCs w:val="22"/>
              </w:rPr>
              <w:t xml:space="preserve">⚠ </w:t>
            </w:r>
            <w:r>
              <w:rPr>
                <w:rFonts w:eastAsia="Arial" w:cs="Arial"/>
                <w:b/>
                <w:bCs/>
                <w:color w:val="C55A11"/>
                <w:sz w:val="22"/>
                <w:szCs w:val="22"/>
              </w:rPr>
              <w:t>VERSIONING NOTICE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 xml:space="preserve">This document represents the gap analysis updated at </w:t>
            </w:r>
            <w:r>
              <w:rPr>
                <w:rFonts w:eastAsia="Arial" w:cs="Arial"/>
                <w:b/>
                <w:bCs/>
                <w:color w:val="333333"/>
                <w:sz w:val="20"/>
                <w:szCs w:val="20"/>
              </w:rPr>
              <w:t>v1.1 (27 March 2026)</w:t>
            </w:r>
            <w:r>
              <w:rPr>
                <w:rFonts w:eastAsia="Arial" w:cs="Arial"/>
                <w:color w:val="333333"/>
                <w:sz w:val="20"/>
                <w:szCs w:val="20"/>
              </w:rPr>
              <w:t>. It is intentionally preserved as a baseline assessment and should not be read as the current compliance status of the project.</w:t>
            </w:r>
          </w:p>
          <w:p>
            <w:pPr>
              <w:pStyle w:val="Normal"/>
              <w:spacing w:before="0" w:after="80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This v1.1 update marks gaps resolved in v1.0 and v1.1. Gaps resolved in v1.0: 1.1.3, 1.1.4, 3.1.1, 3.5.1, 4.5.1, 10.3.2, 10.3.3. Gaps resolved in v1.1: supervisor PIN verification strengthens 9.6.1 and 10.3.1. Next update at v1.3 after Python test suite is built.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Arial" w:cs="Arial"/>
                <w:color w:val="333333"/>
                <w:sz w:val="20"/>
                <w:szCs w:val="20"/>
              </w:rPr>
              <w:t>See the project README on GitHub for current compliance status and the full version roadmap (v0.9 → v1.5).</w:t>
            </w:r>
          </w:p>
        </w:tc>
      </w:tr>
    </w:tbl>
    <w:p>
      <w:pPr>
        <w:pStyle w:val="Normal"/>
        <w:spacing w:before="0" w:after="160"/>
        <w:rPr/>
      </w:pPr>
      <w:r>
        <w:rPr/>
      </w:r>
    </w:p>
    <w:tbl>
      <w:tblPr>
        <w:tblW w:w="10080" w:type="dxa"/>
        <w:jc w:val="start"/>
        <w:tblInd w:w="0" w:type="dxa"/>
        <w:tblLayout w:type="fixed"/>
        <w:tblCellMar>
          <w:top w:w="160" w:type="dxa"/>
          <w:start w:w="240" w:type="dxa"/>
          <w:bottom w:w="160" w:type="dxa"/>
          <w:end w:w="240" w:type="dxa"/>
        </w:tblCellMar>
      </w:tblPr>
      <w:tblGrid>
        <w:gridCol w:w="10080"/>
      </w:tblGrid>
      <w:tr>
        <w:trPr/>
        <w:tc>
          <w:tcPr>
            <w:tcW w:w="10080" w:type="dxa"/>
            <w:tcBorders>
              <w:top w:val="single" w:sz="8" w:space="0" w:color="2E75B6"/>
              <w:start w:val="single" w:sz="8" w:space="0" w:color="2E75B6"/>
              <w:bottom w:val="single" w:sz="8" w:space="0" w:color="2E75B6"/>
              <w:end w:val="single" w:sz="8" w:space="0" w:color="2E75B6"/>
            </w:tcBorders>
            <w:shd w:fill="EBF3FB" w:val="clea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F4E79"/>
                <w:sz w:val="24"/>
                <w:szCs w:val="24"/>
              </w:rPr>
              <w:t>HOW TO READ THIS REPORT</w:t>
            </w:r>
          </w:p>
          <w:p>
            <w:pPr>
              <w:pStyle w:val="Normal"/>
              <w:spacing w:before="60" w:after="60"/>
              <w:rPr/>
            </w:pPr>
            <w:r>
              <w:rPr/>
            </w:r>
          </w:p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E7E34"/>
                <w:sz w:val="20"/>
                <w:szCs w:val="20"/>
              </w:rPr>
              <w:t xml:space="preserve">  ✓ </w:t>
            </w:r>
            <w:r>
              <w:rPr>
                <w:rFonts w:eastAsia="Arial" w:cs="Arial"/>
                <w:b/>
                <w:bCs/>
                <w:color w:val="1E7E34"/>
                <w:sz w:val="20"/>
                <w:szCs w:val="20"/>
              </w:rPr>
              <w:t xml:space="preserve">HAVE  </w:t>
            </w:r>
            <w:r>
              <w:rPr>
                <w:rFonts w:eastAsia="Arial" w:cs="Arial"/>
                <w:sz w:val="20"/>
                <w:szCs w:val="20"/>
              </w:rPr>
              <w:t xml:space="preserve"> — Evidence already exists in your codebase or documentation     </w:t>
            </w:r>
            <w:r>
              <w:rPr>
                <w:rFonts w:eastAsia="Arial" w:cs="Arial"/>
                <w:b/>
                <w:bCs/>
                <w:color w:val="7B4F00"/>
                <w:sz w:val="20"/>
                <w:szCs w:val="20"/>
              </w:rPr>
              <w:t xml:space="preserve">  ~ PARTIAL  </w:t>
            </w:r>
            <w:r>
              <w:rPr>
                <w:rFonts w:eastAsia="Arial" w:cs="Arial"/>
                <w:sz w:val="20"/>
                <w:szCs w:val="20"/>
              </w:rPr>
              <w:t xml:space="preserve"> — Partially addressed; needs formalisation or documentation     </w:t>
            </w:r>
            <w:r>
              <w:rPr>
                <w:rFonts w:eastAsia="Arial" w:cs="Arial"/>
                <w:b/>
                <w:bCs/>
                <w:color w:val="B30000"/>
                <w:sz w:val="20"/>
                <w:szCs w:val="20"/>
              </w:rPr>
              <w:t xml:space="preserve">  ✗ GAP  </w:t>
            </w:r>
            <w:r>
              <w:rPr>
                <w:rFonts w:eastAsia="Arial" w:cs="Arial"/>
                <w:sz w:val="20"/>
                <w:szCs w:val="20"/>
              </w:rPr>
              <w:t xml:space="preserve"> — Not yet built; action required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p>
      <w:pPr>
        <w:pStyle w:val="Normal"/>
        <w:pBdr>
          <w:bottom w:val="single" w:sz="6" w:space="1" w:color="2E75B6"/>
        </w:pBdr>
        <w:spacing w:before="200" w:after="200"/>
        <w:rPr/>
      </w:pPr>
      <w:r>
        <w:rPr/>
      </w:r>
    </w:p>
    <w:p>
      <w:pPr>
        <w:pStyle w:val="Heading1"/>
        <w:spacing w:before="360" w:after="160"/>
        <w:rPr/>
      </w:pPr>
      <w:r>
        <w:rPr>
          <w:rFonts w:eastAsia="Arial" w:cs="Arial" w:ascii="Arial" w:hAnsi="Arial"/>
          <w:b/>
          <w:bCs/>
          <w:color w:val="1F4E79"/>
          <w:sz w:val="34"/>
          <w:szCs w:val="34"/>
        </w:rPr>
        <w:t>1. Readiness Scorecard — All 11 Principles</w:t>
      </w:r>
    </w:p>
    <w:p>
      <w:pPr>
        <w:pStyle w:val="Normal"/>
        <w:spacing w:before="60" w:after="80"/>
        <w:rPr/>
      </w:pPr>
      <w:r>
        <w:rPr>
          <w:rFonts w:eastAsia="Arial" w:cs="Arial"/>
          <w:i w:val="false"/>
          <w:iCs w:val="false"/>
          <w:color w:val="1A1A1A"/>
          <w:sz w:val="22"/>
          <w:szCs w:val="22"/>
        </w:rPr>
        <w:t>Summary of your current readiness across all 11 AI Verify principles. Readiness is calculated as: (Have + 0.5 × Partial) ÷ Total checks.</w:t>
      </w:r>
    </w:p>
    <w:p>
      <w:pPr>
        <w:pStyle w:val="Normal"/>
        <w:spacing w:before="60" w:after="60"/>
        <w:rPr/>
      </w:pPr>
      <w:r>
        <w:rPr/>
      </w:r>
    </w:p>
    <w:tbl>
      <w:tblPr>
        <w:tblW w:w="1008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3991"/>
        <w:gridCol w:w="1123"/>
        <w:gridCol w:w="1123"/>
        <w:gridCol w:w="1123"/>
        <w:gridCol w:w="1123"/>
        <w:gridCol w:w="1597"/>
      </w:tblGrid>
      <w:tr>
        <w:trPr/>
        <w:tc>
          <w:tcPr>
            <w:tcW w:w="399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Principle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Total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 xml:space="preserve">✓ </w:t>
            </w: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Have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~ Partial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 xml:space="preserve">✗ </w:t>
            </w: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Gap</w:t>
            </w:r>
          </w:p>
        </w:tc>
        <w:tc>
          <w:tcPr>
            <w:tcW w:w="15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Readiness</w:t>
            </w:r>
          </w:p>
        </w:tc>
      </w:tr>
      <w:tr>
        <w:trPr/>
        <w:tc>
          <w:tcPr>
            <w:tcW w:w="399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9"/>
                <w:szCs w:val="19"/>
              </w:rPr>
              <w:t>1. Transparency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9"/>
                <w:szCs w:val="19"/>
              </w:rPr>
              <w:t>9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E7E34"/>
                <w:sz w:val="19"/>
                <w:szCs w:val="19"/>
              </w:rPr>
              <w:t>3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7B4F00"/>
                <w:sz w:val="19"/>
                <w:szCs w:val="19"/>
              </w:rPr>
              <w:t>2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B30000"/>
                <w:sz w:val="19"/>
                <w:szCs w:val="19"/>
              </w:rPr>
              <w:t>4</w:t>
            </w:r>
          </w:p>
        </w:tc>
        <w:tc>
          <w:tcPr>
            <w:tcW w:w="15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3CD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7B4F00"/>
                <w:sz w:val="18"/>
                <w:szCs w:val="18"/>
              </w:rPr>
              <w:t>MEDIUM</w:t>
            </w:r>
          </w:p>
        </w:tc>
      </w:tr>
      <w:tr>
        <w:trPr/>
        <w:tc>
          <w:tcPr>
            <w:tcW w:w="399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9"/>
                <w:szCs w:val="19"/>
              </w:rPr>
              <w:t>2. Explainability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E7E34"/>
                <w:sz w:val="19"/>
                <w:szCs w:val="19"/>
              </w:rPr>
              <w:t>1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7B4F00"/>
                <w:sz w:val="19"/>
                <w:szCs w:val="19"/>
              </w:rPr>
              <w:t>1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B30000"/>
                <w:sz w:val="19"/>
                <w:szCs w:val="19"/>
              </w:rPr>
              <w:t>0</w:t>
            </w:r>
          </w:p>
        </w:tc>
        <w:tc>
          <w:tcPr>
            <w:tcW w:w="15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4EDDA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7E34"/>
                <w:sz w:val="18"/>
                <w:szCs w:val="18"/>
              </w:rPr>
              <w:t>HIGH</w:t>
            </w:r>
          </w:p>
        </w:tc>
      </w:tr>
      <w:tr>
        <w:trPr/>
        <w:tc>
          <w:tcPr>
            <w:tcW w:w="399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9"/>
                <w:szCs w:val="19"/>
              </w:rPr>
              <w:t>3. Reproducibility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9"/>
                <w:szCs w:val="19"/>
              </w:rPr>
              <w:t>12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E7E34"/>
                <w:sz w:val="19"/>
                <w:szCs w:val="19"/>
              </w:rPr>
              <w:t>2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7B4F00"/>
                <w:sz w:val="19"/>
                <w:szCs w:val="19"/>
              </w:rPr>
              <w:t>2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B30000"/>
                <w:sz w:val="19"/>
                <w:szCs w:val="19"/>
              </w:rPr>
              <w:t>8</w:t>
            </w:r>
          </w:p>
        </w:tc>
        <w:tc>
          <w:tcPr>
            <w:tcW w:w="15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LOW</w:t>
            </w:r>
          </w:p>
        </w:tc>
      </w:tr>
      <w:tr>
        <w:trPr/>
        <w:tc>
          <w:tcPr>
            <w:tcW w:w="399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9"/>
                <w:szCs w:val="19"/>
              </w:rPr>
              <w:t>4. Safety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9"/>
                <w:szCs w:val="19"/>
              </w:rPr>
              <w:t>13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E7E34"/>
                <w:sz w:val="19"/>
                <w:szCs w:val="19"/>
              </w:rPr>
              <w:t>2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7B4F00"/>
                <w:sz w:val="19"/>
                <w:szCs w:val="19"/>
              </w:rPr>
              <w:t>1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B30000"/>
                <w:sz w:val="19"/>
                <w:szCs w:val="19"/>
              </w:rPr>
              <w:t>10</w:t>
            </w:r>
          </w:p>
        </w:tc>
        <w:tc>
          <w:tcPr>
            <w:tcW w:w="15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LOW</w:t>
            </w:r>
          </w:p>
        </w:tc>
      </w:tr>
      <w:tr>
        <w:trPr/>
        <w:tc>
          <w:tcPr>
            <w:tcW w:w="399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9"/>
                <w:szCs w:val="19"/>
              </w:rPr>
              <w:t>5. Security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9"/>
                <w:szCs w:val="19"/>
              </w:rPr>
              <w:t>14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E7E34"/>
                <w:sz w:val="19"/>
                <w:szCs w:val="19"/>
              </w:rPr>
              <w:t>3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7B4F00"/>
                <w:sz w:val="19"/>
                <w:szCs w:val="19"/>
              </w:rPr>
              <w:t>2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B30000"/>
                <w:sz w:val="19"/>
                <w:szCs w:val="19"/>
              </w:rPr>
              <w:t>9</w:t>
            </w:r>
          </w:p>
        </w:tc>
        <w:tc>
          <w:tcPr>
            <w:tcW w:w="15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LOW</w:t>
            </w:r>
          </w:p>
        </w:tc>
      </w:tr>
      <w:tr>
        <w:trPr/>
        <w:tc>
          <w:tcPr>
            <w:tcW w:w="399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9"/>
                <w:szCs w:val="19"/>
              </w:rPr>
              <w:t>6. Robustness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9"/>
                <w:szCs w:val="19"/>
              </w:rPr>
              <w:t>9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E7E34"/>
                <w:sz w:val="19"/>
                <w:szCs w:val="19"/>
              </w:rPr>
              <w:t>1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7B4F00"/>
                <w:sz w:val="19"/>
                <w:szCs w:val="19"/>
              </w:rPr>
              <w:t>2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B30000"/>
                <w:sz w:val="19"/>
                <w:szCs w:val="19"/>
              </w:rPr>
              <w:t>6</w:t>
            </w:r>
          </w:p>
        </w:tc>
        <w:tc>
          <w:tcPr>
            <w:tcW w:w="15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LOW</w:t>
            </w:r>
          </w:p>
        </w:tc>
      </w:tr>
      <w:tr>
        <w:trPr/>
        <w:tc>
          <w:tcPr>
            <w:tcW w:w="399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9"/>
                <w:szCs w:val="19"/>
              </w:rPr>
              <w:t>7. Fairness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9"/>
                <w:szCs w:val="19"/>
              </w:rPr>
              <w:t>11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E7E34"/>
                <w:sz w:val="19"/>
                <w:szCs w:val="19"/>
              </w:rPr>
              <w:t>1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7B4F00"/>
                <w:sz w:val="19"/>
                <w:szCs w:val="19"/>
              </w:rPr>
              <w:t>1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B30000"/>
                <w:sz w:val="19"/>
                <w:szCs w:val="19"/>
              </w:rPr>
              <w:t>9</w:t>
            </w:r>
          </w:p>
        </w:tc>
        <w:tc>
          <w:tcPr>
            <w:tcW w:w="15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LOW</w:t>
            </w:r>
          </w:p>
        </w:tc>
      </w:tr>
      <w:tr>
        <w:trPr/>
        <w:tc>
          <w:tcPr>
            <w:tcW w:w="399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9"/>
                <w:szCs w:val="19"/>
              </w:rPr>
              <w:t>8. Data Governance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9"/>
                <w:szCs w:val="19"/>
              </w:rPr>
              <w:t>5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E7E34"/>
                <w:sz w:val="19"/>
                <w:szCs w:val="19"/>
              </w:rPr>
              <w:t>3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7B4F00"/>
                <w:sz w:val="19"/>
                <w:szCs w:val="19"/>
              </w:rPr>
              <w:t>1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B30000"/>
                <w:sz w:val="19"/>
                <w:szCs w:val="19"/>
              </w:rPr>
              <w:t>1</w:t>
            </w:r>
          </w:p>
        </w:tc>
        <w:tc>
          <w:tcPr>
            <w:tcW w:w="15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3CD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7B4F00"/>
                <w:sz w:val="18"/>
                <w:szCs w:val="18"/>
              </w:rPr>
              <w:t>MEDIUM</w:t>
            </w:r>
          </w:p>
        </w:tc>
      </w:tr>
      <w:tr>
        <w:trPr/>
        <w:tc>
          <w:tcPr>
            <w:tcW w:w="399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9"/>
                <w:szCs w:val="19"/>
              </w:rPr>
              <w:t>9. Accountability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9"/>
                <w:szCs w:val="19"/>
              </w:rPr>
              <w:t>12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E7E34"/>
                <w:sz w:val="19"/>
                <w:szCs w:val="19"/>
              </w:rPr>
              <w:t>2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7B4F00"/>
                <w:sz w:val="19"/>
                <w:szCs w:val="19"/>
              </w:rPr>
              <w:t>2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B30000"/>
                <w:sz w:val="19"/>
                <w:szCs w:val="19"/>
              </w:rPr>
              <w:t>8</w:t>
            </w:r>
          </w:p>
        </w:tc>
        <w:tc>
          <w:tcPr>
            <w:tcW w:w="15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LOW</w:t>
            </w:r>
          </w:p>
        </w:tc>
      </w:tr>
      <w:tr>
        <w:trPr/>
        <w:tc>
          <w:tcPr>
            <w:tcW w:w="399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9"/>
                <w:szCs w:val="19"/>
              </w:rPr>
              <w:t>10. Human Agency &amp; Oversight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9"/>
                <w:szCs w:val="19"/>
              </w:rPr>
              <w:t>8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E7E34"/>
                <w:sz w:val="19"/>
                <w:szCs w:val="19"/>
              </w:rPr>
              <w:t>4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7B4F00"/>
                <w:sz w:val="19"/>
                <w:szCs w:val="19"/>
              </w:rPr>
              <w:t>1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B30000"/>
                <w:sz w:val="19"/>
                <w:szCs w:val="19"/>
              </w:rPr>
              <w:t>3</w:t>
            </w:r>
          </w:p>
        </w:tc>
        <w:tc>
          <w:tcPr>
            <w:tcW w:w="15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3CD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7B4F00"/>
                <w:sz w:val="18"/>
                <w:szCs w:val="18"/>
              </w:rPr>
              <w:t>MEDIUM</w:t>
            </w:r>
          </w:p>
        </w:tc>
      </w:tr>
      <w:tr>
        <w:trPr/>
        <w:tc>
          <w:tcPr>
            <w:tcW w:w="399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9"/>
                <w:szCs w:val="19"/>
              </w:rPr>
              <w:t>11. Inclusive Growth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9"/>
                <w:szCs w:val="19"/>
              </w:rPr>
              <w:t>2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E7E34"/>
                <w:sz w:val="19"/>
                <w:szCs w:val="19"/>
              </w:rPr>
              <w:t>0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7B4F00"/>
                <w:sz w:val="19"/>
                <w:szCs w:val="19"/>
              </w:rPr>
              <w:t>1</w:t>
            </w:r>
          </w:p>
        </w:tc>
        <w:tc>
          <w:tcPr>
            <w:tcW w:w="1123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B30000"/>
                <w:sz w:val="19"/>
                <w:szCs w:val="19"/>
              </w:rPr>
              <w:t>1</w:t>
            </w:r>
          </w:p>
        </w:tc>
        <w:tc>
          <w:tcPr>
            <w:tcW w:w="159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LOW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p>
      <w:pPr>
        <w:pStyle w:val="Normal"/>
        <w:spacing w:before="60" w:after="80"/>
        <w:rPr/>
      </w:pPr>
      <w:r>
        <w:rPr>
          <w:rFonts w:eastAsia="Arial" w:cs="Arial"/>
          <w:i/>
          <w:iCs/>
          <w:color w:val="1A1A1A"/>
          <w:sz w:val="22"/>
          <w:szCs w:val="22"/>
        </w:rPr>
        <w:t>Key insight: Principles 8 (Data Governance), 2 (Explainability), and 10 (Human Agency) are your strongest areas — these were built deliberately into your system. Principles 4 (Safety), 5 (Security), 3 (Reproducibility), and 7 (Fairness) require the most work and will form your Track 2 Python test suite.</w:t>
      </w:r>
    </w:p>
    <w:p>
      <w:pPr>
        <w:pStyle w:val="Normal"/>
        <w:pBdr>
          <w:bottom w:val="single" w:sz="6" w:space="1" w:color="2E75B6"/>
        </w:pBdr>
        <w:spacing w:before="200" w:after="200"/>
        <w:rPr/>
      </w:pPr>
      <w:r>
        <w:rPr/>
      </w:r>
    </w:p>
    <w:p>
      <w:pPr>
        <w:pStyle w:val="Heading1"/>
        <w:spacing w:before="360" w:after="160"/>
        <w:rPr/>
      </w:pPr>
      <w:r>
        <w:rPr>
          <w:rFonts w:eastAsia="Arial" w:cs="Arial" w:ascii="Arial" w:hAnsi="Arial"/>
          <w:b/>
          <w:bCs/>
          <w:color w:val="1F4E79"/>
          <w:sz w:val="34"/>
          <w:szCs w:val="34"/>
        </w:rPr>
        <w:t>2. Detailed Gap Analysis by Principle</w:t>
      </w:r>
    </w:p>
    <w:p>
      <w:pPr>
        <w:pStyle w:val="Normal"/>
        <w:spacing w:before="60" w:after="80"/>
        <w:rPr/>
      </w:pPr>
      <w:r>
        <w:rPr>
          <w:rFonts w:eastAsia="Arial" w:cs="Arial"/>
          <w:i w:val="false"/>
          <w:iCs w:val="false"/>
          <w:color w:val="1A1A1A"/>
          <w:sz w:val="22"/>
          <w:szCs w:val="22"/>
        </w:rPr>
        <w:t>Each table below lists every process check from the AI Verify document, your current status, and the exact evidence you need to build.</w:t>
      </w:r>
    </w:p>
    <w:p>
      <w:pPr>
        <w:pStyle w:val="Heading2"/>
        <w:spacing w:before="280" w:after="120"/>
        <w:rPr/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  <w:t>Principle 1 — Transparency</w:t>
      </w:r>
    </w:p>
    <w:p>
      <w:pPr>
        <w:pStyle w:val="Normal"/>
        <w:spacing w:before="60" w:after="80"/>
        <w:rPr/>
      </w:pPr>
      <w:r>
        <w:rPr>
          <w:rFonts w:eastAsia="Arial" w:cs="Arial"/>
          <w:i w:val="false"/>
          <w:iCs w:val="false"/>
          <w:color w:val="1A1A1A"/>
          <w:sz w:val="22"/>
          <w:szCs w:val="22"/>
        </w:rPr>
        <w:t>Ability to provide responsible disclosure to those affected by AI systems to understand the outcome.</w:t>
      </w:r>
    </w:p>
    <w:p>
      <w:pPr>
        <w:pStyle w:val="Normal"/>
        <w:spacing w:before="60" w:after="60"/>
        <w:rPr/>
      </w:pPr>
      <w:r>
        <w:rPr/>
      </w:r>
    </w:p>
    <w:tbl>
      <w:tblPr>
        <w:tblW w:w="1008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69"/>
        <w:gridCol w:w="4695"/>
        <w:gridCol w:w="1507"/>
        <w:gridCol w:w="2909"/>
      </w:tblGrid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Process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Status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Evidence Needed / Action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1.1.1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In-house policy on communication to consumers — purpose, context, how AI is used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3CD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7B4F00"/>
                <w:sz w:val="18"/>
                <w:szCs w:val="18"/>
              </w:rPr>
              <w:t>~ PARTIAL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Write a 1-page Communication Policy doc for the system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1.1.2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Inform stakeholders that AI is used in your product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4EDDA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7E34"/>
                <w:sz w:val="18"/>
                <w:szCs w:val="18"/>
              </w:rPr>
              <w:t xml:space="preserve">✓ </w:t>
            </w:r>
            <w:r>
              <w:rPr>
                <w:rFonts w:eastAsia="Arial" w:cs="Arial"/>
                <w:b/>
                <w:bCs/>
                <w:color w:val="1E7E34"/>
                <w:sz w:val="18"/>
                <w:szCs w:val="18"/>
              </w:rPr>
              <w:t>HAVE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Session Progress Report already documents this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1.1.3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Label/disclaimer that users are interacting with an AI system (GenAI)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8F5E9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B5E20"/>
                <w:sz w:val="18"/>
                <w:szCs w:val="18"/>
              </w:rPr>
              <w:t xml:space="preserve">✓ </w:t>
            </w:r>
            <w:r>
              <w:rPr>
                <w:rFonts w:eastAsia="Arial" w:cs="Arial"/>
                <w:b/>
                <w:bCs/>
                <w:color w:val="1B5E20"/>
                <w:sz w:val="18"/>
                <w:szCs w:val="18"/>
              </w:rPr>
              <w:t>HAVE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Add [AI-GENERATED] tag to all pipeline outputs in main.py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1.1.4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Communicate factors leading to AI decision (similarity score, RBAC rule applied)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3CD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7B4F00"/>
                <w:sz w:val="18"/>
                <w:szCs w:val="18"/>
              </w:rPr>
              <w:t xml:space="preserve">✓ </w:t>
            </w:r>
            <w:r>
              <w:rPr>
                <w:rFonts w:eastAsia="Arial" w:cs="Arial"/>
                <w:b/>
                <w:bCs/>
                <w:color w:val="7B4F00"/>
                <w:sz w:val="18"/>
                <w:szCs w:val="18"/>
              </w:rPr>
              <w:t>HAVE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Print similarity scores + RBAC rule applied in output node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1.1.5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Consult end users at earliest stages of development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Document design decisions made — write a brief stakeholder note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1.1.6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Publish system card: accuracy, intended use, limitations, red-team results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Build System Card document (Phase 4 deliverable)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1.2.1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Provide info on purpose, intended use, intended response to end users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Add README with user guide section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1.3.1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Align with data protection laws (PDPA Singapore)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4EDDA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7E34"/>
                <w:sz w:val="18"/>
                <w:szCs w:val="18"/>
              </w:rPr>
              <w:t xml:space="preserve">✓ </w:t>
            </w:r>
            <w:r>
              <w:rPr>
                <w:rFonts w:eastAsia="Arial" w:cs="Arial"/>
                <w:b/>
                <w:bCs/>
                <w:color w:val="1E7E34"/>
                <w:sz w:val="18"/>
                <w:szCs w:val="18"/>
              </w:rPr>
              <w:t>HAVE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BigQuery Singapore region + PDPA residency already in place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1.4.1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Publish privacy policy on org website / documentation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Write a Privacy Notice document for the system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1.5.1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Process for communicating incidents to end users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Write a 1-page Incident Communication Plan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1.6.1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Process for users to report adverse impacts (whistleblower protection)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Add feedback/report mechanism — at minimum, a documented email channel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1.7.1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Publish generic AI governance info on organisation website/filing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Add governance section to GitHub README or portfolio site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1.7.2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Publish system card / model card publicly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System Card to be published on GitHub (Phase 4)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p>
      <w:pPr>
        <w:pStyle w:val="Heading2"/>
        <w:spacing w:before="280" w:after="120"/>
        <w:rPr/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  <w:t>Principle 2 — Explainability</w:t>
      </w:r>
    </w:p>
    <w:p>
      <w:pPr>
        <w:pStyle w:val="Normal"/>
        <w:spacing w:before="60" w:after="80"/>
        <w:rPr/>
      </w:pPr>
      <w:r>
        <w:rPr>
          <w:rFonts w:eastAsia="Arial" w:cs="Arial"/>
          <w:i w:val="false"/>
          <w:iCs w:val="false"/>
          <w:color w:val="1A1A1A"/>
          <w:sz w:val="22"/>
          <w:szCs w:val="22"/>
        </w:rPr>
        <w:t>Ability to assess factors that led to the AI system's decision, behaviour, and implications.</w:t>
      </w:r>
    </w:p>
    <w:p>
      <w:pPr>
        <w:pStyle w:val="Normal"/>
        <w:spacing w:before="60" w:after="60"/>
        <w:rPr/>
      </w:pPr>
      <w:r>
        <w:rPr/>
      </w:r>
    </w:p>
    <w:tbl>
      <w:tblPr>
        <w:tblW w:w="1008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69"/>
        <w:gridCol w:w="4695"/>
        <w:gridCol w:w="1507"/>
        <w:gridCol w:w="2909"/>
      </w:tblGrid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Process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Status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Evidence Needed / Action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2.1.1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Perform feature contribution analysis using technical tools (Traditional AI — N/A for GenAI RAG)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4EDDA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7E34"/>
                <w:sz w:val="18"/>
                <w:szCs w:val="18"/>
              </w:rPr>
              <w:t xml:space="preserve">✓ </w:t>
            </w:r>
            <w:r>
              <w:rPr>
                <w:rFonts w:eastAsia="Arial" w:cs="Arial"/>
                <w:b/>
                <w:bCs/>
                <w:color w:val="1E7E34"/>
                <w:sz w:val="18"/>
                <w:szCs w:val="18"/>
              </w:rPr>
              <w:t>HAVE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N/A — GenAI RAG system. RBAC rules serve as explicit feature attribution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2.2.1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Document rationale, risk assessment, trade-offs for choice of AI model (why Gemini)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3CD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7B4F00"/>
                <w:sz w:val="18"/>
                <w:szCs w:val="18"/>
              </w:rPr>
              <w:t>~ PARTIAL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Add a 'Model Selection Rationale' section to your README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p>
      <w:pPr>
        <w:pStyle w:val="Heading2"/>
        <w:spacing w:before="280" w:after="120"/>
        <w:rPr/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  <w:t>Principle 3 — Reproducibility</w:t>
      </w:r>
    </w:p>
    <w:p>
      <w:pPr>
        <w:pStyle w:val="Normal"/>
        <w:spacing w:before="60" w:after="80"/>
        <w:rPr/>
      </w:pPr>
      <w:r>
        <w:rPr>
          <w:rFonts w:eastAsia="Arial" w:cs="Arial"/>
          <w:i w:val="false"/>
          <w:iCs w:val="false"/>
          <w:color w:val="1A1A1A"/>
          <w:sz w:val="22"/>
          <w:szCs w:val="22"/>
        </w:rPr>
        <w:t>Ability to consistently perform required functions and for an independent party to reproduce results.</w:t>
      </w:r>
    </w:p>
    <w:p>
      <w:pPr>
        <w:pStyle w:val="Normal"/>
        <w:spacing w:before="60" w:after="60"/>
        <w:rPr/>
      </w:pPr>
      <w:r>
        <w:rPr/>
      </w:r>
    </w:p>
    <w:tbl>
      <w:tblPr>
        <w:tblW w:w="1008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69"/>
        <w:gridCol w:w="4695"/>
        <w:gridCol w:w="1507"/>
        <w:gridCol w:w="2909"/>
      </w:tblGrid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Process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Status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Evidence Needed / Action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3.1.1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Version control of source code, parameters, hyperparameters, source data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3CD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7B4F00"/>
                <w:sz w:val="18"/>
                <w:szCs w:val="18"/>
              </w:rPr>
              <w:t xml:space="preserve">✓ </w:t>
            </w:r>
            <w:r>
              <w:rPr>
                <w:rFonts w:eastAsia="Arial" w:cs="Arial"/>
                <w:b/>
                <w:bCs/>
                <w:color w:val="7B4F00"/>
                <w:sz w:val="18"/>
                <w:szCs w:val="18"/>
              </w:rPr>
              <w:t>HAVE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Initialise Git repo for project; tag current code as v1.0.0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3.2.1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Log and capture data used to train/produce inference results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4EDDA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7E34"/>
                <w:sz w:val="18"/>
                <w:szCs w:val="18"/>
              </w:rPr>
              <w:t xml:space="preserve">✓ </w:t>
            </w:r>
            <w:r>
              <w:rPr>
                <w:rFonts w:eastAsia="Arial" w:cs="Arial"/>
                <w:b/>
                <w:bCs/>
                <w:color w:val="1E7E34"/>
                <w:sz w:val="18"/>
                <w:szCs w:val="18"/>
              </w:rPr>
              <w:t>HAVE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BigQuery employee_data + embeddings tables serve as this record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3.3.1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Link inference results back to underlying model and source code (Traditional AI)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4EDDA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7E34"/>
                <w:sz w:val="18"/>
                <w:szCs w:val="18"/>
              </w:rPr>
              <w:t xml:space="preserve">✓ </w:t>
            </w:r>
            <w:r>
              <w:rPr>
                <w:rFonts w:eastAsia="Arial" w:cs="Arial"/>
                <w:b/>
                <w:bCs/>
                <w:color w:val="1E7E34"/>
                <w:sz w:val="18"/>
                <w:szCs w:val="18"/>
              </w:rPr>
              <w:t>HAVE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N/A for GenAI — BigQuery audit_log links query → result → role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3.4.1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Log all inputs and inference outputs including HITL decisions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4EDDA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7E34"/>
                <w:sz w:val="18"/>
                <w:szCs w:val="18"/>
              </w:rPr>
              <w:t xml:space="preserve">✓ </w:t>
            </w:r>
            <w:r>
              <w:rPr>
                <w:rFonts w:eastAsia="Arial" w:cs="Arial"/>
                <w:b/>
                <w:bCs/>
                <w:color w:val="1E7E34"/>
                <w:sz w:val="18"/>
                <w:szCs w:val="18"/>
              </w:rPr>
              <w:t>HAVE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BigQuery audit_log already captures this — confirmed working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3.5.1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Version control model artefacts — code, dependencies, parameters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8F5E9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B5E20"/>
                <w:sz w:val="18"/>
                <w:szCs w:val="18"/>
              </w:rPr>
              <w:t xml:space="preserve">✓ </w:t>
            </w:r>
            <w:r>
              <w:rPr>
                <w:rFonts w:eastAsia="Arial" w:cs="Arial"/>
                <w:b/>
                <w:bCs/>
                <w:color w:val="1B5E20"/>
                <w:sz w:val="18"/>
                <w:szCs w:val="18"/>
              </w:rPr>
              <w:t>HAVE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Create requirements.txt with pinned versions; add to Git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3.6.1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Run same query multiple times, verify output consistency within acceptable limits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Python test: run 5 identical queries, assert same TOP_K results returned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3.7.1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Define technical and business metrics AI model is assessed against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Document: retrieval precision@5, RBAC compliance rate, HITL trigger rate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3.8.1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Track experiments, hyperparameters, rationale for final model choice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Write a Model Development Log documenting why TOP_K=5, embedding model chosen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3.9.1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Version control input data; track transformation steps as DAG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3CD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7B4F00"/>
                <w:sz w:val="18"/>
                <w:szCs w:val="18"/>
              </w:rPr>
              <w:t>~ PARTIAL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Document data pipeline steps: Excel → pandas → BigQuery as a DAG diagram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3.10.1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Monitor statistical distribution of inputs/outputs for drift (Traditional AI)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Partially N/A; document that Gemini API version is pinned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3.11.1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Log audit trail of when/how each model version was deployed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Add deployment log file: date, code version, embedding model version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3.12.1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Assess third-party (Gemini) vendor claims on accuracy using test set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Run 10 known queries against BigQuery; document retrieval accuracy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p>
      <w:pPr>
        <w:pStyle w:val="Heading2"/>
        <w:spacing w:before="280" w:after="120"/>
        <w:rPr/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  <w:t>Principle 4 — Safety</w:t>
      </w:r>
    </w:p>
    <w:p>
      <w:pPr>
        <w:pStyle w:val="Normal"/>
        <w:spacing w:before="60" w:after="80"/>
        <w:rPr/>
      </w:pPr>
      <w:r>
        <w:rPr>
          <w:rFonts w:eastAsia="Arial" w:cs="Arial"/>
          <w:i w:val="false"/>
          <w:iCs w:val="false"/>
          <w:color w:val="1A1A1A"/>
          <w:sz w:val="22"/>
          <w:szCs w:val="22"/>
        </w:rPr>
        <w:t>AI should not result in harm to humans. Measures should be in place to mitigate harm throughout the AI lifecycle.</w:t>
      </w:r>
    </w:p>
    <w:p>
      <w:pPr>
        <w:pStyle w:val="Normal"/>
        <w:spacing w:before="60" w:after="60"/>
        <w:rPr/>
      </w:pPr>
      <w:r>
        <w:rPr/>
      </w:r>
    </w:p>
    <w:tbl>
      <w:tblPr>
        <w:tblW w:w="1008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69"/>
        <w:gridCol w:w="4695"/>
        <w:gridCol w:w="1507"/>
        <w:gridCol w:w="2909"/>
      </w:tblGrid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Process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Status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Evidence Needed / Action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4.1.1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Run benchmarking and red-teaming using Project Moonshot (GenAI)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Install Project Moonshot; run standard benchmark on Gemini RAG system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4.2.1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Complete Assessment of Materiality — probability of harm, severity, transparency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Write a Materiality Assessment document (1–2 pages)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4.3.1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Document intended use cases, capabilities, limitations via model card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Write a Model Card document for the system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4.3.2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Regular risk evaluation for GenAI models; plan post-deployment safeguard assessment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Document review schedule (e.g., quarterly) in governance policy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4.4.1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Assign reviewer for post-deployment monitoring; publish performance reports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Designate reviewer role; schedule quarterly audit_log review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4.5.1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Detect if model might fail; return confidence/outlier score with predictions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3CD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7B4F00"/>
                <w:sz w:val="18"/>
                <w:szCs w:val="18"/>
              </w:rPr>
              <w:t xml:space="preserve">✓ </w:t>
            </w:r>
            <w:r>
              <w:rPr>
                <w:rFonts w:eastAsia="Arial" w:cs="Arial"/>
                <w:b/>
                <w:bCs/>
                <w:color w:val="7B4F00"/>
                <w:sz w:val="18"/>
                <w:szCs w:val="18"/>
              </w:rPr>
              <w:t>HAVE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Add similarity score threshold warning in output node (e.g., if score &lt; 0.5)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4.5.2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Contingency plan for third-party (Gemini API) failure; fallback plan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Write a Fallback Plan: what happens if Gemini API is unavailable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4.6.1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Deployment strategies: blue-green or canary deployments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Document as future production consideration; N/A for prototype stage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4.6.2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Backup model server in blue-green deployment mode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Document as future production consideration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4.6.3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Confidence score with prediction; fallback to backup on failure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Implement similarity score in output; document fallback to manual lookup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4.6.4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Feedback loop: retrain models with production ground truth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Document retraining policy — e.g., re-embed if source data changes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4.7.1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Document residual risks and reasons for tolerance level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Add Residual Risk section to Materiality Assessment document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4.8.1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Prevent AI from generating content violating laws (guardrails, filters)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3CD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7B4F00"/>
                <w:sz w:val="18"/>
                <w:szCs w:val="18"/>
              </w:rPr>
              <w:t>~ PARTIAL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RBAC strips sensitive fields — document this as a guardrail in policy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4.10.1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Document TEVV (Test, Evaluation, Verification, Validation) considerations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Write a TEVV policy section — how system is tested before each deployment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p>
      <w:pPr>
        <w:pStyle w:val="Heading2"/>
        <w:spacing w:before="280" w:after="120"/>
        <w:rPr/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  <w:t>Principle 5 — Security</w:t>
      </w:r>
    </w:p>
    <w:p>
      <w:pPr>
        <w:pStyle w:val="Normal"/>
        <w:spacing w:before="60" w:after="80"/>
        <w:rPr/>
      </w:pPr>
      <w:r>
        <w:rPr>
          <w:rFonts w:eastAsia="Arial" w:cs="Arial"/>
          <w:i w:val="false"/>
          <w:iCs w:val="false"/>
          <w:color w:val="1A1A1A"/>
          <w:sz w:val="22"/>
          <w:szCs w:val="22"/>
        </w:rPr>
        <w:t>Protection of AI systems, data, and infrastructure from unauthorised access, modification, or disruption.</w:t>
      </w:r>
    </w:p>
    <w:p>
      <w:pPr>
        <w:pStyle w:val="Normal"/>
        <w:spacing w:before="60" w:after="60"/>
        <w:rPr/>
      </w:pPr>
      <w:r>
        <w:rPr/>
      </w:r>
    </w:p>
    <w:tbl>
      <w:tblPr>
        <w:tblW w:w="1008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69"/>
        <w:gridCol w:w="4695"/>
        <w:gridCol w:w="1507"/>
        <w:gridCol w:w="2909"/>
      </w:tblGrid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Process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Status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Evidence Needed / Action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5.1.1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Training and guidance on AI security risks for all personnel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Document completion of relevant security training (e.g., IAPP AIGPP)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5.2.1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Holistic threat and risk assessment aligned to industry standards (NIST, OWASP)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Write a Threat Model document using CIA triad framework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5.3.1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Assess and monitor supply chain security risks (libraries, third-party models)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3CD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7B4F00"/>
                <w:sz w:val="18"/>
                <w:szCs w:val="18"/>
              </w:rPr>
              <w:t>~ PARTIAL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Document library versions in requirements.txt; note Gemini API trust assessment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5.4.1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Consider security trade-offs when selecting AI model (complexity, sensitivity)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3CD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7B4F00"/>
                <w:sz w:val="18"/>
                <w:szCs w:val="18"/>
              </w:rPr>
              <w:t>~ PARTIAL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Document model selection security considerations in README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5.5.1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Identify, track, protect AI-related assets — models, data, prompts, logs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4EDDA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7E34"/>
                <w:sz w:val="18"/>
                <w:szCs w:val="18"/>
              </w:rPr>
              <w:t xml:space="preserve">✓ </w:t>
            </w:r>
            <w:r>
              <w:rPr>
                <w:rFonts w:eastAsia="Arial" w:cs="Arial"/>
                <w:b/>
                <w:bCs/>
                <w:color w:val="1E7E34"/>
                <w:sz w:val="18"/>
                <w:szCs w:val="18"/>
              </w:rPr>
              <w:t>HAVE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BigQuery tables are secured; API key in .env; audit_log is immutable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5.6.1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Secure development environment: access controls, least-privilege, secure config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4EDDA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7E34"/>
                <w:sz w:val="18"/>
                <w:szCs w:val="18"/>
              </w:rPr>
              <w:t xml:space="preserve">✓ </w:t>
            </w:r>
            <w:r>
              <w:rPr>
                <w:rFonts w:eastAsia="Arial" w:cs="Arial"/>
                <w:b/>
                <w:bCs/>
                <w:color w:val="1E7E34"/>
                <w:sz w:val="18"/>
                <w:szCs w:val="18"/>
              </w:rPr>
              <w:t>HAVE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ADC credentials used; .env for secrets; RBAC enforces least-privilege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5.7.1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Secure deployment environment: access controls, firewalls, logging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3CD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7B4F00"/>
                <w:sz w:val="18"/>
                <w:szCs w:val="18"/>
              </w:rPr>
              <w:t>~ PARTIAL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BigQuery IAM provides access control; document GCP security config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5.8.1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Incident response, escalation and remediation plans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Write an Incident Response Playbook (1 page minimum)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5.9.1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Release AI only after security checks and evaluation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Document pre-release checklist: what tests must pass before deployment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5.10.1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Monitor and log inputs to AI system (queries, prompts, requests)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4EDDA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7E34"/>
                <w:sz w:val="18"/>
                <w:szCs w:val="18"/>
              </w:rPr>
              <w:t xml:space="preserve">✓ </w:t>
            </w:r>
            <w:r>
              <w:rPr>
                <w:rFonts w:eastAsia="Arial" w:cs="Arial"/>
                <w:b/>
                <w:bCs/>
                <w:color w:val="1E7E34"/>
                <w:sz w:val="18"/>
                <w:szCs w:val="18"/>
              </w:rPr>
              <w:t>HAVE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BigQuery audit_log captures all input queries — confirmed working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5.11.1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Monitor AI system outputs and behaviour post-deployment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Build Python monitoring script: query audit_log for anomalous patterns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5.12.1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Secure-by-design approach to model updates and continuous learning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Document update policy: treat new data ingestion as versioned update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5.13.1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Vulnerability disclosure process: channel for users to report findings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Add GitHub Issues template for security vulnerability reporting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5.14.1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Proper and secure disposal of data and models per regulations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Document data retention and deletion policy aligned to PDPA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p>
      <w:pPr>
        <w:pStyle w:val="Heading2"/>
        <w:spacing w:before="280" w:after="120"/>
        <w:rPr/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  <w:t>Principle 6 — Robustness</w:t>
      </w:r>
    </w:p>
    <w:p>
      <w:pPr>
        <w:pStyle w:val="Normal"/>
        <w:spacing w:before="60" w:after="80"/>
        <w:rPr/>
      </w:pPr>
      <w:r>
        <w:rPr>
          <w:rFonts w:eastAsia="Arial" w:cs="Arial"/>
          <w:i w:val="false"/>
          <w:iCs w:val="false"/>
          <w:color w:val="1A1A1A"/>
          <w:sz w:val="22"/>
          <w:szCs w:val="22"/>
        </w:rPr>
        <w:t>AI system should be resilient against attacks, manipulation, and unexpected inputs.</w:t>
      </w:r>
    </w:p>
    <w:p>
      <w:pPr>
        <w:pStyle w:val="Normal"/>
        <w:spacing w:before="60" w:after="60"/>
        <w:rPr/>
      </w:pPr>
      <w:r>
        <w:rPr/>
      </w:r>
    </w:p>
    <w:tbl>
      <w:tblPr>
        <w:tblW w:w="1008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69"/>
        <w:gridCol w:w="4695"/>
        <w:gridCol w:w="1507"/>
        <w:gridCol w:w="2909"/>
      </w:tblGrid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Process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Status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Evidence Needed / Action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6.1.1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Calculate accuracy metrics; benchmark GenAI with perturbated prompts (typos, synonyms)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Python test: run queries with typos/synonyms; verify results remain consistent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6.2.1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Ensure data quality: up-to-date, complete, representative, no drift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3CD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7B4F00"/>
                <w:sz w:val="18"/>
                <w:szCs w:val="18"/>
              </w:rPr>
              <w:t>~ PARTIAL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Document data quality checks run during processor.py ingestion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6.3.1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Document intended use cases, risks, limitations in model card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Model Card (same as 4.3.1) — covers use cases and limitations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6.4.1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Document use cases and risks including feedback loops and adversarial inputs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Model Card — add adversarial input risk section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6.5.1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Review process triggered by changes to code, input data, or output metrics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Write a Change Review Policy: when re-evaluation is required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6.6.1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Mitigate known adversarial attacks at training time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Document: RBAC as adversarial guard; add prompt injection test case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6.6.2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Monitor query frequency and feature distribution to detect suspicious use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Build Python script: query audit_log for repeated roles, high-frequency queries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6.6.3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Take action on suspicious users — flag, rate-limit, block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Add rate-limit counter to main.py; flag if same role queries &gt; N times/min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6.7.1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Continuous monitoring and periodic validation of model output quality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Schedule quarterly audit_log review; document latency/error thresholds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6.7.2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Policy for RAG citation verification; track domain knowledge sources (GenAI)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3CD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7B4F00"/>
                <w:sz w:val="18"/>
                <w:szCs w:val="18"/>
              </w:rPr>
              <w:t>~ PARTIAL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Document that embeddings link to source employee_data rows in BigQuery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p>
      <w:pPr>
        <w:pStyle w:val="Heading2"/>
        <w:spacing w:before="280" w:after="120"/>
        <w:rPr/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  <w:t>Principle 7 — Fairness</w:t>
      </w:r>
    </w:p>
    <w:p>
      <w:pPr>
        <w:pStyle w:val="Normal"/>
        <w:spacing w:before="60" w:after="80"/>
        <w:rPr/>
      </w:pPr>
      <w:r>
        <w:rPr>
          <w:rFonts w:eastAsia="Arial" w:cs="Arial"/>
          <w:i w:val="false"/>
          <w:iCs w:val="false"/>
          <w:color w:val="1A1A1A"/>
          <w:sz w:val="22"/>
          <w:szCs w:val="22"/>
        </w:rPr>
        <w:t>AI should not result in unintended or inappropriate discrimination against individuals or groups.</w:t>
      </w:r>
    </w:p>
    <w:p>
      <w:pPr>
        <w:pStyle w:val="Normal"/>
        <w:spacing w:before="60" w:after="60"/>
        <w:rPr/>
      </w:pPr>
      <w:r>
        <w:rPr/>
      </w:r>
    </w:p>
    <w:tbl>
      <w:tblPr>
        <w:tblW w:w="1008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69"/>
        <w:gridCol w:w="4695"/>
        <w:gridCol w:w="1507"/>
        <w:gridCol w:w="2909"/>
      </w:tblGrid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Process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Status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Evidence Needed / Action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7.1.1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Quantitative fairness analysis — disparity of error rates across groups (Traditional AI)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4EDDA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7E34"/>
                <w:sz w:val="18"/>
                <w:szCs w:val="18"/>
              </w:rPr>
              <w:t xml:space="preserve">✓ </w:t>
            </w:r>
            <w:r>
              <w:rPr>
                <w:rFonts w:eastAsia="Arial" w:cs="Arial"/>
                <w:b/>
                <w:bCs/>
                <w:color w:val="1E7E34"/>
                <w:sz w:val="18"/>
                <w:szCs w:val="18"/>
              </w:rPr>
              <w:t>HAVE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N/A — not a classification model. RBAC applies equal rules to all roles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7.2.1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Red-team for bias, toxic output against individuals/groups using Project Moonshot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Run Project Moonshot fairness benchmarks on Gemini RAG output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7.3.1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Counterfactual fairness assessment (Traditional AI)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Partially N/A; document: same query by different roles — compare results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7.4.1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Monitor fairness metric values across AI system lifecycle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Define RBAC compliance rate as fairness metric; log per audit_log query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7.5.1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Select fairness metrics aligned to use case using Fairness Decision Tree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Document: RBAC compliance rate (100% target) as primary fairness metric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7.6.1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Identify sensitive features and privileged/unprivileged groups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3CD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7B4F00"/>
                <w:sz w:val="18"/>
                <w:szCs w:val="18"/>
              </w:rPr>
              <w:t>~ PARTIAL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SENSITIVE_FIELDS already defined in code — formalise in policy document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7.7.1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Consult impacted communities on correct definition of fairness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Document consultation with HR and data subjects on RBAC role definitions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7.8.1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Exploratory data analysis — verify data is representative of end-user population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Run Python EDA on f_data.xlsx; document demographic distribution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7.9.1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Monitor fairness threshold violations post-deployment; offer redress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Add RBAC violation counter to audit_log; document redress process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7.10.1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Monitor metrics for latest deployed data on ongoing basis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Quarterly audit_log review — check RBAC compliance rate has not degraded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7.11.1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Handle imbalanced datasets — oversample minority, SMOTE if needed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Document: employee_data distribution by role and department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p>
      <w:pPr>
        <w:pStyle w:val="Heading2"/>
        <w:spacing w:before="280" w:after="120"/>
        <w:rPr/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  <w:t>Principle 8 — Data Governance</w:t>
      </w:r>
    </w:p>
    <w:p>
      <w:pPr>
        <w:pStyle w:val="Normal"/>
        <w:spacing w:before="60" w:after="80"/>
        <w:rPr/>
      </w:pPr>
      <w:r>
        <w:rPr>
          <w:rFonts w:eastAsia="Arial" w:cs="Arial"/>
          <w:i w:val="false"/>
          <w:iCs w:val="false"/>
          <w:color w:val="1A1A1A"/>
          <w:sz w:val="22"/>
          <w:szCs w:val="22"/>
        </w:rPr>
        <w:t>Governing data used in AI systems including quality, lineage, and regulatory compliance. This is your strongest principle.</w:t>
      </w:r>
    </w:p>
    <w:p>
      <w:pPr>
        <w:pStyle w:val="Normal"/>
        <w:spacing w:before="60" w:after="60"/>
        <w:rPr/>
      </w:pPr>
      <w:r>
        <w:rPr/>
      </w:r>
    </w:p>
    <w:tbl>
      <w:tblPr>
        <w:tblW w:w="1008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69"/>
        <w:gridCol w:w="4695"/>
        <w:gridCol w:w="1507"/>
        <w:gridCol w:w="2909"/>
      </w:tblGrid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Process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Status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Evidence Needed / Action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8.1.1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Verify data quality: accuracy, completeness, veracity, relevance, usability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4EDDA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7E34"/>
                <w:sz w:val="18"/>
                <w:szCs w:val="18"/>
              </w:rPr>
              <w:t xml:space="preserve">✓ </w:t>
            </w:r>
            <w:r>
              <w:rPr>
                <w:rFonts w:eastAsia="Arial" w:cs="Arial"/>
                <w:b/>
                <w:bCs/>
                <w:color w:val="1E7E34"/>
                <w:sz w:val="18"/>
                <w:szCs w:val="18"/>
              </w:rPr>
              <w:t>HAVE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processor.py validates data during ingestion; 100 records loaded cleanly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8.2.1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Maintain data provenance record: origin, transformation, labelling, PII handling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3CD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7B4F00"/>
                <w:sz w:val="18"/>
                <w:szCs w:val="18"/>
              </w:rPr>
              <w:t>~ PARTIAL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Document data flow: f_data.xlsx → pandas → BigQuery; add data dictionary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8.3.1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Ensure data practices comply with PDPA and relevant standards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4EDDA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7E34"/>
                <w:sz w:val="18"/>
                <w:szCs w:val="18"/>
              </w:rPr>
              <w:t xml:space="preserve">✓ </w:t>
            </w:r>
            <w:r>
              <w:rPr>
                <w:rFonts w:eastAsia="Arial" w:cs="Arial"/>
                <w:b/>
                <w:bCs/>
                <w:color w:val="1E7E34"/>
                <w:sz w:val="18"/>
                <w:szCs w:val="18"/>
              </w:rPr>
              <w:t>HAVE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BigQuery Singapore region; PDPA residency by design — confirmed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8.3.2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Detect PII in generated output; anonymise where needed (GenAI)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4EDDA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7E34"/>
                <w:sz w:val="18"/>
                <w:szCs w:val="18"/>
              </w:rPr>
              <w:t xml:space="preserve">✓ </w:t>
            </w:r>
            <w:r>
              <w:rPr>
                <w:rFonts w:eastAsia="Arial" w:cs="Arial"/>
                <w:b/>
                <w:bCs/>
                <w:color w:val="1E7E34"/>
                <w:sz w:val="18"/>
                <w:szCs w:val="18"/>
              </w:rPr>
              <w:t>HAVE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RBAC strips all PII fields before output — confirmed working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8.4.1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Ensure team members are knowledgeable about data governance roles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3CD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7B4F00"/>
                <w:sz w:val="18"/>
                <w:szCs w:val="18"/>
              </w:rPr>
              <w:t>~ PARTIAL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Document: IAPP AIGPP study as evidence of data governance training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8.5.1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Assess third-party IP risks; monitor output for data disclosure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Document: Gemini API usage terms reviewed; no training data sent to Google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p>
      <w:pPr>
        <w:pStyle w:val="Heading2"/>
        <w:spacing w:before="280" w:after="120"/>
        <w:rPr/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  <w:t>Principle 9 — Accountability</w:t>
      </w:r>
    </w:p>
    <w:p>
      <w:pPr>
        <w:pStyle w:val="Normal"/>
        <w:spacing w:before="60" w:after="80"/>
        <w:rPr/>
      </w:pPr>
      <w:r>
        <w:rPr>
          <w:rFonts w:eastAsia="Arial" w:cs="Arial"/>
          <w:i w:val="false"/>
          <w:iCs w:val="false"/>
          <w:color w:val="1A1A1A"/>
          <w:sz w:val="22"/>
          <w:szCs w:val="22"/>
        </w:rPr>
        <w:t>Clear organisational structures and actors accountable for the proper functioning of AI systems.</w:t>
      </w:r>
    </w:p>
    <w:p>
      <w:pPr>
        <w:pStyle w:val="Normal"/>
        <w:spacing w:before="60" w:after="60"/>
        <w:rPr/>
      </w:pPr>
      <w:r>
        <w:rPr/>
      </w:r>
    </w:p>
    <w:tbl>
      <w:tblPr>
        <w:tblW w:w="1008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69"/>
        <w:gridCol w:w="4695"/>
        <w:gridCol w:w="1507"/>
        <w:gridCol w:w="2909"/>
      </w:tblGrid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Process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Status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Evidence Needed / Action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9.1.1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Define acceptable, unacceptable, illegal uses; mechanism for recourse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3CD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7B4F00"/>
                <w:sz w:val="18"/>
                <w:szCs w:val="18"/>
              </w:rPr>
              <w:t>~ PARTIAL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Write an Acceptable Use Policy for the system (1 page)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9.2.1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Document deployment context, norms, expectations, stakeholder interactions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3CD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7B4F00"/>
                <w:sz w:val="18"/>
                <w:szCs w:val="18"/>
              </w:rPr>
              <w:t>~ PARTIAL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Add Deployment Context section to System Card document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9.3.1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Select AI suppliers aligned to organisation's approach; remedial processes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Document: Google Cloud / Gemini selected for PDPA, SLA, trust reasons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9.4.1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Deactivation and decommissioning manual; communication plan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Write a 1-page Decommissioning Policy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9.5.1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Adapt governance structures, communication lines, procedures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Define governance structure — even single-person owner is acceptable for SME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9.5.2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AI governance committee with cross-functional representation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For SME/portfolio: document Owner, Reviewer, and User roles formally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9.5.3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Policies and training for staff on AI risks and responsibilities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Document training completed (IAPP AIGPP); link to this project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9.5.4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Incident management process: reporting, escalation, response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Write an Incident Response Plan (1–2 pages)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9.6.1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Fine-grained access control for code, data, deployment, admin actions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4EDDA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7E34"/>
                <w:sz w:val="18"/>
                <w:szCs w:val="18"/>
              </w:rPr>
              <w:t xml:space="preserve">✓ </w:t>
            </w:r>
            <w:r>
              <w:rPr>
                <w:rFonts w:eastAsia="Arial" w:cs="Arial"/>
                <w:b/>
                <w:bCs/>
                <w:color w:val="1E7E34"/>
                <w:sz w:val="18"/>
                <w:szCs w:val="18"/>
              </w:rPr>
              <w:t>HAVE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RBAC in main.py + BigQuery IAM controls access at infrastructure level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9.7.1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Clear responsibilities with third parties; SLAs; risk assessment of vendors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Document third-party dependencies: Google Cloud, Gemini API, terms reviewed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9.8.1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Governance-by-design: version control, immutable data, audit trail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4EDDA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7E34"/>
                <w:sz w:val="18"/>
                <w:szCs w:val="18"/>
              </w:rPr>
              <w:t xml:space="preserve">✓ </w:t>
            </w:r>
            <w:r>
              <w:rPr>
                <w:rFonts w:eastAsia="Arial" w:cs="Arial"/>
                <w:b/>
                <w:bCs/>
                <w:color w:val="1E7E34"/>
                <w:sz w:val="18"/>
                <w:szCs w:val="18"/>
              </w:rPr>
              <w:t>HAVE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BigQuery audit_log is immutable; Git version control to be added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9.9.1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Evaluate necessity of third-party (Gemini) model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Document: in-house LLM not feasible; Gemini chosen for quality + compliance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9.9.2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Understand how third-party model was built; its data, assessment, failure modes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Document Gemini model card review; note known limitations from Google docs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p>
      <w:pPr>
        <w:pStyle w:val="Heading2"/>
        <w:spacing w:before="280" w:after="120"/>
        <w:rPr/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  <w:t>Principle 10 — Human Agency &amp; Oversight</w:t>
      </w:r>
    </w:p>
    <w:p>
      <w:pPr>
        <w:pStyle w:val="Normal"/>
        <w:spacing w:before="60" w:after="80"/>
        <w:rPr/>
      </w:pPr>
      <w:r>
        <w:rPr>
          <w:rFonts w:eastAsia="Arial" w:cs="Arial"/>
          <w:i w:val="false"/>
          <w:iCs w:val="false"/>
          <w:color w:val="1A1A1A"/>
          <w:sz w:val="22"/>
          <w:szCs w:val="22"/>
        </w:rPr>
        <w:t>Ability to implement appropriate oversight and control measures with humans-in-the-loop. This is your second-strongest principle.</w:t>
      </w:r>
    </w:p>
    <w:p>
      <w:pPr>
        <w:pStyle w:val="Normal"/>
        <w:spacing w:before="60" w:after="60"/>
        <w:rPr/>
      </w:pPr>
      <w:r>
        <w:rPr/>
      </w:r>
    </w:p>
    <w:tbl>
      <w:tblPr>
        <w:tblW w:w="1008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69"/>
        <w:gridCol w:w="4695"/>
        <w:gridCol w:w="1507"/>
        <w:gridCol w:w="2909"/>
      </w:tblGrid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Process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Status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Evidence Needed / Action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10.1.1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Reviewers distinct from those training and deploying models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3CD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7B4F00"/>
                <w:sz w:val="18"/>
                <w:szCs w:val="18"/>
              </w:rPr>
              <w:t xml:space="preserve">✓ </w:t>
            </w:r>
            <w:r>
              <w:rPr>
                <w:rFonts w:eastAsia="Arial" w:cs="Arial"/>
                <w:b/>
                <w:bCs/>
                <w:color w:val="7B4F00"/>
                <w:sz w:val="18"/>
                <w:szCs w:val="18"/>
              </w:rPr>
              <w:t>HAVE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Document: HITL reviewer role is distinct from developer role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10.2.1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Guided flow for documenting model cards, forms, objective criteria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Create Model Card template and fill it in for your system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10.2.2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Data management system for different user roles — reviewing, monitoring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4EDDA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7E34"/>
                <w:sz w:val="18"/>
                <w:szCs w:val="18"/>
              </w:rPr>
              <w:t xml:space="preserve">✓ </w:t>
            </w:r>
            <w:r>
              <w:rPr>
                <w:rFonts w:eastAsia="Arial" w:cs="Arial"/>
                <w:b/>
                <w:bCs/>
                <w:color w:val="1E7E34"/>
                <w:sz w:val="18"/>
                <w:szCs w:val="18"/>
              </w:rPr>
              <w:t>HAVE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BigQuery audit_log organises data by role, query, decision — confirmed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10.3.1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Define human role in oversight: HITL, HOTL, or HOTL; escalation pathways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4EDDA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7E34"/>
                <w:sz w:val="18"/>
                <w:szCs w:val="18"/>
              </w:rPr>
              <w:t xml:space="preserve">✓ </w:t>
            </w:r>
            <w:r>
              <w:rPr>
                <w:rFonts w:eastAsia="Arial" w:cs="Arial"/>
                <w:b/>
                <w:bCs/>
                <w:color w:val="1E7E34"/>
                <w:sz w:val="18"/>
                <w:szCs w:val="18"/>
              </w:rPr>
              <w:t>HAVE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HITL gate explicitly implemented in main.py — confirmed working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10.3.2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Flag cases where AI is significantly unsure; monitor human overrides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3CD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7B4F00"/>
                <w:sz w:val="18"/>
                <w:szCs w:val="18"/>
              </w:rPr>
              <w:t xml:space="preserve">✓ </w:t>
            </w:r>
            <w:r>
              <w:rPr>
                <w:rFonts w:eastAsia="Arial" w:cs="Arial"/>
                <w:b/>
                <w:bCs/>
                <w:color w:val="7B4F00"/>
                <w:sz w:val="18"/>
                <w:szCs w:val="18"/>
              </w:rPr>
              <w:t>HAVE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Add low-similarity-score flag in output node; log HITL rejections separately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10.3.3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Detect if input represents outlier in training data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8F5E9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B5E20"/>
                <w:sz w:val="18"/>
                <w:szCs w:val="18"/>
              </w:rPr>
              <w:t xml:space="preserve">✓ </w:t>
            </w:r>
            <w:r>
              <w:rPr>
                <w:rFonts w:eastAsia="Arial" w:cs="Arial"/>
                <w:b/>
                <w:bCs/>
                <w:color w:val="1B5E20"/>
                <w:sz w:val="18"/>
                <w:szCs w:val="18"/>
              </w:rPr>
              <w:t>HAVE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Add outlier detection: flag if query similarity score &lt; 0.3 in output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10.4.1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Systematic review process before deployment — performance, fairness metrics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Write a Pre-Deployment Review Checklist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10.5.1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Frequency and process for testing and re-evaluating AI system post-deployment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4EDDA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7E34"/>
                <w:sz w:val="18"/>
                <w:szCs w:val="18"/>
              </w:rPr>
              <w:t xml:space="preserve">✓ </w:t>
            </w:r>
            <w:r>
              <w:rPr>
                <w:rFonts w:eastAsia="Arial" w:cs="Arial"/>
                <w:b/>
                <w:bCs/>
                <w:color w:val="1E7E34"/>
                <w:sz w:val="18"/>
                <w:szCs w:val="18"/>
              </w:rPr>
              <w:t>HAVE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BigQuery audit_log enables ongoing review; document quarterly review schedule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10.6.1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Declaration of transparency on where AI complements/replaces human decision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D4EDDA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1E7E34"/>
                <w:sz w:val="18"/>
                <w:szCs w:val="18"/>
              </w:rPr>
              <w:t xml:space="preserve">✓ </w:t>
            </w:r>
            <w:r>
              <w:rPr>
                <w:rFonts w:eastAsia="Arial" w:cs="Arial"/>
                <w:b/>
                <w:bCs/>
                <w:color w:val="1E7E34"/>
                <w:sz w:val="18"/>
                <w:szCs w:val="18"/>
              </w:rPr>
              <w:t>HAVE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HITL gate + RBAC rules explicitly define AI vs human decision boundary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p>
      <w:pPr>
        <w:pStyle w:val="Heading2"/>
        <w:spacing w:before="280" w:after="120"/>
        <w:rPr/>
      </w:pPr>
      <w:r>
        <w:rPr>
          <w:rFonts w:eastAsia="Arial" w:cs="Arial" w:ascii="Arial" w:hAnsi="Arial"/>
          <w:b/>
          <w:bCs/>
          <w:color w:val="2E75B6"/>
          <w:sz w:val="26"/>
          <w:szCs w:val="26"/>
        </w:rPr>
        <w:t>Principle 11 — Inclusive Growth, Societal &amp; Environmental Well-being</w:t>
      </w:r>
    </w:p>
    <w:p>
      <w:pPr>
        <w:pStyle w:val="Normal"/>
        <w:spacing w:before="60" w:after="80"/>
        <w:rPr/>
      </w:pPr>
      <w:r>
        <w:rPr>
          <w:rFonts w:eastAsia="Arial" w:cs="Arial"/>
          <w:i w:val="false"/>
          <w:iCs w:val="false"/>
          <w:color w:val="1A1A1A"/>
          <w:sz w:val="22"/>
          <w:szCs w:val="22"/>
        </w:rPr>
        <w:t>Potential for trustworthy AI to contribute to overall growth and prosperity for all individuals, society, and the planet.</w:t>
      </w:r>
    </w:p>
    <w:p>
      <w:pPr>
        <w:pStyle w:val="Normal"/>
        <w:spacing w:before="60" w:after="60"/>
        <w:rPr/>
      </w:pPr>
      <w:r>
        <w:rPr/>
      </w:r>
    </w:p>
    <w:tbl>
      <w:tblPr>
        <w:tblW w:w="1008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969"/>
        <w:gridCol w:w="4695"/>
        <w:gridCol w:w="1507"/>
        <w:gridCol w:w="2909"/>
      </w:tblGrid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Process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Requirement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Status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4E7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19"/>
                <w:szCs w:val="19"/>
              </w:rPr>
              <w:t>Evidence Needed / Action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11.1.1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Impact assessment on natural environment — energy/water use, carbon capture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CE4E4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 xml:space="preserve">✗ </w:t>
            </w:r>
            <w:r>
              <w:rPr>
                <w:rFonts w:eastAsia="Arial" w:cs="Arial"/>
                <w:b/>
                <w:bCs/>
                <w:color w:val="B30000"/>
                <w:sz w:val="18"/>
                <w:szCs w:val="18"/>
              </w:rPr>
              <w:t>GAP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Document: BigQuery Singapore data centre energy efficiency; Gemini API carbon offset</w:t>
            </w:r>
          </w:p>
        </w:tc>
      </w:tr>
      <w:tr>
        <w:trPr/>
        <w:tc>
          <w:tcPr>
            <w:tcW w:w="96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18"/>
                <w:szCs w:val="18"/>
              </w:rPr>
              <w:t>11.2.1</w:t>
            </w:r>
          </w:p>
        </w:tc>
        <w:tc>
          <w:tcPr>
            <w:tcW w:w="4695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1A1A1A"/>
                <w:sz w:val="18"/>
                <w:szCs w:val="18"/>
              </w:rPr>
              <w:t>Impact assessment on individuals/society — jobs, skills, health, inclusion</w:t>
            </w:r>
          </w:p>
        </w:tc>
        <w:tc>
          <w:tcPr>
            <w:tcW w:w="1507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3CD" w:val="clear"/>
            <w:tcMar>
              <w:start w:w="100" w:type="dxa"/>
              <w:end w:w="100" w:type="dxa"/>
            </w:tcMar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eastAsia="Arial" w:cs="Arial"/>
                <w:b/>
                <w:bCs/>
                <w:color w:val="7B4F00"/>
                <w:sz w:val="18"/>
                <w:szCs w:val="18"/>
              </w:rPr>
              <w:t>~ PARTIAL</w:t>
            </w:r>
          </w:p>
        </w:tc>
        <w:tc>
          <w:tcPr>
            <w:tcW w:w="290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8FB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666666"/>
                <w:sz w:val="18"/>
                <w:szCs w:val="18"/>
              </w:rPr>
              <w:t>Document: system designed to protect employee privacy, not replace HR roles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p>
      <w:pPr>
        <w:pStyle w:val="Normal"/>
        <w:pBdr>
          <w:bottom w:val="single" w:sz="6" w:space="1" w:color="2E75B6"/>
        </w:pBdr>
        <w:spacing w:before="200" w:after="200"/>
        <w:rPr/>
      </w:pPr>
      <w:r>
        <w:rPr/>
      </w:r>
    </w:p>
    <w:p>
      <w:pPr>
        <w:pStyle w:val="Heading1"/>
        <w:spacing w:before="360" w:after="160"/>
        <w:rPr/>
      </w:pPr>
      <w:r>
        <w:rPr>
          <w:rFonts w:eastAsia="Arial" w:cs="Arial" w:ascii="Arial" w:hAnsi="Arial"/>
          <w:b/>
          <w:bCs/>
          <w:color w:val="1F4E79"/>
          <w:sz w:val="34"/>
          <w:szCs w:val="34"/>
        </w:rPr>
        <w:t>3. Prioritised Action Plan</w:t>
      </w:r>
    </w:p>
    <w:p>
      <w:pPr>
        <w:pStyle w:val="Normal"/>
        <w:spacing w:before="60" w:after="80"/>
        <w:rPr/>
      </w:pPr>
      <w:r>
        <w:rPr>
          <w:rFonts w:eastAsia="Arial" w:cs="Arial"/>
          <w:i w:val="false"/>
          <w:iCs w:val="false"/>
          <w:color w:val="1A1A1A"/>
          <w:sz w:val="22"/>
          <w:szCs w:val="22"/>
        </w:rPr>
        <w:t>Based on the gap analysis above, here is a recommended sequence for building your evidence. Items are grouped by effort and impact.</w:t>
      </w:r>
    </w:p>
    <w:p>
      <w:pPr>
        <w:pStyle w:val="Normal"/>
        <w:spacing w:before="60" w:after="60"/>
        <w:rPr/>
      </w:pPr>
      <w:r>
        <w:rPr/>
      </w:r>
    </w:p>
    <w:tbl>
      <w:tblPr>
        <w:tblW w:w="10080" w:type="dxa"/>
        <w:jc w:val="start"/>
        <w:tblInd w:w="0" w:type="dxa"/>
        <w:tblLayout w:type="fixed"/>
        <w:tblCellMar>
          <w:top w:w="120" w:type="dxa"/>
          <w:start w:w="200" w:type="dxa"/>
          <w:bottom w:w="120" w:type="dxa"/>
          <w:end w:w="200" w:type="dxa"/>
        </w:tblCellMar>
      </w:tblPr>
      <w:tblGrid>
        <w:gridCol w:w="10080"/>
      </w:tblGrid>
      <w:tr>
        <w:trPr/>
        <w:tc>
          <w:tcPr>
            <w:tcW w:w="10080" w:type="dxa"/>
            <w:tcBorders>
              <w:top w:val="single" w:sz="8" w:space="0" w:color="1E7E34"/>
              <w:start w:val="single" w:sz="8" w:space="0" w:color="1E7E34"/>
              <w:bottom w:val="single" w:sz="2" w:space="0" w:color="CCCCCC"/>
              <w:end w:val="single" w:sz="2" w:space="0" w:color="CCCCCC"/>
            </w:tcBorders>
            <w:shd w:fill="E8F5E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1E7E34"/>
                <w:sz w:val="22"/>
                <w:szCs w:val="22"/>
              </w:rPr>
              <w:t>TIER 1 — Quick Wins (1–3 hours each) — Do these first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p>
      <w:pPr>
        <w:pStyle w:val="ListParagraph"/>
        <w:numPr>
          <w:ilvl w:val="0"/>
          <w:numId w:val="3"/>
        </w:numPr>
        <w:spacing w:before="50" w:after="50"/>
        <w:rPr/>
      </w:pPr>
      <w:r>
        <w:rPr>
          <w:rFonts w:eastAsia="Arial" w:cs="Arial"/>
          <w:b w:val="false"/>
          <w:bCs w:val="false"/>
          <w:sz w:val="21"/>
          <w:szCs w:val="21"/>
        </w:rPr>
        <w:t>Add [AI-GENERATED] label to pipeline output in main.py (1.1.3)</w:t>
      </w:r>
    </w:p>
    <w:p>
      <w:pPr>
        <w:pStyle w:val="ListParagraph"/>
        <w:numPr>
          <w:ilvl w:val="0"/>
          <w:numId w:val="1"/>
        </w:numPr>
        <w:spacing w:before="50" w:after="50"/>
        <w:rPr/>
      </w:pPr>
      <w:r>
        <w:rPr>
          <w:rFonts w:eastAsia="Arial" w:cs="Arial"/>
          <w:b w:val="false"/>
          <w:bCs w:val="false"/>
          <w:sz w:val="21"/>
          <w:szCs w:val="21"/>
        </w:rPr>
        <w:t>Print similarity score + RBAC rule applied in the output node (1.1.4)</w:t>
      </w:r>
    </w:p>
    <w:p>
      <w:pPr>
        <w:pStyle w:val="ListParagraph"/>
        <w:numPr>
          <w:ilvl w:val="0"/>
          <w:numId w:val="1"/>
        </w:numPr>
        <w:spacing w:before="50" w:after="50"/>
        <w:rPr/>
      </w:pPr>
      <w:r>
        <w:rPr>
          <w:rFonts w:eastAsia="Arial" w:cs="Arial"/>
          <w:b w:val="false"/>
          <w:bCs w:val="false"/>
          <w:sz w:val="21"/>
          <w:szCs w:val="21"/>
        </w:rPr>
        <w:t>Initialise Git repository and tag current codebase as v1.0.0 (3.1.1, 3.5.1)</w:t>
      </w:r>
    </w:p>
    <w:p>
      <w:pPr>
        <w:pStyle w:val="ListParagraph"/>
        <w:numPr>
          <w:ilvl w:val="0"/>
          <w:numId w:val="1"/>
        </w:numPr>
        <w:spacing w:before="50" w:after="50"/>
        <w:rPr/>
      </w:pPr>
      <w:r>
        <w:rPr>
          <w:rFonts w:eastAsia="Arial" w:cs="Arial"/>
          <w:b w:val="false"/>
          <w:bCs w:val="false"/>
          <w:sz w:val="21"/>
          <w:szCs w:val="21"/>
        </w:rPr>
        <w:t>Create requirements.txt with pinned library versions (3.5.1)</w:t>
      </w:r>
    </w:p>
    <w:p>
      <w:pPr>
        <w:pStyle w:val="ListParagraph"/>
        <w:numPr>
          <w:ilvl w:val="0"/>
          <w:numId w:val="1"/>
        </w:numPr>
        <w:spacing w:before="50" w:after="50"/>
        <w:rPr/>
      </w:pPr>
      <w:r>
        <w:rPr>
          <w:rFonts w:eastAsia="Arial" w:cs="Arial"/>
          <w:b w:val="false"/>
          <w:bCs w:val="false"/>
          <w:sz w:val="21"/>
          <w:szCs w:val="21"/>
        </w:rPr>
        <w:t>Add Model Selection Rationale section to README — why Gemini, why BigQuery (2.2.1, 9.9.1)</w:t>
      </w:r>
    </w:p>
    <w:p>
      <w:pPr>
        <w:pStyle w:val="ListParagraph"/>
        <w:numPr>
          <w:ilvl w:val="0"/>
          <w:numId w:val="1"/>
        </w:numPr>
        <w:spacing w:before="50" w:after="50"/>
        <w:rPr/>
      </w:pPr>
      <w:r>
        <w:rPr>
          <w:rFonts w:eastAsia="Arial" w:cs="Arial"/>
          <w:b w:val="false"/>
          <w:bCs w:val="false"/>
          <w:sz w:val="21"/>
          <w:szCs w:val="21"/>
        </w:rPr>
        <w:t>Document SENSITIVE_FIELDS definition and RBAC role definitions formally in a policy note (7.6.1)</w:t>
      </w:r>
    </w:p>
    <w:p>
      <w:pPr>
        <w:pStyle w:val="ListParagraph"/>
        <w:numPr>
          <w:ilvl w:val="0"/>
          <w:numId w:val="1"/>
        </w:numPr>
        <w:spacing w:before="50" w:after="50"/>
        <w:rPr/>
      </w:pPr>
      <w:r>
        <w:rPr>
          <w:rFonts w:eastAsia="Arial" w:cs="Arial"/>
          <w:b w:val="false"/>
          <w:bCs w:val="false"/>
          <w:sz w:val="21"/>
          <w:szCs w:val="21"/>
        </w:rPr>
        <w:t>Add low similarity score warning in output node if score &lt; 0.3 (4.5.1, 10.3.3)</w:t>
      </w:r>
    </w:p>
    <w:p>
      <w:pPr>
        <w:pStyle w:val="Normal"/>
        <w:spacing w:before="60" w:after="60"/>
        <w:rPr/>
      </w:pPr>
      <w:r>
        <w:rPr/>
      </w:r>
    </w:p>
    <w:tbl>
      <w:tblPr>
        <w:tblW w:w="10080" w:type="dxa"/>
        <w:jc w:val="start"/>
        <w:tblInd w:w="0" w:type="dxa"/>
        <w:tblLayout w:type="fixed"/>
        <w:tblCellMar>
          <w:top w:w="120" w:type="dxa"/>
          <w:start w:w="200" w:type="dxa"/>
          <w:bottom w:w="120" w:type="dxa"/>
          <w:end w:w="200" w:type="dxa"/>
        </w:tblCellMar>
      </w:tblPr>
      <w:tblGrid>
        <w:gridCol w:w="10080"/>
      </w:tblGrid>
      <w:tr>
        <w:trPr/>
        <w:tc>
          <w:tcPr>
            <w:tcW w:w="10080" w:type="dxa"/>
            <w:tcBorders>
              <w:top w:val="single" w:sz="8" w:space="0" w:color="7B4F00"/>
              <w:start w:val="single" w:sz="8" w:space="0" w:color="7B4F00"/>
              <w:bottom w:val="single" w:sz="2" w:space="0" w:color="CCCCCC"/>
              <w:end w:val="single" w:sz="2" w:space="0" w:color="CCCCCC"/>
            </w:tcBorders>
            <w:shd w:fill="FFFB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7B4F00"/>
                <w:sz w:val="22"/>
                <w:szCs w:val="22"/>
              </w:rPr>
              <w:t>TIER 2 — Core Documents (half-day each) — Build these before the full report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p>
      <w:pPr>
        <w:pStyle w:val="ListParagraph"/>
        <w:numPr>
          <w:ilvl w:val="0"/>
          <w:numId w:val="1"/>
        </w:numPr>
        <w:spacing w:before="50" w:after="50"/>
        <w:rPr/>
      </w:pPr>
      <w:r>
        <w:rPr>
          <w:rFonts w:eastAsia="Arial" w:cs="Arial"/>
          <w:b w:val="false"/>
          <w:bCs w:val="false"/>
          <w:sz w:val="21"/>
          <w:szCs w:val="21"/>
        </w:rPr>
        <w:t>System Card / Model Card — purpose, intended use, limitations, RBAC design, known risks (4.3.1, 6.3.1, 10.2.1)</w:t>
      </w:r>
    </w:p>
    <w:p>
      <w:pPr>
        <w:pStyle w:val="ListParagraph"/>
        <w:numPr>
          <w:ilvl w:val="0"/>
          <w:numId w:val="1"/>
        </w:numPr>
        <w:spacing w:before="50" w:after="50"/>
        <w:rPr/>
      </w:pPr>
      <w:r>
        <w:rPr>
          <w:rFonts w:eastAsia="Arial" w:cs="Arial"/>
          <w:b w:val="false"/>
          <w:bCs w:val="false"/>
          <w:sz w:val="21"/>
          <w:szCs w:val="21"/>
        </w:rPr>
        <w:t>Materiality Assessment — probability of harm, severity, stakeholder impact, residual risk (4.2.1, 4.7.1)</w:t>
      </w:r>
    </w:p>
    <w:p>
      <w:pPr>
        <w:pStyle w:val="ListParagraph"/>
        <w:numPr>
          <w:ilvl w:val="0"/>
          <w:numId w:val="1"/>
        </w:numPr>
        <w:spacing w:before="50" w:after="50"/>
        <w:rPr/>
      </w:pPr>
      <w:r>
        <w:rPr>
          <w:rFonts w:eastAsia="Arial" w:cs="Arial"/>
          <w:b w:val="false"/>
          <w:bCs w:val="false"/>
          <w:sz w:val="21"/>
          <w:szCs w:val="21"/>
        </w:rPr>
        <w:t>Incident Response Plan — detection, escalation, communication, remediation (5.8.1, 9.5.4)</w:t>
      </w:r>
    </w:p>
    <w:p>
      <w:pPr>
        <w:pStyle w:val="ListParagraph"/>
        <w:numPr>
          <w:ilvl w:val="0"/>
          <w:numId w:val="1"/>
        </w:numPr>
        <w:spacing w:before="50" w:after="50"/>
        <w:rPr/>
      </w:pPr>
      <w:r>
        <w:rPr>
          <w:rFonts w:eastAsia="Arial" w:cs="Arial"/>
          <w:b w:val="false"/>
          <w:bCs w:val="false"/>
          <w:sz w:val="21"/>
          <w:szCs w:val="21"/>
        </w:rPr>
        <w:t>Acceptable Use Policy — what the system may and may not be used for (9.1.1)</w:t>
      </w:r>
    </w:p>
    <w:p>
      <w:pPr>
        <w:pStyle w:val="ListParagraph"/>
        <w:numPr>
          <w:ilvl w:val="0"/>
          <w:numId w:val="1"/>
        </w:numPr>
        <w:spacing w:before="50" w:after="50"/>
        <w:rPr/>
      </w:pPr>
      <w:r>
        <w:rPr>
          <w:rFonts w:eastAsia="Arial" w:cs="Arial"/>
          <w:b w:val="false"/>
          <w:bCs w:val="false"/>
          <w:sz w:val="21"/>
          <w:szCs w:val="21"/>
        </w:rPr>
        <w:t>Data Provenance Record — f_data.xlsx origin, transformation steps, field definitions (8.2.1)</w:t>
      </w:r>
    </w:p>
    <w:p>
      <w:pPr>
        <w:pStyle w:val="ListParagraph"/>
        <w:numPr>
          <w:ilvl w:val="0"/>
          <w:numId w:val="1"/>
        </w:numPr>
        <w:spacing w:before="50" w:after="50"/>
        <w:rPr/>
      </w:pPr>
      <w:r>
        <w:rPr>
          <w:rFonts w:eastAsia="Arial" w:cs="Arial"/>
          <w:b w:val="false"/>
          <w:bCs w:val="false"/>
          <w:sz w:val="21"/>
          <w:szCs w:val="21"/>
        </w:rPr>
        <w:t>Communication Policy — how users are informed of AI decisions and their rights (1.1.1)</w:t>
      </w:r>
    </w:p>
    <w:p>
      <w:pPr>
        <w:pStyle w:val="Normal"/>
        <w:spacing w:before="60" w:after="60"/>
        <w:rPr/>
      </w:pPr>
      <w:r>
        <w:rPr/>
      </w:r>
    </w:p>
    <w:tbl>
      <w:tblPr>
        <w:tblW w:w="10080" w:type="dxa"/>
        <w:jc w:val="start"/>
        <w:tblInd w:w="0" w:type="dxa"/>
        <w:tblLayout w:type="fixed"/>
        <w:tblCellMar>
          <w:top w:w="120" w:type="dxa"/>
          <w:start w:w="200" w:type="dxa"/>
          <w:bottom w:w="120" w:type="dxa"/>
          <w:end w:w="200" w:type="dxa"/>
        </w:tblCellMar>
      </w:tblPr>
      <w:tblGrid>
        <w:gridCol w:w="10080"/>
      </w:tblGrid>
      <w:tr>
        <w:trPr/>
        <w:tc>
          <w:tcPr>
            <w:tcW w:w="10080" w:type="dxa"/>
            <w:tcBorders>
              <w:top w:val="single" w:sz="8" w:space="0" w:color="2E75B6"/>
              <w:start w:val="single" w:sz="8" w:space="0" w:color="2E75B6"/>
              <w:bottom w:val="single" w:sz="2" w:space="0" w:color="CCCCCC"/>
              <w:end w:val="single" w:sz="2" w:space="0" w:color="CCCCCC"/>
            </w:tcBorders>
            <w:shd w:fill="EBF3FB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2E75B6"/>
                <w:sz w:val="22"/>
                <w:szCs w:val="22"/>
              </w:rPr>
              <w:t>TIER 3 — Python Test Suite (Track 2) — Generates technical evidence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p>
      <w:pPr>
        <w:pStyle w:val="ListParagraph"/>
        <w:numPr>
          <w:ilvl w:val="0"/>
          <w:numId w:val="1"/>
        </w:numPr>
        <w:spacing w:before="50" w:after="50"/>
        <w:rPr/>
      </w:pPr>
      <w:r>
        <w:rPr>
          <w:rFonts w:eastAsia="Arial" w:cs="Arial"/>
          <w:b w:val="false"/>
          <w:bCs w:val="false"/>
          <w:sz w:val="21"/>
          <w:szCs w:val="21"/>
        </w:rPr>
        <w:t>test_reproducibility.py — run same query 5× and assert consistent TOP_K results (3.6.1)</w:t>
      </w:r>
    </w:p>
    <w:p>
      <w:pPr>
        <w:pStyle w:val="ListParagraph"/>
        <w:numPr>
          <w:ilvl w:val="0"/>
          <w:numId w:val="1"/>
        </w:numPr>
        <w:spacing w:before="50" w:after="50"/>
        <w:rPr/>
      </w:pPr>
      <w:r>
        <w:rPr>
          <w:rFonts w:eastAsia="Arial" w:cs="Arial"/>
          <w:b w:val="false"/>
          <w:bCs w:val="false"/>
          <w:sz w:val="21"/>
          <w:szCs w:val="21"/>
        </w:rPr>
        <w:t>test_rbac_compliance.py — assert every role returns only permitted fields (7.4.1, 9.6.1)</w:t>
      </w:r>
    </w:p>
    <w:p>
      <w:pPr>
        <w:pStyle w:val="ListParagraph"/>
        <w:numPr>
          <w:ilvl w:val="0"/>
          <w:numId w:val="1"/>
        </w:numPr>
        <w:spacing w:before="50" w:after="50"/>
        <w:rPr/>
      </w:pPr>
      <w:r>
        <w:rPr>
          <w:rFonts w:eastAsia="Arial" w:cs="Arial"/>
          <w:b w:val="false"/>
          <w:bCs w:val="false"/>
          <w:sz w:val="21"/>
          <w:szCs w:val="21"/>
        </w:rPr>
        <w:t>test_robustness.py — run queries with typos/synonyms; verify results are stable (6.1.1)</w:t>
      </w:r>
    </w:p>
    <w:p>
      <w:pPr>
        <w:pStyle w:val="ListParagraph"/>
        <w:numPr>
          <w:ilvl w:val="0"/>
          <w:numId w:val="1"/>
        </w:numPr>
        <w:spacing w:before="50" w:after="50"/>
        <w:rPr/>
      </w:pPr>
      <w:r>
        <w:rPr>
          <w:rFonts w:eastAsia="Arial" w:cs="Arial"/>
          <w:b w:val="false"/>
          <w:bCs w:val="false"/>
          <w:sz w:val="21"/>
          <w:szCs w:val="21"/>
        </w:rPr>
        <w:t>test_hitl_trigger.py — assert HITL fires on sensitive fields and does not fire on clean queries (10.3.1)</w:t>
      </w:r>
    </w:p>
    <w:p>
      <w:pPr>
        <w:pStyle w:val="ListParagraph"/>
        <w:numPr>
          <w:ilvl w:val="0"/>
          <w:numId w:val="1"/>
        </w:numPr>
        <w:spacing w:before="50" w:after="50"/>
        <w:rPr/>
      </w:pPr>
      <w:r>
        <w:rPr>
          <w:rFonts w:eastAsia="Arial" w:cs="Arial"/>
          <w:b w:val="false"/>
          <w:bCs w:val="false"/>
          <w:sz w:val="21"/>
          <w:szCs w:val="21"/>
        </w:rPr>
        <w:t>test_audit_log.py — assert every query writes a complete log entry to BigQuery (3.4.1)</w:t>
      </w:r>
    </w:p>
    <w:p>
      <w:pPr>
        <w:pStyle w:val="ListParagraph"/>
        <w:numPr>
          <w:ilvl w:val="0"/>
          <w:numId w:val="1"/>
        </w:numPr>
        <w:spacing w:before="50" w:after="50"/>
        <w:rPr/>
      </w:pPr>
      <w:r>
        <w:rPr>
          <w:rFonts w:eastAsia="Arial" w:cs="Arial"/>
          <w:b w:val="false"/>
          <w:bCs w:val="false"/>
          <w:sz w:val="21"/>
          <w:szCs w:val="21"/>
        </w:rPr>
        <w:t>test_adversarial.py — attempt prompt injection; verify pipeline rejects or sanitises (6.6.1)</w:t>
      </w:r>
    </w:p>
    <w:p>
      <w:pPr>
        <w:pStyle w:val="ListParagraph"/>
        <w:numPr>
          <w:ilvl w:val="0"/>
          <w:numId w:val="1"/>
        </w:numPr>
        <w:spacing w:before="50" w:after="50"/>
        <w:rPr/>
      </w:pPr>
      <w:r>
        <w:rPr>
          <w:rFonts w:eastAsia="Arial" w:cs="Arial"/>
          <w:b w:val="false"/>
          <w:bCs w:val="false"/>
          <w:sz w:val="21"/>
          <w:szCs w:val="21"/>
        </w:rPr>
        <w:t>monitor_anomalies.py — query audit_log for high-frequency queries or suspicious role patterns (6.6.2)</w:t>
      </w:r>
    </w:p>
    <w:p>
      <w:pPr>
        <w:pStyle w:val="Normal"/>
        <w:spacing w:before="60" w:after="60"/>
        <w:rPr/>
      </w:pPr>
      <w:r>
        <w:rPr/>
      </w:r>
    </w:p>
    <w:tbl>
      <w:tblPr>
        <w:tblW w:w="10080" w:type="dxa"/>
        <w:jc w:val="start"/>
        <w:tblInd w:w="0" w:type="dxa"/>
        <w:tblLayout w:type="fixed"/>
        <w:tblCellMar>
          <w:top w:w="120" w:type="dxa"/>
          <w:start w:w="200" w:type="dxa"/>
          <w:bottom w:w="120" w:type="dxa"/>
          <w:end w:w="200" w:type="dxa"/>
        </w:tblCellMar>
      </w:tblPr>
      <w:tblGrid>
        <w:gridCol w:w="10080"/>
      </w:tblGrid>
      <w:tr>
        <w:trPr/>
        <w:tc>
          <w:tcPr>
            <w:tcW w:w="10080" w:type="dxa"/>
            <w:tcBorders>
              <w:top w:val="single" w:sz="8" w:space="0" w:color="B30000"/>
              <w:start w:val="single" w:sz="8" w:space="0" w:color="B30000"/>
              <w:bottom w:val="single" w:sz="2" w:space="0" w:color="CCCCCC"/>
              <w:end w:val="single" w:sz="2" w:space="0" w:color="CCCCCC"/>
            </w:tcBorders>
            <w:shd w:fill="FFF3F3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B30000"/>
                <w:sz w:val="22"/>
                <w:szCs w:val="22"/>
              </w:rPr>
              <w:t>TIER 4 — Project Moonshot Red-Teaming — Advanced; do last</w:t>
            </w:r>
          </w:p>
        </w:tc>
      </w:tr>
    </w:tbl>
    <w:p>
      <w:pPr>
        <w:pStyle w:val="Normal"/>
        <w:spacing w:before="60" w:after="60"/>
        <w:rPr/>
      </w:pPr>
      <w:r>
        <w:rPr/>
      </w:r>
    </w:p>
    <w:p>
      <w:pPr>
        <w:pStyle w:val="ListParagraph"/>
        <w:numPr>
          <w:ilvl w:val="0"/>
          <w:numId w:val="1"/>
        </w:numPr>
        <w:spacing w:before="50" w:after="50"/>
        <w:rPr/>
      </w:pPr>
      <w:r>
        <w:rPr>
          <w:rFonts w:eastAsia="Arial" w:cs="Arial"/>
          <w:b w:val="false"/>
          <w:bCs w:val="false"/>
          <w:sz w:val="21"/>
          <w:szCs w:val="21"/>
        </w:rPr>
        <w:t>Install Project Moonshot from IMDA GitHub</w:t>
      </w:r>
    </w:p>
    <w:p>
      <w:pPr>
        <w:pStyle w:val="ListParagraph"/>
        <w:numPr>
          <w:ilvl w:val="0"/>
          <w:numId w:val="1"/>
        </w:numPr>
        <w:spacing w:before="50" w:after="50"/>
        <w:rPr/>
      </w:pPr>
      <w:r>
        <w:rPr>
          <w:rFonts w:eastAsia="Arial" w:cs="Arial"/>
          <w:b w:val="false"/>
          <w:bCs w:val="false"/>
          <w:sz w:val="21"/>
          <w:szCs w:val="21"/>
        </w:rPr>
        <w:t>Run standard safety benchmarks: toxicity, bias, hallucination on Gemini RAG (4.1.1, 7.2.1)</w:t>
      </w:r>
    </w:p>
    <w:p>
      <w:pPr>
        <w:pStyle w:val="ListParagraph"/>
        <w:numPr>
          <w:ilvl w:val="0"/>
          <w:numId w:val="1"/>
        </w:numPr>
        <w:spacing w:before="50" w:after="50"/>
        <w:rPr/>
      </w:pPr>
      <w:r>
        <w:rPr>
          <w:rFonts w:eastAsia="Arial" w:cs="Arial"/>
          <w:b w:val="false"/>
          <w:bCs w:val="false"/>
          <w:sz w:val="21"/>
          <w:szCs w:val="21"/>
        </w:rPr>
        <w:t>Run red-team attacks: prompt injection, jailbreak attempts, role escalation (6.6.1)</w:t>
      </w:r>
    </w:p>
    <w:p>
      <w:pPr>
        <w:pStyle w:val="ListParagraph"/>
        <w:numPr>
          <w:ilvl w:val="0"/>
          <w:numId w:val="1"/>
        </w:numPr>
        <w:spacing w:before="50" w:after="50"/>
        <w:rPr/>
      </w:pPr>
      <w:r>
        <w:rPr>
          <w:rFonts w:eastAsia="Arial" w:cs="Arial"/>
          <w:b w:val="false"/>
          <w:bCs w:val="false"/>
          <w:sz w:val="21"/>
          <w:szCs w:val="21"/>
        </w:rPr>
        <w:t>Document all test results and include in formal AI Verify governance report</w:t>
      </w:r>
    </w:p>
    <w:p>
      <w:pPr>
        <w:pStyle w:val="Normal"/>
        <w:spacing w:before="60" w:after="60"/>
        <w:rPr/>
      </w:pPr>
      <w:r>
        <w:rPr/>
      </w:r>
    </w:p>
    <w:p>
      <w:pPr>
        <w:pStyle w:val="Normal"/>
        <w:pBdr>
          <w:bottom w:val="single" w:sz="6" w:space="1" w:color="2E75B6"/>
        </w:pBdr>
        <w:spacing w:before="200" w:after="200"/>
        <w:rPr/>
      </w:pPr>
      <w:r>
        <w:rPr/>
      </w:r>
    </w:p>
    <w:p>
      <w:pPr>
        <w:pStyle w:val="Normal"/>
        <w:spacing w:before="120" w:after="60"/>
        <w:jc w:val="center"/>
        <w:rPr/>
      </w:pPr>
      <w:r>
        <w:rPr>
          <w:rFonts w:eastAsia="Arial" w:cs="Arial"/>
          <w:i/>
          <w:iCs/>
          <w:color w:val="888888"/>
          <w:sz w:val="18"/>
          <w:szCs w:val="18"/>
        </w:rPr>
        <w:t>AI Verify Testing Framework © 2025 IMDA and AI Verify Foundation  |  Gap analysis prepared for Agentic ETL Architect project</w:t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1080" w:right="1080" w:gutter="0" w:header="0" w:top="1080" w:footer="708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Arial" w:cs="Arial"/>
        <w:color w:val="888888"/>
        <w:sz w:val="18"/>
        <w:szCs w:val="18"/>
      </w:rPr>
      <w:t xml:space="preserve">Agentic ETL Architect  |  AI Verify Gap Analysis  |  Page </w:t>
    </w:r>
    <w:r>
      <w:rPr>
        <w:rFonts w:eastAsia="Arial" w:cs="Arial"/>
        <w:i/>
        <w:iCs/>
        <w:color w:val="888888"/>
        <w:sz w:val="18"/>
        <w:szCs w:val="18"/>
      </w:rPr>
      <w:fldChar w:fldCharType="begin"/>
    </w:r>
    <w:r>
      <w:rPr>
        <w:rFonts w:eastAsia="Arial" w:cs="Arial"/>
        <w:i/>
        <w:iCs/>
        <w:color w:val="888888"/>
        <w:sz w:val="18"/>
        <w:szCs w:val="18"/>
      </w:rPr>
      <w:instrText xml:space="preserve"> PAGE </w:instrText>
    </w:r>
    <w:r>
      <w:rPr>
        <w:rFonts w:eastAsia="Arial" w:cs="Arial"/>
        <w:i/>
        <w:iCs/>
        <w:color w:val="888888"/>
        <w:sz w:val="18"/>
        <w:szCs w:val="18"/>
      </w:rPr>
      <w:fldChar w:fldCharType="separate"/>
    </w:r>
    <w:r>
      <w:rPr>
        <w:rFonts w:eastAsia="Arial" w:cs="Arial"/>
        <w:i/>
        <w:iCs/>
        <w:color w:val="888888"/>
        <w:sz w:val="18"/>
        <w:szCs w:val="18"/>
      </w:rPr>
      <w:t>10</w:t>
    </w:r>
    <w:r>
      <w:rPr>
        <w:rFonts w:eastAsia="Arial" w:cs="Arial"/>
        <w:i/>
        <w:iCs/>
        <w:color w:val="888888"/>
        <w:sz w:val="18"/>
        <w:szCs w:val="18"/>
      </w:rPr>
      <w:fldChar w:fldCharType="end"/>
    </w:r>
    <w:r>
      <w:rPr>
        <w:rFonts w:eastAsia="Arial" w:cs="Arial"/>
        <w:color w:val="888888"/>
        <w:sz w:val="18"/>
        <w:szCs w:val="18"/>
      </w:rPr>
      <w:t xml:space="preserve"> of </w:t>
    </w:r>
    <w:r>
      <w:rPr>
        <w:rFonts w:eastAsia="Arial" w:cs="Arial"/>
        <w:i/>
        <w:iCs/>
        <w:color w:val="888888"/>
        <w:sz w:val="18"/>
        <w:szCs w:val="18"/>
      </w:rPr>
      <w:fldChar w:fldCharType="begin"/>
    </w:r>
    <w:r>
      <w:rPr>
        <w:rFonts w:eastAsia="Arial" w:cs="Arial"/>
        <w:i/>
        <w:iCs/>
        <w:color w:val="888888"/>
        <w:sz w:val="18"/>
        <w:szCs w:val="18"/>
      </w:rPr>
      <w:instrText xml:space="preserve"> NUMPAGES </w:instrText>
    </w:r>
    <w:r>
      <w:rPr>
        <w:rFonts w:eastAsia="Arial" w:cs="Arial"/>
        <w:i/>
        <w:iCs/>
        <w:color w:val="888888"/>
        <w:sz w:val="18"/>
        <w:szCs w:val="18"/>
      </w:rPr>
      <w:fldChar w:fldCharType="separate"/>
    </w:r>
    <w:r>
      <w:rPr>
        <w:rFonts w:eastAsia="Arial" w:cs="Arial"/>
        <w:i/>
        <w:iCs/>
        <w:color w:val="888888"/>
        <w:sz w:val="18"/>
        <w:szCs w:val="18"/>
      </w:rPr>
      <w:t>10</w:t>
    </w:r>
    <w:r>
      <w:rPr>
        <w:rFonts w:eastAsia="Arial" w:cs="Arial"/>
        <w:i/>
        <w:iCs/>
        <w:color w:val="888888"/>
        <w:sz w:val="18"/>
        <w:szCs w:val="18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Arial" w:cs="Arial"/>
        <w:color w:val="888888"/>
        <w:sz w:val="18"/>
        <w:szCs w:val="18"/>
      </w:rPr>
      <w:t xml:space="preserve">Agentic ETL Architect  |  AI Verify Gap Analysis  |  Page </w:t>
    </w:r>
    <w:r>
      <w:rPr>
        <w:rFonts w:eastAsia="Arial" w:cs="Arial"/>
        <w:i/>
        <w:iCs/>
        <w:color w:val="888888"/>
        <w:sz w:val="18"/>
        <w:szCs w:val="18"/>
      </w:rPr>
      <w:fldChar w:fldCharType="begin"/>
    </w:r>
    <w:r>
      <w:rPr>
        <w:rFonts w:eastAsia="Arial" w:cs="Arial"/>
        <w:i/>
        <w:iCs/>
        <w:color w:val="888888"/>
        <w:sz w:val="18"/>
        <w:szCs w:val="18"/>
      </w:rPr>
      <w:instrText xml:space="preserve"> PAGE </w:instrText>
    </w:r>
    <w:r>
      <w:rPr>
        <w:rFonts w:eastAsia="Arial" w:cs="Arial"/>
        <w:i/>
        <w:iCs/>
        <w:color w:val="888888"/>
        <w:sz w:val="18"/>
        <w:szCs w:val="18"/>
      </w:rPr>
      <w:fldChar w:fldCharType="separate"/>
    </w:r>
    <w:r>
      <w:rPr>
        <w:rFonts w:eastAsia="Arial" w:cs="Arial"/>
        <w:i/>
        <w:iCs/>
        <w:color w:val="888888"/>
        <w:sz w:val="18"/>
        <w:szCs w:val="18"/>
      </w:rPr>
      <w:t>10</w:t>
    </w:r>
    <w:r>
      <w:rPr>
        <w:rFonts w:eastAsia="Arial" w:cs="Arial"/>
        <w:i/>
        <w:iCs/>
        <w:color w:val="888888"/>
        <w:sz w:val="18"/>
        <w:szCs w:val="18"/>
      </w:rPr>
      <w:fldChar w:fldCharType="end"/>
    </w:r>
    <w:r>
      <w:rPr>
        <w:rFonts w:eastAsia="Arial" w:cs="Arial"/>
        <w:color w:val="888888"/>
        <w:sz w:val="18"/>
        <w:szCs w:val="18"/>
      </w:rPr>
      <w:t xml:space="preserve"> of </w:t>
    </w:r>
    <w:r>
      <w:rPr>
        <w:rFonts w:eastAsia="Arial" w:cs="Arial"/>
        <w:i/>
        <w:iCs/>
        <w:color w:val="888888"/>
        <w:sz w:val="18"/>
        <w:szCs w:val="18"/>
      </w:rPr>
      <w:fldChar w:fldCharType="begin"/>
    </w:r>
    <w:r>
      <w:rPr>
        <w:rFonts w:eastAsia="Arial" w:cs="Arial"/>
        <w:i/>
        <w:iCs/>
        <w:color w:val="888888"/>
        <w:sz w:val="18"/>
        <w:szCs w:val="18"/>
      </w:rPr>
      <w:instrText xml:space="preserve"> NUMPAGES </w:instrText>
    </w:r>
    <w:r>
      <w:rPr>
        <w:rFonts w:eastAsia="Arial" w:cs="Arial"/>
        <w:i/>
        <w:iCs/>
        <w:color w:val="888888"/>
        <w:sz w:val="18"/>
        <w:szCs w:val="18"/>
      </w:rPr>
      <w:fldChar w:fldCharType="separate"/>
    </w:r>
    <w:r>
      <w:rPr>
        <w:rFonts w:eastAsia="Arial" w:cs="Arial"/>
        <w:i/>
        <w:iCs/>
        <w:color w:val="888888"/>
        <w:sz w:val="18"/>
        <w:szCs w:val="18"/>
      </w:rPr>
      <w:t>10</w:t>
    </w:r>
    <w:r>
      <w:rPr>
        <w:rFonts w:eastAsia="Arial" w:cs="Arial"/>
        <w:i/>
        <w:iCs/>
        <w:color w:val="888888"/>
        <w:sz w:val="18"/>
        <w:szCs w:val="18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61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SG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SG" w:eastAsia="zh-CN" w:bidi="hi-IN"/>
    </w:rPr>
  </w:style>
  <w:style w:type="paragraph" w:styleId="Heading1">
    <w:name w:val="heading 1"/>
    <w:basedOn w:val="Heading"/>
    <w:qFormat/>
    <w:pPr>
      <w:spacing w:before="360" w:after="160"/>
      <w:outlineLvl w:val="0"/>
    </w:pPr>
    <w:rPr>
      <w:rFonts w:ascii="Arial" w:hAnsi="Arial" w:eastAsia="Arial" w:cs="Arial"/>
      <w:b/>
      <w:bCs/>
      <w:color w:val="1F4E79"/>
      <w:sz w:val="34"/>
      <w:szCs w:val="34"/>
    </w:rPr>
  </w:style>
  <w:style w:type="paragraph" w:styleId="Heading2">
    <w:name w:val="heading 2"/>
    <w:basedOn w:val="Heading"/>
    <w:qFormat/>
    <w:pPr>
      <w:spacing w:before="280" w:after="120"/>
      <w:outlineLvl w:val="1"/>
    </w:pPr>
    <w:rPr>
      <w:rFonts w:ascii="Arial" w:hAnsi="Arial" w:eastAsia="Arial" w:cs="Arial"/>
      <w:b/>
      <w:bCs/>
      <w:color w:val="2E75B6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2"/>
      <w:szCs w:val="22"/>
      <w:lang w:val="en-SG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SG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</TotalTime>
  <Application>LibreOffice/25.8.5.2$Windows_X86_64 LibreOffice_project/9c8b85f387cc00a89945a79c9e6239f32e450ac2</Application>
  <AppVersion>15.0000</AppVersion>
  <Pages>10</Pages>
  <Words>3265</Words>
  <Characters>18951</Characters>
  <CharactersWithSpaces>21683</CharactersWithSpaces>
  <Paragraphs>609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2026-03-09T02:59:40Z</dcterms:created>
  <dc:creator>Un-named</dc:creator>
  <dc:description/>
  <dc:language>en-SG</dc:language>
  <cp:lastModifiedBy/>
  <dcterms:modified xsi:type="dcterms:W3CDTF">2026-03-28T11:56:10Z</dcterms:modified>
  <cp:revision>2</cp:revision>
  <dc:subject/>
  <dc:title/>
</cp:coreProperties>
</file>