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Arial Unicode MS" w:hAnsi="Arial Unicode MS" w:eastAsia="Arial Unicode MS" w:cs="Arial Unicode MS"/>
          <w:hint w:val="eastAsia"/>
          <w:b/>
          <w:color w:val="2E74B5"/>
          <w:sz w:val="22"/>
        </w:rPr>
        <w:t>产品操作指南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hint w:val="eastAsia"/>
          <w:b/>
          <w:color w:val="1F3F32"/>
          <w:sz w:val="56"/>
        </w:rPr>
        <w:t>产品分析助手</w:t>
      </w:r>
    </w:p>
    <w:p>
      <w:pPr>
        <w:spacing w:after="480"/>
        <w:jc w:val="center"/>
      </w:pPr>
      <w:r>
        <w:rPr>
          <w:rFonts w:ascii="Arial Unicode MS" w:hAnsi="Arial Unicode MS" w:eastAsia="Arial Unicode MS" w:cs="Arial Unicode MS"/>
          <w:hint w:val="eastAsia"/>
          <w:color w:val="69756E"/>
          <w:sz w:val="30"/>
        </w:rPr>
        <w:t>市场分析、多竞品对比、内功问诊与全链路分析使用说明</w:t>
      </w:r>
    </w:p>
    <w:p>
      <w:pPr>
        <w:spacing w:after="640"/>
        <w:jc w:val="center"/>
      </w:pPr>
      <w:r>
        <w:rPr>
          <w:rFonts w:ascii="Arial Unicode MS" w:hAnsi="Arial Unicode MS" w:eastAsia="Arial Unicode MS" w:cs="Arial Unicode MS"/>
          <w:hint w:val="eastAsia"/>
          <w:color w:val="55625B"/>
          <w:sz w:val="22"/>
        </w:rPr>
        <w:t>先看市场，再拆竞品；标准评价数据进入可追溯问诊</w:t>
      </w:r>
    </w:p>
    <w:p>
      <w:pPr>
        <w:spacing w:after="120"/>
        <w:jc w:val="center"/>
      </w:pPr>
      <w:r>
        <w:rPr>
          <w:rFonts w:ascii="Arial Unicode MS" w:hAnsi="Arial Unicode MS" w:eastAsia="Arial Unicode MS" w:cs="Arial Unicode MS"/>
          <w:hint w:val="eastAsia"/>
          <w:color w:val="69756E"/>
          <w:sz w:val="20"/>
        </w:rPr>
        <w:t>版本 1.4｜2026 年 8 月</w:t>
      </w:r>
    </w:p>
    <w:p>
      <w:pPr>
        <w:jc w:val="center"/>
      </w:pPr>
      <w:r>
        <w:rPr>
          <w:rFonts w:ascii="Arial Unicode MS" w:hAnsi="Arial Unicode MS" w:eastAsia="Arial Unicode MS" w:cs="Arial Unicode MS"/>
          <w:hint w:val="eastAsia"/>
          <w:color w:val="2E74B5"/>
          <w:sz w:val="19"/>
        </w:rPr>
        <w:t>product-analysis-helper.rationalion.chatgpt.site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1．快速开始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DF5F0"/>
            <w:tcBorders>
              <w:top w:val="single" w:sz="6" w:color="EDF5F0"/>
              <w:left w:val="single" w:sz="6" w:color="EDF5F0"/>
              <w:bottom w:val="single" w:sz="6" w:color="EDF5F0"/>
              <w:right w:val="single" w:sz="6" w:color="EDF5F0"/>
              <w:insideH w:val="single" w:sz="6" w:color="EDF5F0"/>
              <w:insideV w:val="single" w:sz="6" w:color="EDF5F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300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3F32"/>
                <w:sz w:val="21"/>
              </w:rPr>
              <w:t>最简用法：先做「市场分析」筛出对标竞品，再做「多竞品对比分析」；需要诊断真实评价结构时，按标准数据包进入「内功问诊」。</w:t>
            </w: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21"/>
              </w:rPr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产品分析助手提供市场、多竞品对比、详情页、内功问诊、买家秀和全链路 6 个入口。提示词与默认产品知识位于服务器端，用户不需要自行编写分析指令。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1.1．推荐操作路径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先选择「市场分析」，上传行业表格、平台榜单、竞品清单、价格带或市场研究资料。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从「对标竞品筛选表」中确认最值得正面对抗的竞品。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再选择「多竞品对比分析」，每个竞品单独建立子文件夹，可一次上传整个文件夹或 ZIP。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上传后先检查竞品可视化分组卡片：确认竞品数量、资料类型和每个文件的所属竞品。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若页面出现「待归类资料」，先选择所属竞品；再勾选营销文案、视觉表达、页面框架等分析维度。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确认页面显示「可以开始横向分析」后生成方案。结果固定为两张表，可编辑并直接导出 Excel。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1.2．全链路分析的操作步骤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选择「全链路分析」。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我方产品资料可以不上传；网站已内置白云山二硫化硒产品基础知识。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将市场、竞品、详情页、评价区和买家秀资料放入 5 个标准目录，再上传 ZIP、多个文件或整个文件夹。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检查页面显示的 5 类资料数量和暂未识别文件数量。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点击「开始生成全链路分析」，等待 5 个专项分析和综合汇总完成。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结果固定为两张表：第一张汇总各环节关键问题，第二张给出去重后的 P0／P1 统一执行动作。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1.3．六种分析方式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rPr/>
        <w:tc>
          <w:tcPr>
            <w:tcW w:type="dxa" w:w="27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分析方式</w:t>
            </w:r>
          </w:p>
        </w:tc>
        <w:tc>
          <w:tcPr>
            <w:tcW w:type="dxa" w:w="66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适用场景</w:t>
            </w:r>
          </w:p>
        </w:tc>
      </w:t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4D78"/>
                <w:sz w:val="20"/>
              </w:rPr>
              <w:t>市场分析</w:t>
            </w:r>
          </w:p>
        </w:tc>
        <w:tc>
          <w:tcPr>
            <w:tcW w:type="dxa" w:w="6660"/>
            <w:shd w:fill="E8EEF5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4D78"/>
                <w:sz w:val="20"/>
              </w:rPr>
              <w:t>判断品牌、价格带、人群与卖点分布，并筛出优先对标竞品。</w:t>
            </w:r>
          </w:p>
        </w:tc>
      </w:tr>
      <w:tr>
        <w:trPr/>
        <w:tc>
          <w:tcPr>
            <w:tcW w:type="dxa" w:w="27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多竞品对比分析</w:t>
            </w:r>
          </w:p>
        </w:tc>
        <w:tc>
          <w:tcPr>
            <w:tcW w:type="dxa" w:w="66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上传后按竞品可视化分组，再横向拆解营销文案、视觉表达和页面框架。</w:t>
            </w:r>
          </w:p>
        </w:tc>
      </w:tr>
      <w:tr>
        <w:trPr/>
        <w:tc>
          <w:tcPr>
            <w:tcW w:type="dxa" w:w="27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详情页分析</w:t>
            </w:r>
          </w:p>
        </w:tc>
        <w:tc>
          <w:tcPr>
            <w:tcW w:type="dxa" w:w="66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拆解竞品逐屏结构、共性打法、差异机会和我方页面方向。</w:t>
            </w:r>
          </w:p>
        </w:tc>
      </w:tr>
      <w:tr>
        <w:trPr/>
        <w:tc>
          <w:tcPr>
            <w:tcW w:type="dxa" w:w="27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内功问诊</w:t>
            </w:r>
          </w:p>
        </w:tc>
        <w:tc>
          <w:tcPr>
            <w:tcW w:type="dxa" w:w="66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上传我方与最多 3 个竞品的默认排序评价 Excel、时间排序评价 Excel、问大家 Excel 和评价页截图；确认完整性后分批分析并导出 HTML／Excel。</w:t>
            </w:r>
          </w:p>
        </w:tc>
      </w:tr>
      <w:tr>
        <w:trPr/>
        <w:tc>
          <w:tcPr>
            <w:tcW w:type="dxa" w:w="27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买家秀专项分析</w:t>
            </w:r>
          </w:p>
        </w:tc>
        <w:tc>
          <w:tcPr>
            <w:tcW w:type="dxa" w:w="66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重点分析图片类型、文案结构、前排排序和逐条替换方向。</w:t>
            </w:r>
          </w:p>
        </w:tc>
      </w:tr>
      <w:tr>
        <w:trPr/>
        <w:tc>
          <w:tcPr>
            <w:tcW w:type="dxa" w:w="27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</w:rPr>
              <w:t>全链路分析</w:t>
            </w:r>
          </w:p>
        </w:tc>
        <w:tc>
          <w:tcPr>
            <w:tcW w:type="dxa" w:w="66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</w:rPr>
              <w:t>仍用原通用评价逻辑，一次完成 5 个旧专项并汇总统一执行清单。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1.4．内功问诊的操作步骤</w:t>
      </w:r>
    </w:p>
    <w:p>
      <w:pPr/>
      <w:r>
        <w:rPr>
          <w:rFonts w:ascii="Arial Unicode MS" w:hAnsi="Arial Unicode MS" w:eastAsia="Arial Unicode MS" w:cs="Arial Unicode MS"/>
        </w:rPr>
        <w:t>选择「内功问诊」，先上传我方数据包；可选添加最多 3 个竞品，每个竞品使用相同的四个文件槽位。</w:t>
      </w:r>
    </w:p>
    <w:p>
      <w:pPr/>
      <w:r>
        <w:rPr>
          <w:rFonts w:ascii="Arial Unicode MS" w:hAnsi="Arial Unicode MS" w:eastAsia="Arial Unicode MS" w:cs="Arial Unicode MS"/>
        </w:rPr>
        <w:t>默认排序评价和时间排序评价分别上传为两个 Excel；两个评价文件分别读取第一个工作表。</w:t>
      </w:r>
    </w:p>
    <w:p>
      <w:pPr>
        <w:keepLines/>
        <w:spacing w:line="240" w:lineRule="auto" w:before="120" w:after="180"/>
        <w:ind w:left="240" w:right="240"/>
        <w:shd w:fill="F4F6F8"/>
      </w:pPr>
      <w:r>
        <w:rPr>
          <w:rFonts w:ascii="Menlo" w:hAnsi="Menlo" w:eastAsia="Arial Unicode MS" w:cs="Menlo"/>
          <w:sz w:val="18"/>
        </w:rPr>
        <w:t>产品数据包/</w:t>
        <w:br/>
        <w:t>├── 评价数据表格-默认排序.xlsx</w:t>
        <w:br/>
        <w:t>├── 评价数据表格-时间排序.xlsx</w:t>
        <w:br/>
        <w:t>├── 问大家.xlsx</w:t>
        <w:br/>
        <w:t>└── 评价页截图.png</w:t>
      </w:r>
    </w:p>
    <w:p>
      <w:pPr/>
      <w:r>
        <w:rPr>
          <w:rFonts w:ascii="Arial Unicode MS" w:hAnsi="Arial Unicode MS" w:eastAsia="Arial Unicode MS" w:cs="Arial Unicode MS"/>
        </w:rPr>
        <w:t>两个评价文件必须能映射出排名、昵称、评价时间、评价类型、SKU、初评正文和追评正文 7 个字段。常见别名会自动识别，包括「旺旺号／用户昵称」、「初评时间／评价时间」、「初评／初评内容」和「追评／追评内容」。</w:t>
      </w:r>
    </w:p>
    <w:p>
      <w:pPr/>
      <w:r>
        <w:rPr>
          <w:rFonts w:ascii="Arial Unicode MS" w:hAnsi="Arial Unicode MS" w:eastAsia="Arial Unicode MS" w:cs="Arial Unicode MS"/>
        </w:rPr>
        <w:t>系统会规范化全角字符与首尾空格；晒图／视频、有用、追评时间等额外的非分析列只记录警告，不阻断预检。缺少必需字段或同一字段出现两个候选列时仍会阻断，避免误映射。</w:t>
      </w:r>
    </w:p>
    <w:p>
      <w:pPr/>
      <w:r>
        <w:rPr>
          <w:rFonts w:ascii="Arial Unicode MS" w:hAnsi="Arial Unicode MS" w:eastAsia="Arial Unicode MS" w:cs="Arial Unicode MS"/>
        </w:rPr>
        <w:t>问大家读取第一个工作表，支持两种输入：A）精确四列「昵称、时间、问题、问答」，系统按 Excel 行序补排名；B）旧版表头必须带「序号」或「排名」，并包含「问题、回答、提问时间」。</w:t>
      </w:r>
    </w:p>
    <w:p>
      <w:pPr/>
      <w:r>
        <w:rPr>
          <w:rFonts w:ascii="Arial Unicode MS" w:hAnsi="Arial Unicode MS" w:eastAsia="Arial Unicode MS" w:cs="Arial Unicode MS"/>
        </w:rPr>
        <w:t>单个 XLSX 压缩文件最大 10MB；系统在解压前检查单 entry、总展开大小和压缩比，异常压缩包会在完整性检查中阻断。</w:t>
      </w:r>
    </w:p>
    <w:p>
      <w:pPr/>
      <w:r>
        <w:rPr>
          <w:rFonts w:ascii="Arial Unicode MS" w:hAnsi="Arial Unicode MS" w:eastAsia="Arial Unicode MS" w:cs="Arial Unicode MS"/>
        </w:rPr>
        <w:t>文件名以 .~ 或 ~$ 开头的临时锁文件会被忽略。</w:t>
      </w:r>
    </w:p>
    <w:p>
      <w:pPr/>
      <w:r>
        <w:rPr>
          <w:rFonts w:ascii="Arial Unicode MS" w:hAnsi="Arial Unicode MS" w:eastAsia="Arial Unicode MS" w:cs="Arial Unicode MS"/>
        </w:rPr>
        <w:t>评价与问大家各最多使用前 100 条有效数据。90 条是正式诊断门槛；默认评价达到 20 条时保留前 20 六维明细，达到 90 条才形成正式六维诊断。竞品问大家不足 90 条时，只排除该竞品的正式对照。</w:t>
      </w:r>
    </w:p>
    <w:p>
      <w:pPr/>
      <w:r>
        <w:rPr>
          <w:rFonts w:ascii="Arial Unicode MS" w:hAnsi="Arial Unicode MS" w:eastAsia="Arial Unicode MS" w:cs="Arial Unicode MS"/>
        </w:rPr>
        <w:t>截图支持 PNG、JPEG、WebP，并在浏览器压缩；无法压缩到 560KB 以内时，截图分析降级为 unavailable。</w:t>
      </w:r>
    </w:p>
    <w:p>
      <w:pPr/>
      <w:r>
        <w:rPr>
          <w:rFonts w:ascii="Arial Unicode MS" w:hAnsi="Arial Unicode MS" w:eastAsia="Arial Unicode MS" w:cs="Arial Unicode MS"/>
        </w:rPr>
        <w:t>进入完整性检查，逐个核对产品归属、实际文件、工作表名称、字段映射和使用行数；确认后才可开始分批分析。</w:t>
      </w:r>
    </w:p>
    <w:p>
      <w:pPr/>
      <w:r>
        <w:rPr>
          <w:rFonts w:ascii="Arial Unicode MS" w:hAnsi="Arial Unicode MS" w:eastAsia="Arial Unicode MS" w:cs="Arial Unicode MS"/>
        </w:rPr>
        <w:t>主批次失败会自动重试 1 次。失败后可手动重试；只有竞品可以排除后继续，我方产品不可排除。综合报告遇到限流、服务错误或网络错误会自动重试 1 次；最终失败后可点「重试综合报告」，且不会重跑已成功的 Excel 主任务。</w:t>
      </w:r>
    </w:p>
    <w:p>
      <w:pPr/>
      <w:r>
        <w:rPr>
          <w:rFonts w:ascii="Arial Unicode MS" w:hAnsi="Arial Unicode MS" w:eastAsia="Arial Unicode MS" w:cs="Arial Unicode MS"/>
        </w:rPr>
        <w:t>报告通过 finding → evidence 证据链校验后，显示数据完整性、评价类型、默认前 20 六维、问大家对照、分析结论和落地清单 6 个分区。</w:t>
      </w:r>
    </w:p>
    <w:p>
      <w:pPr/>
      <w:r>
        <w:rPr>
          <w:rFonts w:ascii="Arial Unicode MS" w:hAnsi="Arial Unicode MS" w:eastAsia="Arial Unicode MS" w:cs="Arial Unicode MS"/>
        </w:rPr>
        <w:t>点击「下载 HTML」获得离线六区报告；点击「导出 Excel」获得 6 个固定工作表。两种导出均来自当前已校验报告，不会再次调用模型。</w:t>
      </w:r>
    </w:p>
    <w:p>
      <w:pPr/>
      <w:r>
        <w:rPr>
          <w:rFonts w:ascii="Arial Unicode MS" w:hAnsi="Arial Unicode MS" w:eastAsia="Arial Unicode MS" w:cs="Arial Unicode MS"/>
        </w:rPr>
        <w:t>关闭／刷新后本次问诊状态丢失。全链路分析仍使用原通用评价逻辑，不调用内功问诊的独立解析、证据图或六区导出。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2．需要准备哪些资料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2.1．我方产品资料（通用模块可选）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通用模块已内置白云山二硫化硒产品一页纸的结构化知识。若本次产品资料有更新，可补充上传；内功问诊则按 1.4 节准备标准数据包。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建议补充最新规格、价格、活动机制、核心卖点、完整成分表、检测报告和品牌资质。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本次上传资料优先于内置知识；两者冲突时系统会标记「信息冲突，待确认」。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资料应尽量保留原始文件、清晰图片和可核对的数据来源。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图片不能证明流量、转化率、销量、成交关键词或证书真实性；缺少证据的信息会列入「待确认」。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7ED"/>
            <w:tcBorders>
              <w:top w:val="single" w:sz="6" w:color="FFF7ED"/>
              <w:left w:val="single" w:sz="6" w:color="FFF7ED"/>
              <w:bottom w:val="single" w:sz="6" w:color="FFF7ED"/>
              <w:right w:val="single" w:sz="6" w:color="FFF7ED"/>
              <w:insideH w:val="single" w:sz="6" w:color="FFF7ED"/>
              <w:insideV w:val="single" w:sz="6" w:color="FFF7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300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3F32"/>
                <w:sz w:val="21"/>
              </w:rPr>
              <w:t>资料优先级：</w:t>
            </w: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21"/>
              </w:rPr>
              <w:t>本次上传的我方资料优先；内置知识只补充缺失背景；发生冲突时系统标记「信息冲突，待确认」。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2.2．多竞品对比分析资料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每个竞品建立一个独立子文件夹，例如「竞品A」「竞品B」。系统会在上传后立即显示每个竞品的资料卡片。</w:t>
      </w:r>
    </w:p>
    <w:p>
      <w:pPr>
        <w:spacing w:before="0" w:after="80" w:line="300" w:lineRule="auto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</w:rPr>
        <w:t>每个竞品可放入主副图、详情页、营销文案、活动机制、评价截图和其他成品资料；无法自动判断归属的文件需在页面手动选择。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2.3．全链路待分析资料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建议将资料整理成以下 5 个目录。文件夹名称正确时，内部图片可以保留原始名称。</w:t>
      </w:r>
    </w:p>
    <w:p>
      <w:pPr>
        <w:keepLines/>
        <w:spacing w:after="180" w:line="240" w:lineRule="auto" w:before="120"/>
        <w:ind w:left="240" w:right="240"/>
        <w:shd w:fill="F4F6F8"/>
      </w:pPr>
      <w:r>
        <w:rPr>
          <w:rFonts w:ascii="Menlo" w:hAnsi="Menlo" w:eastAsia="Arial Unicode MS" w:cs="Menlo"/>
          <w:sz w:val="18"/>
        </w:rPr>
        <w:t>待分析资料/</w:t>
        <w:br/>
        <w:t>├── 01_市场资料/</w:t>
        <w:br/>
        <w:t>├── 02_竞品资料/</w:t>
        <w:br/>
        <w:t>│   ├── 竞品A/</w:t>
        <w:br/>
        <w:t>│   └── 竞品B/</w:t>
        <w:br/>
        <w:t>├── 03_详情页/</w:t>
        <w:br/>
        <w:t>├── 04_评价区/</w:t>
        <w:br/>
        <w:t>└── 05_买家秀/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3．文件如何自动匹配分析模块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系统优先根据文件夹路径和文件名分类。只要路径或文件名包含可识别关键词，就会进入对应专项提示词。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市场：识别「市场资料」「行业分析」「市场分析」「market」。竞品：识别「竞品资料」「多竞品」「竞品分析」「competitor」。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详情页：识别「详情页」「竞品详情」「detail」「product-detail」。评价区：识别「评价区」「评论区」「追评」「问大家」「review」。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买家秀：识别「买家秀」「buyer」「buyer-show」。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7ED"/>
            <w:tcBorders>
              <w:top w:val="single" w:sz="6" w:color="FFF7ED"/>
              <w:left w:val="single" w:sz="6" w:color="FFF7ED"/>
              <w:bottom w:val="single" w:sz="6" w:color="FFF7ED"/>
              <w:right w:val="single" w:sz="6" w:color="FFF7ED"/>
              <w:insideH w:val="single" w:sz="6" w:color="FFF7ED"/>
              <w:insideV w:val="single" w:sz="6" w:color="FFF7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300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3F32"/>
                <w:sz w:val="21"/>
              </w:rPr>
              <w:t>注意：通用多竞品资料必须分开建子文件夹；内功问诊改用每个产品独立的固定文件槽位。</w:t>
            </w: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</w:rPr>
        <w:t>3.1．没有文件夹时如何命名</w:t>
      </w:r>
    </w:p>
    <w:p>
      <w:pPr>
        <w:keepLines/>
        <w:spacing w:after="180" w:line="240" w:lineRule="auto" w:before="120"/>
        <w:ind w:left="240" w:right="240"/>
        <w:shd w:fill="F4F6F8"/>
      </w:pPr>
      <w:r>
        <w:rPr>
          <w:rFonts w:ascii="Arial Unicode MS" w:hAnsi="Arial Unicode MS" w:eastAsia="Arial Unicode MS" w:cs="Arial Unicode MS"/>
          <w:sz w:val="18"/>
        </w:rPr>
        <w:t>市场资料_平台榜单.xlsx</w:t>
        <w:br/>
        <w:t>竞品资料/竞品A/详情页_01.png</w:t>
        <w:br/>
        <w:t>竞品资料/竞品B/营销文案.pdf</w:t>
        <w:br/>
        <w:t>评价区_问大家.png</w:t>
        <w:br/>
        <w:t>买家秀_前排01.png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如果文件既没有分类文件夹，也没有可识别关键词，页面会显示为「暂未识别」。全部文件都无法识别时，全链路分析不会擅自调用专项提示词。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4．如何阅读分析结果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资料事实：上传材料中直接可见的信息。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分析判断：模型基于资料得出的诊断，不等同于已验证结果。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执行建议：可以交给运营、文案或设计人员落实的具体动作。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P0：优先处理、直接影响转化或内容可信度的问题。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P1：在 P0 完成后继续优化的内容。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待确认：资料不足、无法看清或存在冲突的信息。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原通用模块只输出一张分析／诊断主表和一张执行方案表。内功问诊显示 6 个分区，并可从同一份已校验报告下载 HTML 或导出 6 个固定 Excel 工作表。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5．支持格式与上传限制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r>
        <w:trPr>
          <w:tblHeader w:val="true"/>
        </w:trPr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项目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支持或限制</w:t>
            </w:r>
          </w:p>
        </w:tc>
      </w:t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4D78"/>
                <w:sz w:val="20"/>
              </w:rPr>
              <w:t>单次直传预算</w:t>
            </w:r>
          </w:p>
        </w:tc>
        <w:tc>
          <w:tcPr>
            <w:tcW w:type="dxa" w:w="6360"/>
            <w:shd w:fill="E8EEF5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4D78"/>
                <w:sz w:val="20"/>
              </w:rPr>
              <w:t>通用模块当前 Sites 线上总计建议不超过 850KB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图片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JPG、JPEG、PNG、GIF、WebP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文档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PDF、DOC、DOCX、ODT、RTF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表格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XLS、XLSX、CSV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演示文稿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PPT、PPTX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文本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TXT、Markdown、JSON、HTML、XML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每组文件数量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最多 80 个有效文件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单个直接上传文件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受 850KB 单次总预算约束，较大文件需拆分或压缩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单次上传总大小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通用模块当前 Sites 线上约 850KB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ZIP 内单个文件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最大 15MB</w:t>
            </w:r>
          </w:p>
        </w:tc>
      </w:tr>
      <w:tr>
        <w:trPr/>
        <w:tc>
          <w:tcPr>
            <w:tcW w:type="dxa" w:w="300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每组解压后总体积</w:t>
            </w:r>
          </w:p>
        </w:tc>
        <w:tc>
          <w:tcPr>
            <w:tcW w:type="dxa" w:w="6360"/>
            <w:tcBorders>
              <w:top w:val="single" w:sz="6" w:color="D9DEDB"/>
              <w:left w:val="single" w:sz="6" w:color="D9DEDB"/>
              <w:bottom w:val="single" w:sz="6" w:color="D9DEDB"/>
              <w:right w:val="single" w:sz="6" w:color="D9DEDB"/>
              <w:insideH w:val="single" w:sz="6" w:color="D9DEDB"/>
              <w:insideV w:val="single" w:sz="6" w:color="D9DED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19"/>
              </w:rPr>
              <w:t>最大 60MB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FF7ED"/>
            <w:tcBorders>
              <w:top w:val="single" w:sz="6" w:color="FFF7ED"/>
              <w:left w:val="single" w:sz="6" w:color="FFF7ED"/>
              <w:bottom w:val="single" w:sz="6" w:color="FFF7ED"/>
              <w:right w:val="single" w:sz="6" w:color="FFF7ED"/>
              <w:insideH w:val="single" w:sz="6" w:color="FFF7ED"/>
              <w:insideV w:val="single" w:sz="6" w:color="FFF7E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300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3F32"/>
                <w:sz w:val="21"/>
              </w:rPr>
              <w:t>暂不支持：</w:t>
            </w: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21"/>
              </w:rPr>
              <w:t>带密码的 ZIP、ZIP64、ZIP 内嵌套 ZIP，以及包含异常路径的压缩包。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6．常见问题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</w:rPr>
        <w:t>不上传我方产品资料可以分析吗？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通用模块可以使用内置知识；内功问诊必须分别上传我方默认排序评价 Excel 和时间排序评价 Excel，问大家或截图缺失时对应结论会降级。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</w:rPr>
        <w:t>上传的文件会被保存吗？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不会。文件只用于当前分析请求，网站不保存上传文件，也不提供历史项目管理。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</w:rPr>
        <w:t>为什么出现「待归类资料」？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这是通用多竞品分析的文件归属提示。可在页面选择竞品归属；内功问诊则为我方和每个竞品分别提供四个固定文件槽位。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</w:rPr>
        <w:t>为什么页面提示「分析能力正在配置中」？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这表示服务器端模型密钥尚未配置或暂时不可用，需要网站管理员完成服务配置。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</w:rPr>
        <w:t>分析结果能直接作为广告宣传吗？</w:t>
      </w:r>
    </w:p>
    <w:p>
      <w:pPr>
        <w:spacing w:before="0" w:after="120" w:line="300" w:lineRule="auto"/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不能直接使用。涉及功效、检测数据、用户评价和竞品事实的内容，应由负责人核对原始证据后再发布。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</w:rPr>
        <w:t>7．使用前检查清单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已经选择正确的分析模块。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通用多竞品资料已确认文件归属；若使用内功问诊，我方与最多 3 个竞品的数据包已逐个核对。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图片清晰，文字、数据图表和证据素材没有被裁切或压缩到无法阅读。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内功问诊的默认排序评价和时间排序评价已分别上传，两个文件的字段映射与使用行数已经确认。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若使用全链路分析，5 个标准目录和暂未识别文件已经检查。</w:t>
      </w:r>
    </w:p>
    <w:p>
      <w:pPr>
        <w:spacing w:before="0" w:after="80" w:line="300" w:lineRule="auto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hint w:val="eastAsia"/>
          <w:color w:val="253029"/>
          <w:sz w:val="22"/>
        </w:rPr>
        <w:t>最终结果中的待确认信息已经安排人工核对。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DF5F0"/>
            <w:tcBorders>
              <w:top w:val="single" w:sz="6" w:color="EDF5F0"/>
              <w:left w:val="single" w:sz="6" w:color="EDF5F0"/>
              <w:bottom w:val="single" w:sz="6" w:color="EDF5F0"/>
              <w:right w:val="single" w:sz="6" w:color="EDF5F0"/>
              <w:insideH w:val="single" w:sz="6" w:color="EDF5F0"/>
              <w:insideV w:val="single" w:sz="6" w:color="EDF5F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300" w:lineRule="auto"/>
            </w:pPr>
            <w:r>
              <w:rPr>
                <w:rFonts w:ascii="Arial Unicode MS" w:hAnsi="Arial Unicode MS" w:eastAsia="Arial Unicode MS" w:cs="Arial Unicode MS"/>
                <w:hint w:val="eastAsia"/>
                <w:b/>
                <w:color w:val="1F3F32"/>
                <w:sz w:val="21"/>
              </w:rPr>
              <w:t>完成标准：</w:t>
            </w:r>
            <w:r>
              <w:rPr>
                <w:rFonts w:ascii="Arial Unicode MS" w:hAnsi="Arial Unicode MS" w:eastAsia="Arial Unicode MS" w:cs="Arial Unicode MS"/>
                <w:hint w:val="eastAsia"/>
                <w:color w:val="35433B"/>
                <w:sz w:val="21"/>
              </w:rPr>
              <w:t>分析报告不是业务结果。只有当建议被执行、页面完成修改并获得真实用户或转化数据反馈后，才算完成业务验证。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hint w:val="eastAsia"/>
        <w:color w:val="69756E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hint w:val="eastAsia"/>
        <w:color w:val="6975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hint w:val="eastAsia"/>
        <w:color w:val="69756E"/>
        <w:sz w:val="18"/>
      </w:rPr>
      <w:t>产品分析助手｜使用说明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Noto Sans CJK SC" w:hAnsi="Noto Sans CJK SC" w:eastAsia="Noto Sans CJK SC"/>
      </w:rPr>
    </w:lvl>
  </w:abstractNum>
  <w:num w:numId="40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Noto Sans CJK SC" w:hAnsi="Noto Sans CJK SC" w:eastAsia="Noto Sans CJK SC"/>
      </w:rPr>
    </w:lvl>
  </w:abstract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hint w:val="eastAsia"/>
      <w:color w:val="2530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="Arial Unicode MS" w:hAnsi="Arial Unicode MS" w:eastAsia="Arial Unicode MS" w:cs="Arial Unicode MS"/>
      <w:b/>
      <w:bCs/>
      <w:color w:val="2E74B5"/>
      <w:sz w:val="32"/>
      <w:szCs w:val="28"/>
      <w:hint w:val="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="Arial Unicode MS" w:hAnsi="Arial Unicode MS" w:eastAsia="Arial Unicode MS" w:cs="Arial Unicode MS"/>
      <w:b/>
      <w:bCs/>
      <w:color w:val="2E74B5"/>
      <w:sz w:val="26"/>
      <w:szCs w:val="26"/>
      <w:hint w:val="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hint w:val="eastAsia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产品分析助手使用说明</dc:title>
  <dc:subject>完整商品分析与专项分析操作指南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