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Student Lab Manual</w:t>
      </w:r>
    </w:p>
    <w:p>
      <w:pPr>
        <w:spacing w:after="40"/>
      </w:pPr>
      <w:r>
        <w:rPr>
          <w:rFonts w:ascii="Arial" w:hAnsi="Arial"/>
          <w:b/>
          <w:color w:val="1D4ED8"/>
          <w:sz w:val="44"/>
        </w:rPr>
        <w:t>Road Sign / Car Sign Project (3-Char)</w:t>
      </w:r>
    </w:p>
    <w:p>
      <w:pPr>
        <w:spacing w:after="120"/>
      </w:pPr>
      <w:r>
        <w:rPr>
          <w:rFonts w:ascii="Arial" w:hAnsi="Arial"/>
          <w:b w:val="0"/>
          <w:color w:val="475569"/>
          <w:sz w:val="24"/>
        </w:rPr>
        <w:t>TFLite Training desktop app · sign_ocr workflow</w:t>
      </w:r>
    </w:p>
    <w:p>
      <w:pPr>
        <w:spacing w:after="120"/>
      </w:pPr>
      <w:r>
        <w:rPr>
          <w:rFonts w:ascii="Arial" w:hAnsi="Arial"/>
          <w:b w:val="0"/>
          <w:sz w:val="21"/>
        </w:rPr>
        <w:t>In this lab you will build a three-character road-sign verifier: declare the target sequence, collect or auto-generate character glyphs, train an int8 model, verify the three-slot reading in Preview, then export the model and save the project archive.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448"/>
            <w:shd w:val="clear" w:color="auto" w:fill="E2E8F0"/>
          </w:tcPr>
          <w:p>
            <w:r/>
            <w:r>
              <w:rPr>
                <w:rFonts w:ascii="Arial" w:hAnsi="Arial"/>
                <w:b/>
                <w:color w:val="0F172A"/>
                <w:sz w:val="18"/>
              </w:rPr>
              <w:t>Lab at a glance</w:t>
            </w:r>
          </w:p>
        </w:tc>
        <w:tc>
          <w:tcPr>
            <w:tcW w:type="dxa" w:w="6912"/>
            <w:shd w:val="clear" w:color="auto" w:fill="E2E8F0"/>
          </w:tcPr>
          <w:p>
            <w:r/>
            <w:r>
              <w:rPr>
                <w:rFonts w:ascii="Arial" w:hAnsi="Arial"/>
                <w:b/>
                <w:color w:val="0F172A"/>
                <w:sz w:val="18"/>
              </w:rPr>
              <w:t>Details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Project type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8"/>
              </w:rPr>
              <w:t>🛑 Road Sign (3-Char)  (sign_ocr)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Target in this lab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8"/>
              </w:rPr>
              <w:t>A ▸ 1 ▸ 2  (reading direction: Left to Right)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Model input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8"/>
              </w:rPr>
              <w:t>3 slots × 28 × 28 int8 glyphs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Verdict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8"/>
              </w:rPr>
              <w:t>🟢 YES — MATCH / 🔴 NO — NOT MATCH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Estimated time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8"/>
              </w:rPr>
              <w:t>45–60 minutes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Hardware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8"/>
              </w:rPr>
              <w:t>Not required — EMNIST Auto-Fill + Synth plates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Ends with</w:t>
            </w:r>
          </w:p>
        </w:tc>
        <w:tc>
          <w:tcPr>
            <w:tcW w:type="dxa" w:w="6912"/>
          </w:tcPr>
          <w:p>
            <w:r/>
            <w:r>
              <w:rPr>
                <w:rFonts w:ascii="Arial" w:hAnsi="Arial"/>
                <w:b w:val="0"/>
                <w:sz w:val="18"/>
              </w:rPr>
              <w:t>Export Model + Save Project (.tmproj)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color w:val="0F172A"/>
          <w:sz w:val="24"/>
        </w:rPr>
        <w:t>Before you start</w:t>
      </w:r>
    </w:p>
    <w:p>
      <w:pPr>
        <w:spacing w:after="120"/>
      </w:pPr>
      <w:r>
        <w:rPr>
          <w:rFonts w:ascii="Arial" w:hAnsi="Arial"/>
          <w:b w:val="0"/>
          <w:sz w:val="21"/>
        </w:rPr>
        <w:t>TensorFlow Lite (LiteRT) for Microcontrollers is designed to run small machine-learning models on microcontrollers. TFLite Training is the desktop trainer used in this course: it captures or imports samples, applies the same preprocessing the device will use, trains an int8 TensorFlow Lite model, and exports C/C++ sources for a downstream project.</w:t>
      </w:r>
    </w:p>
    <w:p>
      <w:pPr>
        <w:spacing w:after="120"/>
      </w:pPr>
      <w:r>
        <w:rPr>
          <w:rFonts w:ascii="Arial" w:hAnsi="Arial"/>
          <w:b w:val="0"/>
          <w:sz w:val="21"/>
        </w:rPr>
        <w:t>By the end of this lab you will be able to: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Explain why a sign is trained as one class per unique character, not as one class per sign.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Set a three-slot target and read the duplicate-character badge (e.g. A ▸ 1 ▸ A → “Slots 1 &amp; 3”).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Collect glyph samples with the camera/device drawer or fill every empty class with EMNIST Auto-Fill.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Tune ROI and luminance thresholds in the Sample Worktable.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Choose sign-specific hyperparameters and explain the EMNIST mix and two-stage transfer learning.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Verify a sign in Preview and read the three per-slot results behind the YES / NO banner.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Export the trained artifacts and save/reopen the whole project as a .tmproj archive.</w:t>
      </w:r>
    </w:p>
    <w:p>
      <w:pPr>
        <w:pStyle w:val="Heading3"/>
        <w:keepNext/>
        <w:spacing w:before="200" w:after="60"/>
      </w:pPr>
      <w:r>
        <w:rPr>
          <w:rFonts w:ascii="Arial" w:hAnsi="Arial"/>
          <w:color w:val="0F172A"/>
          <w:sz w:val="24"/>
        </w:rPr>
        <w:t>Key idea: training is per character; splitting is per sign</w:t>
      </w:r>
    </w:p>
    <w:p>
      <w:pPr>
        <w:spacing w:after="120"/>
      </w:pPr>
      <w:r>
        <w:rPr>
          <w:rFonts w:ascii="Arial" w:hAnsi="Arial"/>
          <w:b w:val="0"/>
          <w:sz w:val="21"/>
        </w:rPr>
        <w:t>The sign project reuses the same 28×28 single-glyph classifier as the OCR project. Each character card collects glyphs of ONE character. The full three-character plate is split into three slots only at Preview / inference time. Keeping those two ideas separate is the most important rule in this lab.</w:t>
      </w:r>
    </w:p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Step 1 — Choose the Road Sign project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Launch TFLite Training. The Start Page shows three project cards. Choose the third one, 🛑 Road Sign (3-Char).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rt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1 — Start Page: choose the Road Sign (3-Char) project.</w:t>
      </w:r>
    </w:p>
    <w:p>
      <w:pPr>
        <w:pStyle w:val="ManualNumber"/>
        <w:keepNext/>
        <w:spacing w:after="40"/>
      </w:pPr>
      <w:r>
        <w:t xml:space="preserve">1. </w:t>
      </w:r>
      <w:r>
        <w:rPr>
          <w:rFonts w:ascii="Arial" w:hAnsi="Arial"/>
          <w:sz w:val="21"/>
        </w:rPr>
        <w:t>Click Get Started on the 🛑 Road Sign (3-Char) card. A fresh project opens with the target A ▸ B ▸ C and matching character cards.</w:t>
      </w:r>
    </w:p>
    <w:p>
      <w:pPr>
        <w:pStyle w:val="ManualNumber"/>
        <w:keepNext/>
        <w:spacing w:after="40"/>
      </w:pPr>
      <w:r>
        <w:t xml:space="preserve">2. </w:t>
      </w:r>
      <w:r>
        <w:rPr>
          <w:rFonts w:ascii="Arial" w:hAnsi="Arial"/>
          <w:sz w:val="21"/>
        </w:rPr>
        <w:t>Alternatively, click Open Project (.tmproj) to reopen a saved sign project. The archive's project type is authoritative; a cross-type file is announced rather than silently switched.</w:t>
      </w:r>
    </w:p>
    <w:p>
      <w:pPr>
        <w:pStyle w:val="ManualNumber"/>
        <w:keepNext/>
        <w:spacing w:after="40"/>
      </w:pPr>
      <w:r>
        <w:t xml:space="preserve">3. </w:t>
      </w:r>
      <w:r>
        <w:rPr>
          <w:rFonts w:ascii="Arial" w:hAnsi="Arial"/>
          <w:sz w:val="21"/>
        </w:rPr>
        <w:t>The third button, Import classified class, starts the ordinary image importer. You do not need it for this lab.</w:t>
      </w:r>
    </w:p>
    <w:p>
      <w:pPr>
        <w:spacing w:after="120"/>
      </w:pPr>
      <w:r>
        <w:rPr>
          <w:rFonts w:ascii="Arial" w:hAnsi="Arial"/>
          <w:b w:val="0"/>
          <w:color w:val="475569"/>
          <w:sz w:val="20"/>
        </w:rPr>
        <w:t>Tip: the app follows the system dark-mode setting (prefers-color-scheme: dark).</w:t>
      </w:r>
    </w:p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Step 2 — Tour the workspace and set the target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The workspace has three columns: Character Sample Cards (left), Training (middle), and Preview (right). The top toolbar holds File/Edit, Settings, Preferences, the 📖 Tutorial, and Return Home.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workspace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2 — Workspace overview with the five working areas.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Top bar — File ▾ (save/open/export dataset), Settings, 📖 Tutorial, ← Return Home, and the Preview card's Export Model button.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Target Sign Sequence Bar (#signSeqBar) — the single writer of the class list and target.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Character Sample Cards — one card per unique character; each card is a capture surface.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Training card — Train Embedded Model, status/accuracy, Advanced hyperparameters, 💡 Use recommended.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Preview card — source controls, Input/ROI/Orig, the 3-slot inference result, and 🧪 Synth pills for sign projects.</w:t>
      </w:r>
    </w:p>
    <w:p>
      <w:pPr>
        <w:spacing w:after="120"/>
      </w:pPr>
      <w:r>
        <w:rPr>
          <w:rFonts w:ascii="Arial" w:hAnsi="Arial"/>
          <w:b w:val="0"/>
          <w:sz w:val="21"/>
        </w:rPr>
        <w:t>Set the target now: type A, 1, 2 into the three slots (left to right). The class cards update automatically. If the first-run tour appears, close it with Skip Tour or Esc — you can reopen it any time from 📖 Tutorial.</w:t>
      </w:r>
    </w:p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Step 3 — Understand the sequence bar and duplicate characters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The three slots are the single source of truth. Each valid keystroke updates the target, auto-advances to the next slot, and syncs the class cards to the server.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arget_sequence_and_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3 — Target slots, swap buttons, reading direction and duplicate-character badge.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Slots — click a slot and type 0–9 or A–Z. ✔ A complete character advances to the next slot. Backspace on an empty slot clears the previous one.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◀ / ▶ — swap the character with its neighbour. The edge buttons are disabled.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Reading direction — the bar echoes left → right (or right → left). Change it in Training → Advanced → Sign Reading Direction. RTL reverses the three boxes after the split; pixels are never mirrored.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Duplicate character — A ▸ 1 ▸ A creates only two class cards, A and 1. The A card carries the badge “Slots 1 &amp; 3”; the model trains A once.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Auto-sync — every edit posts the new sequence/class list and returns fresh counts and previews atomically. New characters are auto-filled in the same request when Auto-Fill is on.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After training — editing the sequence changes the dataset fingerprint; the Training status adds ⚠ Stale until you retrain.</w:t>
      </w:r>
    </w:p>
    <w:p>
      <w:pPr>
        <w:spacing w:after="120"/>
      </w:pPr>
      <w:r>
        <w:rPr>
          <w:rFonts w:ascii="Arial" w:hAnsi="Arial"/>
          <w:b w:val="0"/>
          <w:color w:val="B91C1C"/>
          <w:sz w:val="20"/>
        </w:rPr>
        <w:t>Return to A ▸ 1 ▸ 2 before continuing.</w:t>
      </w:r>
    </w:p>
    <w:p>
      <w:r>
        <w:br w:type="page"/>
      </w:r>
    </w:p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Step 4 — Collect training samples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2F2"/>
            <w:tcBorders>
              <w:top w:val="single" w:sz="18" w:space="0" w:color="E11D48"/>
              <w:left w:val="single" w:sz="18" w:space="0" w:color="E11D48"/>
              <w:bottom w:val="single" w:sz="18" w:space="0" w:color="E11D48"/>
              <w:right w:val="single" w:sz="18" w:space="0" w:color="E11D48"/>
            </w:tcBorders>
          </w:tcPr>
          <w:p>
            <w:r/>
            <w:r>
              <w:rPr>
                <w:rFonts w:ascii="Arial" w:hAnsi="Arial"/>
                <w:b/>
                <w:color w:val="B91C1C"/>
                <w:sz w:val="22"/>
              </w:rPr>
              <w:t>⚠ Critical training rule</w:t>
            </w:r>
          </w:p>
          <w:p>
            <w:pPr>
              <w:spacing w:after="40"/>
            </w:pPr>
            <w:r>
              <w:rPr>
                <w:rFonts w:ascii="Arial" w:hAnsi="Arial"/>
                <w:color w:val="7F1D1D"/>
                <w:sz w:val="20"/>
              </w:rPr>
              <w:t>Each character card must collect single-character glyph samples — the input the 28×28 model actually learns.</w:t>
            </w:r>
          </w:p>
          <w:p>
            <w:pPr>
              <w:spacing w:after="40"/>
            </w:pPr>
            <w:r>
              <w:rPr>
                <w:rFonts w:ascii="Arial" w:hAnsi="Arial"/>
                <w:color w:val="7F1D1D"/>
                <w:sz w:val="20"/>
              </w:rPr>
              <w:t>Use EMNIST Auto-Fill (⚙ Settings → Advanced Settings) for a zero-camera workflow, or capture/upload a frame and isolate ONE character with Auto / Manual ROI.</w:t>
            </w:r>
          </w:p>
          <w:p>
            <w:pPr>
              <w:spacing w:after="40"/>
            </w:pPr>
            <w:r>
              <w:rPr>
                <w:rFonts w:ascii="Arial" w:hAnsi="Arial"/>
                <w:color w:val="7F1D1D"/>
                <w:sz w:val="20"/>
              </w:rPr>
              <w:t>A whole 3-character sign filed under “A” trains A on the whole sign. The automatic three-slot split belongs to Preview / inference, not training.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200" w:after="60"/>
      </w:pPr>
      <w:r>
        <w:rPr>
          <w:rFonts w:ascii="Arial" w:hAnsi="Arial"/>
          <w:color w:val="0F172A"/>
          <w:sz w:val="24"/>
        </w:rPr>
        <w:t>4A — Zero hardware: EMNIST Auto-Fill (recommended first pass)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Open ⚙ Settings → Preview and set Preview Image Input Source to Local Image File. Then expand ▸ Advanced Settings, enable the auto-fill checkbox, and (optionally) click Fill Empty Classes with EMNIST Samples Now. Each empty character class receives 24 dark-ink-on-light 96×96 captures; real camera samples are never touched.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settings_emnist_autofi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4a — Preview source and EMNIST Auto-Fill controls in Settings.</w:t>
      </w:r>
    </w:p>
    <w:p>
      <w:pPr>
        <w:pStyle w:val="ManualNumber"/>
        <w:keepNext/>
        <w:spacing w:after="40"/>
      </w:pPr>
      <w:r>
        <w:t xml:space="preserve">1. </w:t>
      </w:r>
      <w:r>
        <w:rPr>
          <w:rFonts w:ascii="Arial" w:hAnsi="Arial"/>
          <w:sz w:val="21"/>
        </w:rPr>
        <w:t>Set Preview Image Input Source = Local Image File.</w:t>
      </w:r>
    </w:p>
    <w:p>
      <w:pPr>
        <w:pStyle w:val="ManualNumber"/>
        <w:keepNext/>
        <w:spacing w:after="40"/>
      </w:pPr>
      <w:r>
        <w:t xml:space="preserve">2. </w:t>
      </w:r>
      <w:r>
        <w:rPr>
          <w:rFonts w:ascii="Arial" w:hAnsi="Arial"/>
          <w:sz w:val="21"/>
        </w:rPr>
        <w:t>Enable Auto-fill empty classes with EMNIST template samples (24 / class).</w:t>
      </w:r>
    </w:p>
    <w:p>
      <w:pPr>
        <w:pStyle w:val="ManualNumber"/>
        <w:keepNext/>
        <w:spacing w:after="40"/>
      </w:pPr>
      <w:r>
        <w:t xml:space="preserve">3. </w:t>
      </w:r>
      <w:r>
        <w:rPr>
          <w:rFonts w:ascii="Arial" w:hAnsi="Arial"/>
          <w:sz w:val="21"/>
        </w:rPr>
        <w:t>Wait for each card to show 24 Image Samples; the fill is immediate. Use the one-shot button if the checkbox is already on.</w:t>
      </w:r>
    </w:p>
    <w:p>
      <w:pPr>
        <w:pStyle w:val="ManualNumber"/>
        <w:keepNext/>
        <w:spacing w:after="40"/>
      </w:pPr>
      <w:r>
        <w:t xml:space="preserve">4. </w:t>
      </w:r>
      <w:r>
        <w:rPr>
          <w:rFonts w:ascii="Arial" w:hAnsi="Arial"/>
          <w:sz w:val="21"/>
        </w:rPr>
        <w:t>Click Save changes to apply the settings.</w:t>
      </w:r>
    </w:p>
    <w:p>
      <w:pPr>
        <w:spacing w:after="120"/>
      </w:pPr>
      <w:r>
        <w:rPr>
          <w:rFonts w:ascii="Arial" w:hAnsi="Arial"/>
          <w:b w:val="0"/>
          <w:color w:val="475569"/>
          <w:sz w:val="20"/>
        </w:rPr>
        <w:t>The auto-fill flag is project state. Changing a slot later backfills the new character in the same class-sync request, so a new class does not stay at 0 samples.</w:t>
      </w:r>
    </w:p>
    <w:p>
      <w:pPr>
        <w:pStyle w:val="Heading3"/>
        <w:keepNext/>
        <w:spacing w:before="200" w:after="60"/>
      </w:pPr>
      <w:r>
        <w:rPr>
          <w:rFonts w:ascii="Arial" w:hAnsi="Arial"/>
          <w:color w:val="0F172A"/>
          <w:sz w:val="24"/>
        </w:rPr>
        <w:t>4B — Camera, device drawer and upload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On a character card, click Webcam, Upload, or Device. The drawer opens below the card. Capture saves one frame; Hold to Capture (or holding Space) records a burst. Close folds the drawer away.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capture_draw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4b — Device capture drawer: source tiles, Capture / Hold, Close and sample thumbnails.</w:t>
      </w:r>
    </w:p>
    <w:p>
      <w:pPr>
        <w:spacing w:after="120"/>
      </w:pPr>
      <w:r>
        <w:rPr>
          <w:rFonts w:ascii="Arial" w:hAnsi="Arial"/>
          <w:b w:val="0"/>
          <w:color w:val="475569"/>
          <w:sz w:val="19"/>
        </w:rPr>
        <w:t>The example above shows the drawer with no board attached: it reports that no compatible serial device was detected and leaves the live preview empty. Choose the correct port in Settings to see frames. Webcam and Upload work without a board.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Webcam — pick the camera in Settings; live preview appears in the drawer.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Device — connect the ESP32-P4 serial source, choose the port in Settings, and capture from the live serial frame. Use Capture or Hold to Capture.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Upload — choose existing images. Great for photos of printed characters.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Space — while a Webcam/Device drawer is open: tap for one frame, hold ≥220 ms for a burst; release stops.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Close — the pill in the drawer header (title: Collapse panel (Esc)).</w:t>
      </w:r>
    </w:p>
    <w:p>
      <w:pPr>
        <w:spacing w:after="120"/>
      </w:pPr>
      <w:r>
        <w:rPr>
          <w:rFonts w:ascii="Arial" w:hAnsi="Arial"/>
          <w:b w:val="0"/>
          <w:color w:val="475569"/>
          <w:sz w:val="20"/>
        </w:rPr>
        <w:t>If you use camera samples, capture a close view where the current character is the dominant glyph, or use Manual ROI in Step 5. Vary distance, tilt and lighting; aim for at least 10–20 varied samples per class.</w:t>
      </w:r>
    </w:p>
    <w:p>
      <w:r>
        <w:br w:type="page"/>
      </w:r>
    </w:p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Step 5 — Inspect and tune samples in the Sample Worktable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Click Edit on a character card to open the worktable. The left shows the Original Sample with its ROI box; the right shows the Processed Preview — the 28×28 glyph the model receives.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ample_worktable_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5 — Sample Worktable: original/ROI, 28×28 processed glyph, mode, thresholds and save controls.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Original Sample — the raw capture. The green box is auto-detected; blue is Manual ROI.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Processed Preview — integer Otsu + projection + 28×28 normalization. It should show one centered glyph with a clean margin.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Preprocess Mode — Auto (find sign) or Manual ROI. Manual ROI pins a fixed box; drag on the original image or type ROI X1/Y1/X2/Y2 (0–1).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Dark Thr (0–100) / Lum Thr (50–255) — the luminance window. Defaults 0/100 mean exact Otsu; other values pin the threshold and add a dark floor.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Save Sample — stores the current sample's edits. Saved is shown when there is nothing to save.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Shortcuts — F1 Auto, F2 Manual ROI, S Save, D Delete Sample, Esc Close, arrows navigate, Shift+Arrows nudge the ROI.</w:t>
      </w:r>
    </w:p>
    <w:p>
      <w:pPr>
        <w:spacing w:after="120"/>
      </w:pPr>
      <w:r>
        <w:rPr>
          <w:rFonts w:ascii="Arial" w:hAnsi="Arial"/>
          <w:b w:val="0"/>
          <w:color w:val="475569"/>
          <w:sz w:val="20"/>
        </w:rPr>
        <w:t>Remember: the worktable edits a class sample, not the Preview's three-slot split. Use it to make each character's glyph clean and consistent.</w:t>
      </w:r>
    </w:p>
    <w:p>
      <w:r>
        <w:br w:type="page"/>
      </w:r>
    </w:p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Step 6 — Train the model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Open Training → ▸ Advanced. The project-specific controls are Sign Reading Direction and Ink Polarity; the OCR/sign block holds EMNIST mixing and two-stage transfer learning. Start with the defaults, then click Train Embedded Model.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aining_and_advanc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6 — Training card → Advanced (left) and Settings → Training Hyperparameters (right).</w:t>
      </w:r>
    </w:p>
    <w:p>
      <w:pPr>
        <w:spacing w:after="120"/>
      </w:pPr>
      <w:r>
        <w:rPr>
          <w:rFonts w:ascii="Arial" w:hAnsi="Arial"/>
          <w:b/>
          <w:sz w:val="21"/>
        </w:rPr>
        <w:t>Complete hyperparameter reference for sign_ocr: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76"/>
            <w:shd w:val="clear" w:color="auto" w:fill="E2E8F0"/>
          </w:tcPr>
          <w:p>
            <w:r/>
            <w:r>
              <w:rPr>
                <w:rFonts w:ascii="Arial" w:hAnsi="Arial"/>
                <w:b/>
                <w:color w:val="0F172A"/>
                <w:sz w:val="17"/>
              </w:rPr>
              <w:t>Field</w:t>
            </w:r>
          </w:p>
        </w:tc>
        <w:tc>
          <w:tcPr>
            <w:tcW w:type="dxa" w:w="1944"/>
            <w:shd w:val="clear" w:color="auto" w:fill="E2E8F0"/>
          </w:tcPr>
          <w:p>
            <w:r/>
            <w:r>
              <w:rPr>
                <w:rFonts w:ascii="Arial" w:hAnsi="Arial"/>
                <w:b/>
                <w:color w:val="0F172A"/>
                <w:sz w:val="17"/>
              </w:rPr>
              <w:t>Default</w:t>
            </w:r>
          </w:p>
        </w:tc>
        <w:tc>
          <w:tcPr>
            <w:tcW w:type="dxa" w:w="1944"/>
            <w:shd w:val="clear" w:color="auto" w:fill="E2E8F0"/>
          </w:tcPr>
          <w:p>
            <w:r/>
            <w:r>
              <w:rPr>
                <w:rFonts w:ascii="Arial" w:hAnsi="Arial"/>
                <w:b/>
                <w:color w:val="0F172A"/>
                <w:sz w:val="17"/>
              </w:rPr>
              <w:t>Range / options</w:t>
            </w:r>
          </w:p>
        </w:tc>
        <w:tc>
          <w:tcPr>
            <w:tcW w:type="dxa" w:w="3096"/>
            <w:shd w:val="clear" w:color="auto" w:fill="E2E8F0"/>
          </w:tcPr>
          <w:p>
            <w:r/>
            <w:r>
              <w:rPr>
                <w:rFonts w:ascii="Arial" w:hAnsi="Arial"/>
                <w:b/>
                <w:color w:val="0F172A"/>
                <w:sz w:val="17"/>
              </w:rPr>
              <w:t>What it does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Ink Polarity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 — Dark ink on bright bg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 / 1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Global ink polarity for every class; 1 = bright ink on dark bg.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Sign Reading Direction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Left to Right (L ➔ R)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LTR / RTL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Order of the three slots. RTL reverses boxes after the split, never pixels.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Image Size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28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8–512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Model input side. 28×28 is the glyph geometry; keep it for sign_ocr.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Batch Size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32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≥1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Samples per gradient step; auto-adjust may lower it for small sets.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Epochs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20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≥1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Base epoch count; the OCR strategy replaces it with Head + Fine-tune epochs.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Validation Split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0.25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0–0.5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Fraction held out for validation.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Learning Rate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0.0016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≥0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Base learning rate; the two-stage schedule has its own head/finetune rates.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💡 Use recommended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button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Sets Batch Size, Epochs, Learning Rate and Validation Split from the dataset size (~800 updates, ≥4 steps/epoch). Does not change Image Size or architecture.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Mix EMNIST into every class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On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on/off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Adds synthetic EMNIST glyphs to every real class.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EMNIST split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balanced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balanced / letters / digits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Which EMNIST subset supplies the synthetic glyphs.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Synthetic per class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200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0–5000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Synthetic EMNIST glyphs added per class.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Background / noise class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On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on/off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Appends the _background rejector used for blank slots.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Background crops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0–5000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Random non-glyph crops; 0 mirrors Synthetic per class.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Fine-tune pre-trained backbone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On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on/off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Two-stage transfer learning from a cached EMNIST backbone.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Pre-train samples / class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1200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100–6000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Backbone warm-up corpus size.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Pre-train epochs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1–100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Backbone warm-up epochs.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Head epochs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1–200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Phase 1: train the new head with the backbone frozen.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Head learning rate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0.0015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≥0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Phase 1 learning rate.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Fine-tune epochs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25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0–200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Phase 2: unfreeze the last conv block(s).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Fine-tune learning rate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0.0002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≥0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Phase 2 learning rate.</w:t>
            </w:r>
          </w:p>
        </w:tc>
      </w:tr>
      <w:tr>
        <w:trPr>
          <w:cantSplit w:val="true"/>
        </w:trPr>
        <w:tc>
          <w:tcPr>
            <w:tcW w:type="dxa" w:w="2376"/>
          </w:tcPr>
          <w:p>
            <w:r/>
            <w:r>
              <w:rPr>
                <w:rFonts w:ascii="Arial" w:hAnsi="Arial"/>
                <w:b w:val="0"/>
                <w:sz w:val="17"/>
              </w:rPr>
              <w:t>Conv blocks to unfreeze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944"/>
          </w:tcPr>
          <w:p>
            <w:r/>
            <w:r>
              <w:rPr>
                <w:rFonts w:ascii="Arial" w:hAnsi="Arial"/>
                <w:b w:val="0"/>
                <w:sz w:val="17"/>
              </w:rPr>
              <w:t>0–16</w:t>
            </w:r>
          </w:p>
        </w:tc>
        <w:tc>
          <w:tcPr>
            <w:tcW w:type="dxa" w:w="3096"/>
          </w:tcPr>
          <w:p>
            <w:r/>
            <w:r>
              <w:rPr>
                <w:rFonts w:ascii="Arial" w:hAnsi="Arial"/>
                <w:b w:val="0"/>
                <w:sz w:val="17"/>
              </w:rPr>
              <w:t>How many final backbone blocks are unfrozen.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color w:val="475569"/>
          <w:sz w:val="19"/>
        </w:rPr>
        <w:t>Under the hood: EMNIST mixing aligns synthetic glyphs to the capture convention, isolates and centers them, and appends random background crops for the _background class. Two-stage transfer learning first warms a cached EMNIST backbone, then trains the new classification head with the backbone frozen, and finally unfreezes the last conv block(s) at the lower fine-tune rate.</w:t>
      </w:r>
    </w:p>
    <w:p>
      <w:pPr>
        <w:pStyle w:val="Heading3"/>
        <w:keepNext/>
        <w:spacing w:before="200" w:after="60"/>
      </w:pPr>
      <w:r>
        <w:rPr>
          <w:rFonts w:ascii="Arial" w:hAnsi="Arial"/>
          <w:color w:val="0F172A"/>
          <w:sz w:val="24"/>
        </w:rPr>
        <w:t>After training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The status changes to Model Trained · tap for accuracy. Click it to see per-class accuracy, including 1, 2, A and _background.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The Train button stays available for re-training with new samples or a changed target.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If you change a character after training, the status adds ⚠ Stale. Retrain before exporting; the old model's labels may not include the new character.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Training uses the same int8 graph Preview runs, so Preview accuracy predicts the exported model's behavior.</w:t>
      </w:r>
    </w:p>
    <w:p>
      <w:r>
        <w:br w:type="page"/>
      </w:r>
    </w:p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Step 7 — Verify the sign in Preview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Set Preview Image Input Source to Local Image File. The context bar shows the Upload control and three sign-only pills: 🧪 Synth Match, 🔀 Synth Reversed and ❌ Synth Mismatch. Toggle Input ON to run predictions.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a_preview_synth_mat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7a — Synth Match: three-slot reading and the 🟢 YES — MATCH verdict.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🧪 Synth Match — composes the current target characters into a sign plate and asserts YES.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🔀 Synth Reversed — composes the characters in reversed order to probe LTR/RTL direction.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❌ Synth Mismatch — substitutes a wrong character and asserts NO.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Input — starts/stops the prediction loop; ROI draws the crop box; Orig shows the full masked frame.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The banner replaces the class bars: 🟢 YES — MATCH means all three slots agreed; 🔴 NO — NOT MATCH names the failing slot(s).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Each .signmatch-slot shows WANT &lt;char&gt;, the read glyph, its 28×28 image, and the confidence percentage. Green = match, red = fail.</w:t>
      </w:r>
    </w:p>
    <w:p>
      <w:pPr>
        <w:keepNext/>
        <w:spacing w:after="120"/>
      </w:pPr>
      <w:r>
        <w:rPr>
          <w:rFonts w:ascii="Arial" w:hAnsi="Arial"/>
          <w:b/>
          <w:sz w:val="21"/>
        </w:rPr>
        <w:t>A YES requires all three slots to satisfy the same per-slot rule:</w:t>
      </w:r>
    </w:p>
    <w:p>
      <w:pPr>
        <w:pStyle w:val="ManualNumber"/>
        <w:keepNext/>
        <w:spacing w:after="40"/>
      </w:pPr>
      <w:r>
        <w:t xml:space="preserve">1. </w:t>
      </w:r>
      <w:r>
        <w:rPr>
          <w:rFonts w:ascii="Arial" w:hAnsi="Arial"/>
          <w:sz w:val="21"/>
        </w:rPr>
        <w:t>The split found ink in the slot.</w:t>
      </w:r>
    </w:p>
    <w:p>
      <w:pPr>
        <w:pStyle w:val="ManualNumber"/>
        <w:keepNext/>
        <w:spacing w:after="40"/>
      </w:pPr>
      <w:r>
        <w:t xml:space="preserve">2. </w:t>
      </w:r>
      <w:r>
        <w:rPr>
          <w:rFonts w:ascii="Arial" w:hAnsi="Arial"/>
          <w:sz w:val="21"/>
        </w:rPr>
        <w:t>The winning class is not _background.</w:t>
      </w:r>
    </w:p>
    <w:p>
      <w:pPr>
        <w:pStyle w:val="ManualNumber"/>
        <w:keepNext/>
        <w:spacing w:after="40"/>
      </w:pPr>
      <w:r>
        <w:t xml:space="preserve">3. </w:t>
      </w:r>
      <w:r>
        <w:rPr>
          <w:rFonts w:ascii="Arial" w:hAnsi="Arial"/>
          <w:sz w:val="21"/>
        </w:rPr>
        <w:t>The winning class equals the target character for that slot.</w:t>
      </w:r>
    </w:p>
    <w:p>
      <w:pPr>
        <w:pStyle w:val="ManualNumber"/>
        <w:keepNext/>
        <w:spacing w:after="40"/>
      </w:pPr>
      <w:r>
        <w:t xml:space="preserve">4. </w:t>
      </w:r>
      <w:r>
        <w:rPr>
          <w:rFonts w:ascii="Arial" w:hAnsi="Arial"/>
          <w:sz w:val="21"/>
        </w:rPr>
        <w:t>The raw confidence (best_raw / sum(raw)) is at least 0.60.</w:t>
      </w:r>
    </w:p>
    <w:p>
      <w:pPr>
        <w:pStyle w:val="ManualNumber"/>
        <w:keepNext/>
        <w:spacing w:after="40"/>
      </w:pPr>
      <w:r>
        <w:t xml:space="preserve">5. </w:t>
      </w:r>
      <w:r>
        <w:rPr>
          <w:rFonts w:ascii="Arial" w:hAnsi="Arial"/>
          <w:sz w:val="21"/>
        </w:rPr>
        <w:t>The exported model uses the same rule; the sign path opens the generic OOD layers and rejects with _background + the confidence floor.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preview_synth_mismat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7b — Synth Mismatch: the red NO verdict and the per-slot hint.</w:t>
      </w:r>
    </w:p>
    <w:p>
      <w:pPr>
        <w:spacing w:after="120"/>
      </w:pPr>
      <w:r>
        <w:rPr>
          <w:rFonts w:ascii="Arial" w:hAnsi="Arial"/>
          <w:b w:val="0"/>
          <w:color w:val="475569"/>
          <w:sz w:val="20"/>
        </w:rPr>
        <w:t>Read a red banner from the hint: “slot 2 read ‘6’ at 41.2%” means the glyph was classified as the wrong character or missed the 60% floor. A _background result means the slot crop held no recognized glyph. Use the worktable to clean that character's samples, then retrain.</w:t>
      </w:r>
    </w:p>
    <w:p>
      <w:r>
        <w:br w:type="page"/>
      </w:r>
    </w:p>
    <w:p>
      <w:pPr>
        <w:pStyle w:val="Heading2"/>
        <w:keepNext/>
        <w:spacing w:before="280" w:after="120"/>
      </w:pPr>
      <w:r>
        <w:rPr>
          <w:rFonts w:ascii="Arial" w:hAnsi="Arial"/>
          <w:color w:val="0F172A"/>
          <w:sz w:val="32"/>
        </w:rPr>
        <w:t>Step 8 — Export the model and save the project</w:t>
      </w:r>
    </w:p>
    <w:p>
      <w:pPr>
        <w:keepNext/>
        <w:spacing w:after="120"/>
      </w:pPr>
      <w:r>
        <w:rPr>
          <w:rFonts w:ascii="Arial" w:hAnsi="Arial"/>
          <w:b w:val="0"/>
          <w:sz w:val="21"/>
        </w:rPr>
        <w:t>When the Preview verdict is reliably correct, export the trained artifacts for your downstream project and save the whole workspace so you can reopen it later.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xport_and_sav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Figure 8 — Export Model in the Preview card and Save / Save as in the File menu.</w:t>
      </w:r>
    </w:p>
    <w:p>
      <w:pPr>
        <w:pStyle w:val="Heading3"/>
        <w:keepNext/>
        <w:spacing w:before="200" w:after="60"/>
      </w:pPr>
      <w:r>
        <w:rPr>
          <w:rFonts w:ascii="Arial" w:hAnsi="Arial"/>
          <w:color w:val="0F172A"/>
          <w:sz w:val="24"/>
        </w:rPr>
        <w:t>Export Model</w:t>
      </w:r>
    </w:p>
    <w:p>
      <w:pPr>
        <w:pStyle w:val="ManualNumber"/>
        <w:keepNext/>
        <w:spacing w:after="40"/>
      </w:pPr>
      <w:r>
        <w:t xml:space="preserve">1. </w:t>
      </w:r>
      <w:r>
        <w:rPr>
          <w:rFonts w:ascii="Arial" w:hAnsi="Arial"/>
          <w:sz w:val="21"/>
        </w:rPr>
        <w:t>Click Export Model in the Preview card head.</w:t>
      </w:r>
    </w:p>
    <w:p>
      <w:pPr>
        <w:pStyle w:val="ManualNumber"/>
        <w:keepNext/>
        <w:spacing w:after="40"/>
      </w:pPr>
      <w:r>
        <w:t xml:space="preserve">2. </w:t>
      </w:r>
      <w:r>
        <w:rPr>
          <w:rFonts w:ascii="Arial" w:hAnsi="Arial"/>
          <w:sz w:val="21"/>
        </w:rPr>
        <w:t>Choose the target folder for the downstream project.</w:t>
      </w:r>
    </w:p>
    <w:p>
      <w:pPr>
        <w:pStyle w:val="ManualNumber"/>
        <w:keepNext/>
        <w:spacing w:after="40"/>
      </w:pPr>
      <w:r>
        <w:t xml:space="preserve">3. </w:t>
      </w:r>
      <w:r>
        <w:rPr>
          <w:rFonts w:ascii="Arial" w:hAnsi="Arial"/>
          <w:sz w:val="21"/>
        </w:rPr>
        <w:t>Confirm overwrite if the folder already contains an export.</w:t>
      </w:r>
    </w:p>
    <w:p>
      <w:pPr>
        <w:spacing w:after="120"/>
      </w:pPr>
      <w:r>
        <w:rPr>
          <w:rFonts w:ascii="Arial" w:hAnsi="Arial"/>
          <w:b w:val="0"/>
          <w:sz w:val="21"/>
        </w:rPr>
        <w:t>With the default export name tm, the folder receives: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3024"/>
            <w:shd w:val="clear" w:color="auto" w:fill="E2E8F0"/>
          </w:tcPr>
          <w:p>
            <w:r/>
            <w:r>
              <w:rPr>
                <w:rFonts w:ascii="Arial" w:hAnsi="Arial"/>
                <w:b/>
                <w:color w:val="0F172A"/>
                <w:sz w:val="18"/>
              </w:rPr>
              <w:t>File</w:t>
            </w:r>
          </w:p>
        </w:tc>
        <w:tc>
          <w:tcPr>
            <w:tcW w:type="dxa" w:w="6336"/>
            <w:shd w:val="clear" w:color="auto" w:fill="E2E8F0"/>
          </w:tcPr>
          <w:p>
            <w:r/>
            <w:r>
              <w:rPr>
                <w:rFonts w:ascii="Arial" w:hAnsi="Arial"/>
                <w:b/>
                <w:color w:val="0F172A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tm.tflite</w:t>
            </w:r>
          </w:p>
        </w:tc>
        <w:tc>
          <w:tcPr>
            <w:tcW w:type="dxa" w:w="6336"/>
          </w:tcPr>
          <w:p>
            <w:r/>
            <w:r>
              <w:rPr>
                <w:rFonts w:ascii="Arial" w:hAnsi="Arial"/>
                <w:b w:val="0"/>
                <w:sz w:val="18"/>
              </w:rPr>
              <w:t>The trained int8 TensorFlow Lite model.</w:t>
            </w:r>
          </w:p>
        </w:tc>
      </w:tr>
      <w:tr>
        <w:trPr>
          <w:cantSplit w:val="true"/>
        </w:trPr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tm_model_data.h / .cpp</w:t>
            </w:r>
          </w:p>
        </w:tc>
        <w:tc>
          <w:tcPr>
            <w:tcW w:type="dxa" w:w="6336"/>
          </w:tcPr>
          <w:p>
            <w:r/>
            <w:r>
              <w:rPr>
                <w:rFonts w:ascii="Arial" w:hAnsi="Arial"/>
                <w:b w:val="0"/>
                <w:sz w:val="18"/>
              </w:rPr>
              <w:t>The model bytes as a C/C++ array (default symbol g_tm_model_data).</w:t>
            </w:r>
          </w:p>
        </w:tc>
      </w:tr>
      <w:tr>
        <w:trPr>
          <w:cantSplit w:val="true"/>
        </w:trPr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model_settings.h / .cpp</w:t>
            </w:r>
          </w:p>
        </w:tc>
        <w:tc>
          <w:tcPr>
            <w:tcW w:type="dxa" w:w="6336"/>
          </w:tcPr>
          <w:p>
            <w:r/>
            <w:r>
              <w:rPr>
                <w:rFonts w:ascii="Arial" w:hAnsi="Arial"/>
                <w:b w:val="0"/>
                <w:sz w:val="18"/>
              </w:rPr>
              <w:t>Labels, 28×28 geometry, target sequence, class indices, reading order, confidence floor, thresholds and OOD constants.</w:t>
            </w:r>
          </w:p>
        </w:tc>
      </w:tr>
      <w:tr>
        <w:trPr>
          <w:cantSplit w:val="true"/>
        </w:trPr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model_resolver.h</w:t>
            </w:r>
          </w:p>
        </w:tc>
        <w:tc>
          <w:tcPr>
            <w:tcW w:type="dxa" w:w="6336"/>
          </w:tcPr>
          <w:p>
            <w:r/>
            <w:r>
              <w:rPr>
                <w:rFonts w:ascii="Arial" w:hAnsi="Arial"/>
                <w:b w:val="0"/>
                <w:sz w:val="18"/>
              </w:rPr>
              <w:t>The MicroInterpreter operator resolver for this model's ops.</w:t>
            </w:r>
          </w:p>
        </w:tc>
      </w:tr>
      <w:tr>
        <w:trPr>
          <w:cantSplit w:val="true"/>
        </w:trPr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labels.txt</w:t>
            </w:r>
          </w:p>
        </w:tc>
        <w:tc>
          <w:tcPr>
            <w:tcW w:type="dxa" w:w="6336"/>
          </w:tcPr>
          <w:p>
            <w:r/>
            <w:r>
              <w:rPr>
                <w:rFonts w:ascii="Arial" w:hAnsi="Arial"/>
                <w:b w:val="0"/>
                <w:sz w:val="18"/>
              </w:rPr>
              <w:t>Human-readable label order, including _background when enabled.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color w:val="475569"/>
          <w:sz w:val="20"/>
        </w:rPr>
        <w:t>For the downstream project, the usual integration set is tm_model_data.cpp/.h, model_resolver.h and model_settings.cpp/.h. The .tflite and labels.txt are useful diagnostics. Exporting also pins Preview to this exact model until the next export.</w:t>
      </w:r>
    </w:p>
    <w:p>
      <w:pPr>
        <w:pStyle w:val="Heading3"/>
        <w:keepNext/>
        <w:spacing w:before="200" w:after="60"/>
      </w:pPr>
      <w:r>
        <w:rPr>
          <w:rFonts w:ascii="Arial" w:hAnsi="Arial"/>
          <w:color w:val="0F172A"/>
          <w:sz w:val="24"/>
        </w:rPr>
        <w:t>Save Project (.tmproj)</w:t>
      </w:r>
    </w:p>
    <w:p>
      <w:pPr>
        <w:pStyle w:val="ManualNumber"/>
        <w:keepNext/>
        <w:spacing w:after="40"/>
      </w:pPr>
      <w:r>
        <w:t xml:space="preserve">1. </w:t>
      </w:r>
      <w:r>
        <w:rPr>
          <w:rFonts w:ascii="Arial" w:hAnsi="Arial"/>
          <w:sz w:val="21"/>
        </w:rPr>
        <w:t>Open File ▾ → Save (⌘S / Ctrl+S) to save to the current path, or Save as (⇧⌘S / Shift+Ctrl+S) to choose a new file.</w:t>
      </w:r>
    </w:p>
    <w:p>
      <w:pPr>
        <w:pStyle w:val="ManualNumber"/>
        <w:keepNext/>
        <w:spacing w:after="40"/>
      </w:pPr>
      <w:r>
        <w:t xml:space="preserve">2. </w:t>
      </w:r>
      <w:r>
        <w:rPr>
          <w:rFonts w:ascii="Arial" w:hAnsi="Arial"/>
          <w:sz w:val="21"/>
        </w:rPr>
        <w:t>The .tmproj is a ZIP archive containing the project header/type, classes and target, samples, preprocessing, training config and the latest run artifacts.</w:t>
      </w:r>
    </w:p>
    <w:p>
      <w:pPr>
        <w:pStyle w:val="ManualNumber"/>
        <w:keepNext/>
        <w:spacing w:after="40"/>
      </w:pPr>
      <w:r>
        <w:t xml:space="preserve">3. </w:t>
      </w:r>
      <w:r>
        <w:rPr>
          <w:rFonts w:ascii="Arial" w:hAnsi="Arial"/>
          <w:sz w:val="21"/>
        </w:rPr>
        <w:t>Reopen it later with Open Project (.tmproj) on the Start Page. The archive restores the full sign workspace, including sign_sequence, reading_order and the Auto-Fill flag.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2F2"/>
            <w:tcBorders>
              <w:top w:val="single" w:sz="18" w:space="0" w:color="E11D48"/>
              <w:left w:val="single" w:sz="18" w:space="0" w:color="E11D48"/>
              <w:bottom w:val="single" w:sz="18" w:space="0" w:color="E11D48"/>
              <w:right w:val="single" w:sz="18" w:space="0" w:color="E11D48"/>
            </w:tcBorders>
          </w:tcPr>
          <w:p>
            <w:r/>
            <w:r>
              <w:rPr>
                <w:rFonts w:ascii="Arial" w:hAnsi="Arial"/>
                <w:b/>
                <w:color w:val="B91C1C"/>
                <w:sz w:val="22"/>
              </w:rPr>
              <w:t>⚠ Save early and often</w:t>
            </w:r>
          </w:p>
          <w:p>
            <w:pPr>
              <w:spacing w:after="40"/>
            </w:pPr>
            <w:r>
              <w:rPr>
                <w:rFonts w:ascii="Arial" w:hAnsi="Arial"/>
                <w:color w:val="7F1D1D"/>
                <w:sz w:val="20"/>
              </w:rPr>
              <w:t>Save the .tmproj before training and again after a good result. A project archive is the only way to return to the exact class list, target, preprocessing and trained model.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/>
          <w:b/>
          <w:color w:val="1D4ED8"/>
          <w:sz w:val="21"/>
        </w:rPr>
        <w:t>You have completed the full Road Sign (3-Char) workflow: target sequence → glyph samples → worktable preprocessing → training → three-slot Preview verification → export and project save.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 xml:space="preserve">Road Sign (3-Char) · </w:t>
    </w:r>
    <w:r>
      <w:rPr>
        <w:rFonts w:ascii="Arial" w:hAnsi="Arial"/>
        <w:color w:val="64748B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Student Lab Manual · TFLite Training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Number">
    <w:name w:val="Manual Number"/>
    <w:basedOn w:val="Normal"/>
    <w:pPr>
      <w:spacing w:after="40"/>
      <w:ind w:left="432" w:hanging="317"/>
    </w:pPr>
    <w:rPr>
      <w:rFonts w:ascii="Arial" w:hAnsi="Arial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