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44"/>
          <w:szCs w:val="44"/>
        </w:rPr>
        <w:t xml:space="preserve">Edge AI Vision Workshop — Project Lab Manual</w:t>
      </w:r>
    </w:p>
    <w:p>
      <w:pPr>
        <w:pBdr>
          <w:left w:val="single" w:color="1A1C1C" w:sz="12" w:space="12"/>
        </w:pBdr>
        <w:spacing w:after="200" w:line="276"/>
        <w:ind w:left="240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Project objective: train a digit recognizer (0–9) and run it on the ESP32-P4.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Work through the steps in order; each required action is written out. The project is designed for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75–90 minutes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. If the software behaves differently from what this manual describes, consult an instructor before continuing.</w:t>
      </w:r>
    </w:p>
    <w:p>
      <w:pPr>
        <w:pBdr>
          <w:top w:val="single" w:color="D8D9D8" w:sz="4" w:space="8"/>
        </w:pBdr>
        <w:spacing w:after="160" w:before="400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30"/>
          <w:szCs w:val="30"/>
        </w:rPr>
        <w:t xml:space="preserve">0. The Project at a Glance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Objective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— train a CNN that recognizes handwritten digits 0–9 presented on paper, and runs live on the ESP32-P4 board.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Success criteria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(assessed at the final demonstration):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The model is deployed on the board and classifies live camera images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It classifies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at least 8 of 10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digits correctly on a set of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unseen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test digits written by someone other than the team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The team can explain one change made to improve the model and its observed effect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Rules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— the model must be trained in this session, using samples collected in this session. Pre-trained networks are not permitted.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Workflow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(identical to the road-sign demonstration in the lesson): Collect → Preprocess → Train → Test → Iterate → Export → Deploy.</w:t>
      </w:r>
    </w:p>
    <w:p>
      <w:pPr>
        <w:pBdr>
          <w:top w:val="single" w:color="D8D9D8" w:sz="4" w:space="8"/>
        </w:pBdr>
        <w:spacing w:after="160" w:before="400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30"/>
          <w:szCs w:val="30"/>
        </w:rPr>
        <w:t xml:space="preserve">Provided Materials</w:t>
      </w:r>
    </w:p>
    <w:p>
      <w:pPr>
        <w:spacing w:after="16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The following kit is provided to each team. Verify it against this list before starting Part 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"/>
        <w:gridCol w:w="1378"/>
        <w:gridCol w:w="7372"/>
      </w:tblGrid>
      <w:tr>
        <w:trPr>
          <w:tblHeader/>
        </w:trPr>
        <w:tc>
          <w:tcPr>
            <w:tcW w:type="dxa" w:w="276"/>
            <w:tcBorders>
              <w:top w:val="single" w:color="1A1C1C" w:sz="8"/>
              <w:left w:val="none" w:color="FFFFFF" w:sz="0"/>
              <w:bottom w:val="single" w:color="D8D9D8" w:sz="4"/>
              <w:right w:val="none" w:color="FFFFFF" w:sz="0"/>
            </w:tcBorders>
            <w:shd w:fill="FFFFFF" w:val="clear"/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8716C"/>
                <w:sz w:val="16"/>
                <w:szCs w:val="16"/>
              </w:rPr>
              <w:t xml:space="preserve">#</w:t>
            </w:r>
          </w:p>
        </w:tc>
        <w:tc>
          <w:tcPr>
            <w:tcW w:type="dxa" w:w="1378"/>
            <w:tcBorders>
              <w:top w:val="single" w:color="1A1C1C" w:sz="8"/>
              <w:left w:val="none" w:color="FFFFFF" w:sz="0"/>
              <w:bottom w:val="single" w:color="D8D9D8" w:sz="4"/>
              <w:right w:val="none" w:color="FFFFFF" w:sz="0"/>
            </w:tcBorders>
            <w:shd w:fill="FFFFFF" w:val="clear"/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8716C"/>
                <w:sz w:val="16"/>
                <w:szCs w:val="16"/>
              </w:rPr>
              <w:t xml:space="preserve">Item</w:t>
            </w:r>
          </w:p>
        </w:tc>
        <w:tc>
          <w:tcPr>
            <w:tcW w:type="dxa" w:w="7372"/>
            <w:tcBorders>
              <w:top w:val="single" w:color="1A1C1C" w:sz="8"/>
              <w:left w:val="none" w:color="FFFFFF" w:sz="0"/>
              <w:bottom w:val="single" w:color="D8D9D8" w:sz="4"/>
              <w:right w:val="none" w:color="FFFFFF" w:sz="0"/>
            </w:tcBorders>
            <w:shd w:fill="FFFFFF" w:val="clear"/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8716C"/>
                <w:sz w:val="16"/>
                <w:szCs w:val="16"/>
              </w:rPr>
              <w:t xml:space="preserve">Purpose</w:t>
            </w:r>
          </w:p>
        </w:tc>
      </w:tr>
      <w:tr>
        <w:tc>
          <w:tcPr>
            <w:tcW w:type="dxa" w:w="276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1</w:t>
            </w:r>
          </w:p>
        </w:tc>
        <w:tc>
          <w:tcPr>
            <w:tcW w:type="dxa" w:w="1378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C1C"/>
                <w:sz w:val="19"/>
                <w:szCs w:val="19"/>
              </w:rPr>
              <w:t xml:space="preserve">Smart car</w:t>
            </w:r>
          </w:p>
        </w:tc>
        <w:tc>
          <w:tcPr>
            <w:tcW w:type="dxa" w:w="7372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The robot car carrying the ESP32-P4 board and camera module — the platform used for training and deployment</w:t>
            </w:r>
          </w:p>
        </w:tc>
      </w:tr>
      <w:tr>
        <w:tc>
          <w:tcPr>
            <w:tcW w:type="dxa" w:w="276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2</w:t>
            </w:r>
          </w:p>
        </w:tc>
        <w:tc>
          <w:tcPr>
            <w:tcW w:type="dxa" w:w="1378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C1C"/>
                <w:sz w:val="19"/>
                <w:szCs w:val="19"/>
              </w:rPr>
              <w:t xml:space="preserve">Map</w:t>
            </w:r>
          </w:p>
        </w:tc>
        <w:tc>
          <w:tcPr>
            <w:tcW w:type="dxa" w:w="7372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The AIoScout playfield map — the surface on which the car and the road signs are set up</w:t>
            </w:r>
          </w:p>
        </w:tc>
      </w:tr>
      <w:tr>
        <w:tc>
          <w:tcPr>
            <w:tcW w:type="dxa" w:w="276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3</w:t>
            </w:r>
          </w:p>
        </w:tc>
        <w:tc>
          <w:tcPr>
            <w:tcW w:type="dxa" w:w="1378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C1C"/>
                <w:sz w:val="19"/>
                <w:szCs w:val="19"/>
              </w:rPr>
              <w:t xml:space="preserve">Road sign stand</w:t>
            </w:r>
          </w:p>
        </w:tc>
        <w:tc>
          <w:tcPr>
            <w:tcW w:type="dxa" w:w="7372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Stand with 3 changeable signs, used in the lesson demonstration</w:t>
            </w:r>
          </w:p>
        </w:tc>
      </w:tr>
      <w:tr>
        <w:tc>
          <w:tcPr>
            <w:tcW w:type="dxa" w:w="276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4</w:t>
            </w:r>
          </w:p>
        </w:tc>
        <w:tc>
          <w:tcPr>
            <w:tcW w:type="dxa" w:w="1378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C1C"/>
                <w:sz w:val="19"/>
                <w:szCs w:val="19"/>
              </w:rPr>
              <w:t xml:space="preserve">USB-C data cable</w:t>
            </w:r>
          </w:p>
        </w:tc>
        <w:tc>
          <w:tcPr>
            <w:tcW w:type="dxa" w:w="7372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Connects the board to the laptop for programming and image transfer</w:t>
            </w:r>
          </w:p>
        </w:tc>
      </w:tr>
      <w:tr>
        <w:tc>
          <w:tcPr>
            <w:tcW w:type="dxa" w:w="276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5</w:t>
            </w:r>
          </w:p>
        </w:tc>
        <w:tc>
          <w:tcPr>
            <w:tcW w:type="dxa" w:w="1378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C1C"/>
                <w:sz w:val="19"/>
                <w:szCs w:val="19"/>
              </w:rPr>
              <w:t xml:space="preserve">Batteries ×2</w:t>
            </w:r>
          </w:p>
        </w:tc>
        <w:tc>
          <w:tcPr>
            <w:tcW w:type="dxa" w:w="7372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Power for the smart car</w:t>
            </w:r>
          </w:p>
        </w:tc>
      </w:tr>
    </w:tbl>
    <w:p>
      <w:pPr>
        <w:spacing w:after="120"/>
      </w:pPr>
    </w:p>
    <w:p>
      <w:pPr>
        <w:spacing w:after="16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Thick markers and blank paper for writing the digits in Part C are also provided.</w:t>
      </w:r>
    </w:p>
    <w:p>
      <w:pPr>
        <w:spacing w:after="16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Teams bring only a laptop with the pre-lab software installed (see the pre-lab manual).</w:t>
      </w:r>
    </w:p>
    <w:p>
      <w:pPr>
        <w:pBdr>
          <w:top w:val="single" w:color="D8D9D8" w:sz="4" w:space="8"/>
        </w:pBdr>
        <w:spacing w:after="160" w:before="400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30"/>
          <w:szCs w:val="30"/>
        </w:rPr>
        <w:t xml:space="preserve">Part A — Setup Verification (5 min)</w:t>
      </w:r>
    </w:p>
    <w:p>
      <w:pPr>
        <w:spacing w:after="16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With the pre-lab installation complete, this part requires only a few minutes.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A1.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Connect the board with the USB-C cable.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A2.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In the Arduino IDE, select </w:t>
      </w:r>
      <w:r>
        <w:rPr>
          <w:rFonts w:ascii="Arial" w:cs="Arial" w:eastAsia="Arial" w:hAnsi="Arial"/>
          <w:b w:val="false"/>
          <w:bCs w:val="false"/>
          <w:i/>
          <w:iCs/>
          <w:color w:val="78716C"/>
          <w:sz w:val="21"/>
          <w:szCs w:val="21"/>
        </w:rPr>
        <w:t xml:space="preserve">Tools → Board → ESP32_mannual → ESP32P4 Dev Module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, and enter the board settings provided by the instructor (leave the Port unset at this stage).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A3.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Open the provided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camera-stream sample sketch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, select the Port, and click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Upload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A4.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Open the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Serial Monitor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. A continuous stream of garbled characters is the binary camera data; it indicates a successful upload.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A5.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Close the Serial Monitor.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The Serial Monitor occupies the port that the TFLiteTraining application requires. (A "port busy" error in the application later in the session is caused by leaving it open.)</w:t>
      </w:r>
    </w:p>
    <w:p>
      <w:pPr>
        <w:pBdr>
          <w:top w:val="single" w:color="D8D9D8" w:sz="4" w:space="8"/>
        </w:pBdr>
        <w:spacing w:after="160" w:before="400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30"/>
          <w:szCs w:val="30"/>
        </w:rPr>
        <w:t xml:space="preserve">Part B — Create the Project (3 min)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B1.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Open the TFLiteTraining application →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Open Project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→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C1C"/>
          <w:sz w:val="19"/>
          <w:szCs w:val="19"/>
          <w:shd w:fill="EFEFEA" w:val="clear"/>
        </w:rPr>
        <w:t xml:space="preserve">template.tmproj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B2.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Save an independent copy immediately: top-left menu →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Save Project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→ name it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C1C"/>
          <w:sz w:val="19"/>
          <w:szCs w:val="19"/>
          <w:shd w:fill="EFEFEA" w:val="clear"/>
        </w:rPr>
        <w:t xml:space="preserve">digits.tmproj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. Save the project at regular intervals from this point onward.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B3.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Note the three areas of the workspace: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Sample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(left),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Train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(right),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Preview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(bottom).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3467100"/>
            <wp:effectExtent t="0" r="0" b="0" l="0"/>
            <wp:docPr id="1" name="The TFLiteTraining workspace" descr="The TFLiteTraining workspace" title="The TFLiteTraining workspa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78716C"/>
          <w:sz w:val="17"/>
          <w:szCs w:val="17"/>
        </w:rPr>
        <w:t xml:space="preserve">The three areas of the workspace</w:t>
      </w:r>
    </w:p>
    <w:p>
      <w:pPr>
        <w:pBdr>
          <w:top w:val="single" w:color="D8D9D8" w:sz="4" w:space="8"/>
        </w:pBdr>
        <w:spacing w:after="160" w:before="400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30"/>
          <w:szCs w:val="30"/>
        </w:rPr>
        <w:t xml:space="preserve">Part C — Collect the Data (20 min)</w:t>
      </w:r>
    </w:p>
    <w:p>
      <w:pPr>
        <w:spacing w:after="16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The dataset is the single largest factor in the quality of the final model. Follow this procedure.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C1. Prepare the paper digits.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Use the provided thick marker and blank paper. Write each digit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large and bold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(about 8–10 cm tall), one digit per sheet; the sheets are held up to the camera.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C2. Connect the camera.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In the Sample Area click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Device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, select the board's port, and open the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Gear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settings. Keep the defaults unchanged: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96×96 · Grayscale · 115200 · sync header AA 55 AA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. These values match the flashed sample code.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3467100"/>
            <wp:effectExtent t="0" r="0" b="0" l="0"/>
            <wp:docPr id="1" name="Capturing samples" descr="Capturing samples" title="Capturing samp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78716C"/>
          <w:sz w:val="17"/>
          <w:szCs w:val="17"/>
        </w:rPr>
        <w:t xml:space="preserve">Capture / Hold-to-Capture and the Gear settings — the defaults remain as shown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C3. Create the classes.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Create one class per digit: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C1C"/>
          <w:sz w:val="19"/>
          <w:szCs w:val="19"/>
          <w:shd w:fill="EFEFEA" w:val="clear"/>
        </w:rPr>
        <w:t xml:space="preserve">0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C1C"/>
          <w:sz w:val="19"/>
          <w:szCs w:val="19"/>
          <w:shd w:fill="EFEFEA" w:val="clear"/>
        </w:rPr>
        <w:t xml:space="preserve">1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, …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C1C"/>
          <w:sz w:val="19"/>
          <w:szCs w:val="19"/>
          <w:shd w:fill="EFEFEA" w:val="clear"/>
        </w:rPr>
        <w:t xml:space="preserve">9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. If time is limited, begin with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C1C"/>
          <w:sz w:val="19"/>
          <w:szCs w:val="19"/>
          <w:shd w:fill="EFEFEA" w:val="clear"/>
        </w:rPr>
        <w:t xml:space="preserve">1, 2, 3, 7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(see Part D) and add the remaining classes once the first version works — four reliable classes produce better results than ten unreliable ones.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C4. Capture with variety.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For each class, capture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30–50 samples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using </w:t>
      </w:r>
      <w:r>
        <w:rPr>
          <w:rFonts w:ascii="Arial" w:cs="Arial" w:eastAsia="Arial" w:hAnsi="Arial"/>
          <w:b w:val="false"/>
          <w:bCs w:val="false"/>
          <w:i/>
          <w:iCs/>
          <w:color w:val="78716C"/>
          <w:sz w:val="21"/>
          <w:szCs w:val="21"/>
        </w:rPr>
        <w:t xml:space="preserve">Capture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(single image) or </w:t>
      </w:r>
      <w:r>
        <w:rPr>
          <w:rFonts w:ascii="Arial" w:cs="Arial" w:eastAsia="Arial" w:hAnsi="Arial"/>
          <w:b w:val="false"/>
          <w:bCs w:val="false"/>
          <w:i/>
          <w:iCs/>
          <w:color w:val="78716C"/>
          <w:sz w:val="21"/>
          <w:szCs w:val="21"/>
        </w:rPr>
        <w:t xml:space="preserve">Hold to Capture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(continuous). While capturing, vary the following between groups of shots: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Distance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— near, middle, far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Angle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— straight on, tilted left and right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Position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— centre and edges of the frame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Lighting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— orient toward different light sources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Rotation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— digits slightly rotated, as a driver would see them</w:t>
      </w:r>
    </w:p>
    <w:p>
      <w:pPr>
        <w:spacing w:after="16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Keep the sample counts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approximately equal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across classes. An unbalanced dataset biases the model toward the largest class.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C5. Remove poor samples.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Hover over any blurry or accidental capture and click to delete it. Poor-quality samples degrade the trained model.</w:t>
      </w:r>
    </w:p>
    <w:p>
      <w:pPr>
        <w:pBdr>
          <w:left w:val="single" w:color="1A1C1C" w:sz="12" w:space="12"/>
        </w:pBdr>
        <w:spacing w:after="200" w:line="276"/>
        <w:ind w:left="240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Why capture with Device rather than the laptop webcam?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The model will run behind the board's camera. Training on images from that same camera — the same lens, the same angle, the same lighting — gives the model the best conditions to succeed. This principle is known as </w:t>
      </w:r>
      <w:r>
        <w:rPr>
          <w:rFonts w:ascii="Arial" w:cs="Arial" w:eastAsia="Arial" w:hAnsi="Arial"/>
          <w:b w:val="false"/>
          <w:bCs w:val="false"/>
          <w:i/>
          <w:iCs/>
          <w:color w:val="78716C"/>
          <w:sz w:val="21"/>
          <w:szCs w:val="21"/>
        </w:rPr>
        <w:t xml:space="preserve">matching the deployment domain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.</w:t>
      </w:r>
    </w:p>
    <w:p>
      <w:pPr>
        <w:pBdr>
          <w:top w:val="single" w:color="D8D9D8" w:sz="4" w:space="8"/>
        </w:pBdr>
        <w:spacing w:after="160" w:before="400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30"/>
          <w:szCs w:val="30"/>
        </w:rPr>
        <w:t xml:space="preserve">Part D — Preprocess (10 min)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D1.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Click the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Edit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icon to enter the image-processing page. The left side is the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Image Viewer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(original and processed images); the right side is the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Sample Worktable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.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3467100"/>
            <wp:effectExtent t="0" r="0" b="0" l="0"/>
            <wp:docPr id="1" name="The image processing page" descr="The image processing page" title="The image processing p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78716C"/>
          <w:sz w:val="17"/>
          <w:szCs w:val="17"/>
        </w:rPr>
        <w:t xml:space="preserve">Edit page — Image Viewer with ROI, and the Sample Worktable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D2. Choose a mode: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Auto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(F1) — the application finds and crops the darkest region automatically. Use it when the digit is the darkest object in the frame.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Manual ROI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(F2) — the crop region is positioned manually (Shift + arrow keys move it). Use it when Auto selects shadows or the holding hand instead of the digit.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D3. Set the thresholds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(they apply to the whole class):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Dark Thr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— pixels darker than this value become pure white; this removes dark shadows, sleeves, and background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Lum Thr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— pixels brighter than this value become pure white; this removes overexposed highlights</w:t>
      </w:r>
    </w:p>
    <w:p>
      <w:pPr>
        <w:spacing w:after="16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The target result: in the processed preview, the digit is black and almost everything else is white. Keep the thresholds moderate — if the digit itself begins to disappear, the thresholds are too aggressive.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D4.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Move between samples with the arrow keys. Inspect several samples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of every class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and adjust the settings per class as needed.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D5. Press S to save.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Unsaved preprocessing is discarded on exit; failure to save is the most common cause of lost work in this project.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D6.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All processed images are resized automatically to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C1C"/>
          <w:sz w:val="19"/>
          <w:szCs w:val="19"/>
          <w:shd w:fill="EFEFEA" w:val="clear"/>
        </w:rPr>
        <w:t xml:space="preserve">image size × image size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(default 96) before training. This is expected behaviour.</w:t>
      </w:r>
    </w:p>
    <w:p>
      <w:pPr>
        <w:pBdr>
          <w:top w:val="single" w:color="D8D9D8" w:sz="4" w:space="8"/>
        </w:pBdr>
        <w:spacing w:after="160" w:before="400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30"/>
          <w:szCs w:val="30"/>
        </w:rPr>
        <w:t xml:space="preserve">Part E — Train (5 min)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E1.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In the Train Area, click the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Advanced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icon. Begin with the default configuration: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16"/>
        <w:gridCol w:w="3610"/>
      </w:tblGrid>
      <w:tr>
        <w:trPr>
          <w:tblHeader/>
        </w:trPr>
        <w:tc>
          <w:tcPr>
            <w:tcW w:type="dxa" w:w="5416"/>
            <w:tcBorders>
              <w:top w:val="single" w:color="1A1C1C" w:sz="8"/>
              <w:left w:val="none" w:color="FFFFFF" w:sz="0"/>
              <w:bottom w:val="single" w:color="D8D9D8" w:sz="4"/>
              <w:right w:val="none" w:color="FFFFFF" w:sz="0"/>
            </w:tcBorders>
            <w:shd w:fill="FFFFFF" w:val="clear"/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8716C"/>
                <w:sz w:val="16"/>
                <w:szCs w:val="16"/>
              </w:rPr>
              <w:t xml:space="preserve">Parameter</w:t>
            </w:r>
          </w:p>
        </w:tc>
        <w:tc>
          <w:tcPr>
            <w:tcW w:type="dxa" w:w="3610"/>
            <w:tcBorders>
              <w:top w:val="single" w:color="1A1C1C" w:sz="8"/>
              <w:left w:val="none" w:color="FFFFFF" w:sz="0"/>
              <w:bottom w:val="single" w:color="D8D9D8" w:sz="4"/>
              <w:right w:val="none" w:color="FFFFFF" w:sz="0"/>
            </w:tcBorders>
            <w:shd w:fill="FFFFFF" w:val="clear"/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8716C"/>
                <w:sz w:val="16"/>
                <w:szCs w:val="16"/>
              </w:rPr>
              <w:t xml:space="preserve">Starting value</w:t>
            </w:r>
          </w:p>
        </w:tc>
      </w:tr>
      <w:tr>
        <w:tc>
          <w:tcPr>
            <w:tcW w:type="dxa" w:w="5416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Image size</w:t>
            </w:r>
          </w:p>
        </w:tc>
        <w:tc>
          <w:tcPr>
            <w:tcW w:type="dxa" w:w="3610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96</w:t>
            </w:r>
          </w:p>
        </w:tc>
      </w:tr>
      <w:tr>
        <w:tc>
          <w:tcPr>
            <w:tcW w:type="dxa" w:w="5416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Color mode</w:t>
            </w:r>
          </w:p>
        </w:tc>
        <w:tc>
          <w:tcPr>
            <w:tcW w:type="dxa" w:w="3610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grayscale</w:t>
            </w:r>
          </w:p>
        </w:tc>
      </w:tr>
      <w:tr>
        <w:tc>
          <w:tcPr>
            <w:tcW w:type="dxa" w:w="5416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Batch size</w:t>
            </w:r>
          </w:p>
        </w:tc>
        <w:tc>
          <w:tcPr>
            <w:tcW w:type="dxa" w:w="3610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16</w:t>
            </w:r>
          </w:p>
        </w:tc>
      </w:tr>
      <w:tr>
        <w:tc>
          <w:tcPr>
            <w:tcW w:type="dxa" w:w="5416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Epochs</w:t>
            </w:r>
          </w:p>
        </w:tc>
        <w:tc>
          <w:tcPr>
            <w:tcW w:type="dxa" w:w="3610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5416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Validation split</w:t>
            </w:r>
          </w:p>
        </w:tc>
        <w:tc>
          <w:tcPr>
            <w:tcW w:type="dxa" w:w="3610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0.25</w:t>
            </w:r>
          </w:p>
        </w:tc>
      </w:tr>
      <w:tr>
        <w:tc>
          <w:tcPr>
            <w:tcW w:type="dxa" w:w="5416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Learning rate</w:t>
            </w:r>
          </w:p>
        </w:tc>
        <w:tc>
          <w:tcPr>
            <w:tcW w:type="dxa" w:w="3610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0.001</w:t>
            </w:r>
          </w:p>
        </w:tc>
      </w:tr>
      <w:tr>
        <w:tc>
          <w:tcPr>
            <w:tcW w:type="dxa" w:w="5416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Conv1 / Conv2 filters</w:t>
            </w:r>
          </w:p>
        </w:tc>
        <w:tc>
          <w:tcPr>
            <w:tcW w:type="dxa" w:w="3610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8 / 16</w:t>
            </w:r>
          </w:p>
        </w:tc>
      </w:tr>
      <w:tr>
        <w:tc>
          <w:tcPr>
            <w:tcW w:type="dxa" w:w="5416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Dense units</w:t>
            </w:r>
          </w:p>
        </w:tc>
        <w:tc>
          <w:tcPr>
            <w:tcW w:type="dxa" w:w="3610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32</w:t>
            </w:r>
          </w:p>
        </w:tc>
      </w:tr>
    </w:tbl>
    <w:p>
      <w:pPr>
        <w:spacing w:after="120"/>
      </w:pP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E2.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Click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Train Embedded Model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and wait for training to complete.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3467100"/>
            <wp:effectExtent t="0" r="0" b="0" l="0"/>
            <wp:docPr id="1" name="The training panel" descr="The training panel" title="The training pan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78716C"/>
          <w:sz w:val="17"/>
          <w:szCs w:val="17"/>
        </w:rPr>
        <w:t xml:space="preserve">Advanced panel — set the hyperparameters, then Train Embedded Model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E3.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Read the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validation accuracy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. For 4–10 digit classes, a first run at or above 90% is a sound result. A result of 60–70% indicates that the data — not the hyperparameters — is the limiting factor: return to C4 (more variety) or D3 (cleaner preprocessing).</w:t>
      </w:r>
    </w:p>
    <w:p>
      <w:pPr>
        <w:pBdr>
          <w:top w:val="single" w:color="D8D9D8" w:sz="4" w:space="8"/>
        </w:pBdr>
        <w:spacing w:after="160" w:before="400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30"/>
          <w:szCs w:val="30"/>
        </w:rPr>
        <w:t xml:space="preserve">Part F — Test on Unseen Data (10 min)</w:t>
      </w:r>
    </w:p>
    <w:p>
      <w:pPr>
        <w:spacing w:after="16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This step determines whether the model has learned the concept or has memorized the training set.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F1.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In the Preview Area, click the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Gear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→ source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Device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+ the board's port.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F2.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Toggle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Input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and present a digit written by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another team member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(not part of the training set).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F3.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Read the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confidence bar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(toggle </w:t>
      </w:r>
      <w:r>
        <w:rPr>
          <w:rFonts w:ascii="Arial" w:cs="Arial" w:eastAsia="Arial" w:hAnsi="Arial"/>
          <w:b w:val="false"/>
          <w:bCs w:val="false"/>
          <w:i/>
          <w:iCs/>
          <w:color w:val="78716C"/>
          <w:sz w:val="21"/>
          <w:szCs w:val="21"/>
        </w:rPr>
        <w:t xml:space="preserve">show %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). The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ROI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display shows exactly what the model receives.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3467100"/>
            <wp:effectExtent t="0" r="0" b="0" l="0"/>
            <wp:docPr id="1" name="Live interpretation view" descr="Live interpretation view" title="Live interpretation 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78716C"/>
          <w:sz w:val="17"/>
          <w:szCs w:val="17"/>
        </w:rPr>
        <w:t xml:space="preserve">Interpretation view — live image, ROI, and the confidence bar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F4.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Common confusions and their remedies: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6"/>
        <w:gridCol w:w="2436"/>
        <w:gridCol w:w="4155"/>
      </w:tblGrid>
      <w:tr>
        <w:trPr>
          <w:tblHeader/>
        </w:trPr>
        <w:tc>
          <w:tcPr>
            <w:tcW w:type="dxa" w:w="2436"/>
            <w:tcBorders>
              <w:top w:val="single" w:color="1A1C1C" w:sz="8"/>
              <w:left w:val="none" w:color="FFFFFF" w:sz="0"/>
              <w:bottom w:val="single" w:color="D8D9D8" w:sz="4"/>
              <w:right w:val="none" w:color="FFFFFF" w:sz="0"/>
            </w:tcBorders>
            <w:shd w:fill="FFFFFF" w:val="clear"/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8716C"/>
                <w:sz w:val="16"/>
                <w:szCs w:val="16"/>
              </w:rPr>
              <w:t xml:space="preserve">Confusion</w:t>
            </w:r>
          </w:p>
        </w:tc>
        <w:tc>
          <w:tcPr>
            <w:tcW w:type="dxa" w:w="2436"/>
            <w:tcBorders>
              <w:top w:val="single" w:color="1A1C1C" w:sz="8"/>
              <w:left w:val="none" w:color="FFFFFF" w:sz="0"/>
              <w:bottom w:val="single" w:color="D8D9D8" w:sz="4"/>
              <w:right w:val="none" w:color="FFFFFF" w:sz="0"/>
            </w:tcBorders>
            <w:shd w:fill="FFFFFF" w:val="clear"/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8716C"/>
                <w:sz w:val="16"/>
                <w:szCs w:val="16"/>
              </w:rPr>
              <w:t xml:space="preserve">Usual cause</w:t>
            </w:r>
          </w:p>
        </w:tc>
        <w:tc>
          <w:tcPr>
            <w:tcW w:type="dxa" w:w="4155"/>
            <w:tcBorders>
              <w:top w:val="single" w:color="1A1C1C" w:sz="8"/>
              <w:left w:val="none" w:color="FFFFFF" w:sz="0"/>
              <w:bottom w:val="single" w:color="D8D9D8" w:sz="4"/>
              <w:right w:val="none" w:color="FFFFFF" w:sz="0"/>
            </w:tcBorders>
            <w:shd w:fill="FFFFFF" w:val="clear"/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8716C"/>
                <w:sz w:val="16"/>
                <w:szCs w:val="16"/>
              </w:rPr>
              <w:t xml:space="preserve">Remedy</w:t>
            </w:r>
          </w:p>
        </w:tc>
      </w:tr>
      <w:tr>
        <w:tc>
          <w:tcPr>
            <w:tcW w:type="dxa" w:w="2436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1 ↔ 7</w:t>
            </w:r>
          </w:p>
        </w:tc>
        <w:tc>
          <w:tcPr>
            <w:tcW w:type="dxa" w:w="2436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thin strokes, similar shapes</w:t>
            </w:r>
          </w:p>
        </w:tc>
        <w:tc>
          <w:tcPr>
            <w:tcW w:type="dxa" w:w="4155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more samples; thicker marker; larger ROI</w:t>
            </w:r>
          </w:p>
        </w:tc>
      </w:tr>
      <w:tr>
        <w:tc>
          <w:tcPr>
            <w:tcW w:type="dxa" w:w="2436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3 ↔ 8, 9 ↔ 8</w:t>
            </w:r>
          </w:p>
        </w:tc>
        <w:tc>
          <w:tcPr>
            <w:tcW w:type="dxa" w:w="2436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loops closing up in gray</w:t>
            </w:r>
          </w:p>
        </w:tc>
        <w:tc>
          <w:tcPr>
            <w:tcW w:type="dxa" w:w="4155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raise Dark Thr so faint loops vanish; add lighting variety</w:t>
            </w:r>
          </w:p>
        </w:tc>
      </w:tr>
      <w:tr>
        <w:tc>
          <w:tcPr>
            <w:tcW w:type="dxa" w:w="2436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4 ↔ 9</w:t>
            </w:r>
          </w:p>
        </w:tc>
        <w:tc>
          <w:tcPr>
            <w:tcW w:type="dxa" w:w="2436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open vs. closed top</w:t>
            </w:r>
          </w:p>
        </w:tc>
        <w:tc>
          <w:tcPr>
            <w:tcW w:type="dxa" w:w="4155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more rotated variants of both digits</w:t>
            </w:r>
          </w:p>
        </w:tc>
      </w:tr>
      <w:tr>
        <w:tc>
          <w:tcPr>
            <w:tcW w:type="dxa" w:w="2436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everything → one class</w:t>
            </w:r>
          </w:p>
        </w:tc>
        <w:tc>
          <w:tcPr>
            <w:tcW w:type="dxa" w:w="2436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unbalanced dataset</w:t>
            </w:r>
          </w:p>
        </w:tc>
        <w:tc>
          <w:tcPr>
            <w:tcW w:type="dxa" w:w="4155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equalize the sample counts (C4)</w:t>
            </w:r>
          </w:p>
        </w:tc>
      </w:tr>
      <w:tr>
        <w:tc>
          <w:tcPr>
            <w:tcW w:type="dxa" w:w="2436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strong on training data, weak live</w:t>
            </w:r>
          </w:p>
        </w:tc>
        <w:tc>
          <w:tcPr>
            <w:tcW w:type="dxa" w:w="2436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overfitting / insufficient variety</w:t>
            </w:r>
          </w:p>
        </w:tc>
        <w:tc>
          <w:tcPr>
            <w:tcW w:type="dxa" w:w="4155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more varied samples; sometimes fewer epochs</w:t>
            </w:r>
          </w:p>
        </w:tc>
      </w:tr>
    </w:tbl>
    <w:p>
      <w:pPr>
        <w:spacing w:after="120"/>
      </w:pP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F5.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After each remedy, retrain (E2) and retest. Two or three iterations are a normal part of the process.</w:t>
      </w:r>
    </w:p>
    <w:p>
      <w:pPr>
        <w:pBdr>
          <w:top w:val="single" w:color="D8D9D8" w:sz="4" w:space="8"/>
        </w:pBdr>
        <w:spacing w:after="160" w:before="400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30"/>
          <w:szCs w:val="30"/>
        </w:rPr>
        <w:t xml:space="preserve">Part G — Export and Deploy (10 min)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G1.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Click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Export model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and select a folder that is easy to locate. Then menu →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Save Project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G2.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From the export folder, copy these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five files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into the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C1C"/>
          <w:sz w:val="19"/>
          <w:szCs w:val="19"/>
          <w:shd w:fill="EFEFEA" w:val="clear"/>
        </w:rPr>
        <w:t xml:space="preserve">TFLite.ino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project folder, replacing the existing versions: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1971675"/>
            <wp:effectExtent t="0" r="0" b="0" l="0"/>
            <wp:docPr id="1" name="The five exported files" descr="The five exported files" title="The five exported fi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78716C"/>
          <w:sz w:val="17"/>
          <w:szCs w:val="17"/>
        </w:rPr>
        <w:t xml:space="preserve">The five export files, ready to be copied into the project folder</w:t>
      </w:r>
    </w:p>
    <w:p>
      <w:pPr>
        <w:pBdr>
          <w:top w:val="single" w:color="D8D9D8" w:sz="4"/>
          <w:left w:val="single" w:color="D8D9D8" w:sz="4"/>
          <w:right w:val="single" w:color="D8D9D8" w:sz="4"/>
        </w:pBdr>
        <w:shd w:fill="F7F7F5" w:val="clear"/>
        <w:spacing w:after="0" w:line="240"/>
      </w:pPr>
      <w:r>
        <w:rPr>
          <w:rFonts w:ascii="Consolas" w:cs="Consolas" w:eastAsia="Consolas" w:hAnsi="Consolas"/>
          <w:color w:val="1A1C1C"/>
          <w:sz w:val="18"/>
          <w:szCs w:val="18"/>
        </w:rPr>
        <w:t xml:space="preserve">tm_model_data.cpp     // the quantized model</w:t>
      </w:r>
    </w:p>
    <w:p>
      <w:pPr>
        <w:pBdr>
          <w:left w:val="single" w:color="D8D9D8" w:sz="4"/>
          <w:right w:val="single" w:color="D8D9D8" w:sz="4"/>
        </w:pBdr>
        <w:shd w:fill="F7F7F5" w:val="clear"/>
        <w:spacing w:after="0" w:line="240"/>
      </w:pPr>
      <w:r>
        <w:rPr>
          <w:rFonts w:ascii="Consolas" w:cs="Consolas" w:eastAsia="Consolas" w:hAnsi="Consolas"/>
          <w:color w:val="1A1C1C"/>
          <w:sz w:val="18"/>
          <w:szCs w:val="18"/>
        </w:rPr>
        <w:t xml:space="preserve">tm_model_data.h</w:t>
      </w:r>
    </w:p>
    <w:p>
      <w:pPr>
        <w:pBdr>
          <w:left w:val="single" w:color="D8D9D8" w:sz="4"/>
          <w:right w:val="single" w:color="D8D9D8" w:sz="4"/>
        </w:pBdr>
        <w:shd w:fill="F7F7F5" w:val="clear"/>
        <w:spacing w:after="0" w:line="240"/>
      </w:pPr>
      <w:r>
        <w:rPr>
          <w:rFonts w:ascii="Consolas" w:cs="Consolas" w:eastAsia="Consolas" w:hAnsi="Consolas"/>
          <w:color w:val="1A1C1C"/>
          <w:sz w:val="18"/>
          <w:szCs w:val="18"/>
        </w:rPr>
        <w:t xml:space="preserve">model_resolver.h</w:t>
      </w:r>
    </w:p>
    <w:p>
      <w:pPr>
        <w:pBdr>
          <w:left w:val="single" w:color="D8D9D8" w:sz="4"/>
          <w:right w:val="single" w:color="D8D9D8" w:sz="4"/>
        </w:pBdr>
        <w:shd w:fill="F7F7F5" w:val="clear"/>
        <w:spacing w:after="0" w:line="240"/>
      </w:pPr>
      <w:r>
        <w:rPr>
          <w:rFonts w:ascii="Consolas" w:cs="Consolas" w:eastAsia="Consolas" w:hAnsi="Consolas"/>
          <w:color w:val="1A1C1C"/>
          <w:sz w:val="18"/>
          <w:szCs w:val="18"/>
        </w:rPr>
        <w:t xml:space="preserve">model_settings.cpp</w:t>
      </w:r>
    </w:p>
    <w:p>
      <w:pPr>
        <w:pBdr>
          <w:bottom w:val="single" w:color="D8D9D8" w:sz="4"/>
          <w:left w:val="single" w:color="D8D9D8" w:sz="4"/>
          <w:right w:val="single" w:color="D8D9D8" w:sz="4"/>
        </w:pBdr>
        <w:shd w:fill="F7F7F5" w:val="clear"/>
        <w:spacing w:after="200" w:line="240"/>
      </w:pPr>
      <w:r>
        <w:rPr>
          <w:rFonts w:ascii="Consolas" w:cs="Consolas" w:eastAsia="Consolas" w:hAnsi="Consolas"/>
          <w:color w:val="1A1C1C"/>
          <w:sz w:val="18"/>
          <w:szCs w:val="18"/>
        </w:rPr>
        <w:t xml:space="preserve">model_settings.h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G3.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Open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C1C"/>
          <w:sz w:val="19"/>
          <w:szCs w:val="19"/>
          <w:shd w:fill="EFEFEA" w:val="clear"/>
        </w:rPr>
        <w:t xml:space="preserve">TFLite.ino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and confirm that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`IMG_SIZE` equals the image size used in training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(default 96). A mismatch supplies wrongly sized images to the model and produces meaningless predictions.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G4.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Upload to the board, open the Serial Monitor, and present a digit: the model now classifies the live camera stream on the board itself.</w:t>
      </w:r>
    </w:p>
    <w:p>
      <w:pPr>
        <w:pBdr>
          <w:top w:val="single" w:color="D8D9D8" w:sz="4" w:space="8"/>
        </w:pBdr>
        <w:spacing w:after="160" w:before="400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30"/>
          <w:szCs w:val="30"/>
        </w:rPr>
        <w:t xml:space="preserve">Part H — Final Evaluation (10 min)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H1.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Ask another team (or the instructor) to write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10 test digits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that have never been shown to the model.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H2.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Present each digit to the board and record the results: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1"/>
        <w:gridCol w:w="2201"/>
        <w:gridCol w:w="1981"/>
        <w:gridCol w:w="2201"/>
        <w:gridCol w:w="1761"/>
      </w:tblGrid>
      <w:tr>
        <w:trPr>
          <w:tblHeader/>
        </w:trPr>
        <w:tc>
          <w:tcPr>
            <w:tcW w:type="dxa" w:w="881"/>
            <w:tcBorders>
              <w:top w:val="single" w:color="1A1C1C" w:sz="8"/>
              <w:left w:val="none" w:color="FFFFFF" w:sz="0"/>
              <w:bottom w:val="single" w:color="D8D9D8" w:sz="4"/>
              <w:right w:val="none" w:color="FFFFFF" w:sz="0"/>
            </w:tcBorders>
            <w:shd w:fill="FFFFFF" w:val="clear"/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8716C"/>
                <w:sz w:val="16"/>
                <w:szCs w:val="16"/>
              </w:rPr>
              <w:t xml:space="preserve">#</w:t>
            </w:r>
          </w:p>
        </w:tc>
        <w:tc>
          <w:tcPr>
            <w:tcW w:type="dxa" w:w="2201"/>
            <w:tcBorders>
              <w:top w:val="single" w:color="1A1C1C" w:sz="8"/>
              <w:left w:val="none" w:color="FFFFFF" w:sz="0"/>
              <w:bottom w:val="single" w:color="D8D9D8" w:sz="4"/>
              <w:right w:val="none" w:color="FFFFFF" w:sz="0"/>
            </w:tcBorders>
            <w:shd w:fill="FFFFFF" w:val="clear"/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8716C"/>
                <w:sz w:val="16"/>
                <w:szCs w:val="16"/>
              </w:rPr>
              <w:t xml:space="preserve">True digit</w:t>
            </w:r>
          </w:p>
        </w:tc>
        <w:tc>
          <w:tcPr>
            <w:tcW w:type="dxa" w:w="1981"/>
            <w:tcBorders>
              <w:top w:val="single" w:color="1A1C1C" w:sz="8"/>
              <w:left w:val="none" w:color="FFFFFF" w:sz="0"/>
              <w:bottom w:val="single" w:color="D8D9D8" w:sz="4"/>
              <w:right w:val="none" w:color="FFFFFF" w:sz="0"/>
            </w:tcBorders>
            <w:shd w:fill="FFFFFF" w:val="clear"/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8716C"/>
                <w:sz w:val="16"/>
                <w:szCs w:val="16"/>
              </w:rPr>
              <w:t xml:space="preserve">Predicted</w:t>
            </w:r>
          </w:p>
        </w:tc>
        <w:tc>
          <w:tcPr>
            <w:tcW w:type="dxa" w:w="2201"/>
            <w:tcBorders>
              <w:top w:val="single" w:color="1A1C1C" w:sz="8"/>
              <w:left w:val="none" w:color="FFFFFF" w:sz="0"/>
              <w:bottom w:val="single" w:color="D8D9D8" w:sz="4"/>
              <w:right w:val="none" w:color="FFFFFF" w:sz="0"/>
            </w:tcBorders>
            <w:shd w:fill="FFFFFF" w:val="clear"/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8716C"/>
                <w:sz w:val="16"/>
                <w:szCs w:val="16"/>
              </w:rPr>
              <w:t xml:space="preserve">Confidence</w:t>
            </w:r>
          </w:p>
        </w:tc>
        <w:tc>
          <w:tcPr>
            <w:tcW w:type="dxa" w:w="1761"/>
            <w:tcBorders>
              <w:top w:val="single" w:color="1A1C1C" w:sz="8"/>
              <w:left w:val="none" w:color="FFFFFF" w:sz="0"/>
              <w:bottom w:val="single" w:color="D8D9D8" w:sz="4"/>
              <w:right w:val="none" w:color="FFFFFF" w:sz="0"/>
            </w:tcBorders>
            <w:shd w:fill="FFFFFF" w:val="clear"/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8716C"/>
                <w:sz w:val="16"/>
                <w:szCs w:val="16"/>
              </w:rPr>
              <w:t xml:space="preserve">Correct?</w:t>
            </w:r>
          </w:p>
        </w:tc>
      </w:tr>
      <w:tr>
        <w:tc>
          <w:tcPr>
            <w:tcW w:type="dxa" w:w="88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1</w:t>
            </w:r>
          </w:p>
        </w:tc>
        <w:tc>
          <w:tcPr>
            <w:tcW w:type="dxa" w:w="220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</w:p>
        </w:tc>
        <w:tc>
          <w:tcPr>
            <w:tcW w:type="dxa" w:w="198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</w:p>
        </w:tc>
        <w:tc>
          <w:tcPr>
            <w:tcW w:type="dxa" w:w="220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</w:p>
        </w:tc>
        <w:tc>
          <w:tcPr>
            <w:tcW w:type="dxa" w:w="176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</w:p>
        </w:tc>
      </w:tr>
      <w:tr>
        <w:tc>
          <w:tcPr>
            <w:tcW w:type="dxa" w:w="88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2</w:t>
            </w:r>
          </w:p>
        </w:tc>
        <w:tc>
          <w:tcPr>
            <w:tcW w:type="dxa" w:w="220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</w:p>
        </w:tc>
        <w:tc>
          <w:tcPr>
            <w:tcW w:type="dxa" w:w="198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</w:p>
        </w:tc>
        <w:tc>
          <w:tcPr>
            <w:tcW w:type="dxa" w:w="220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</w:p>
        </w:tc>
        <w:tc>
          <w:tcPr>
            <w:tcW w:type="dxa" w:w="176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</w:p>
        </w:tc>
      </w:tr>
      <w:tr>
        <w:tc>
          <w:tcPr>
            <w:tcW w:type="dxa" w:w="88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…</w:t>
            </w:r>
          </w:p>
        </w:tc>
        <w:tc>
          <w:tcPr>
            <w:tcW w:type="dxa" w:w="220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</w:p>
        </w:tc>
        <w:tc>
          <w:tcPr>
            <w:tcW w:type="dxa" w:w="198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</w:p>
        </w:tc>
        <w:tc>
          <w:tcPr>
            <w:tcW w:type="dxa" w:w="220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</w:p>
        </w:tc>
        <w:tc>
          <w:tcPr>
            <w:tcW w:type="dxa" w:w="176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</w:p>
        </w:tc>
      </w:tr>
      <w:tr>
        <w:tc>
          <w:tcPr>
            <w:tcW w:type="dxa" w:w="88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10</w:t>
            </w:r>
          </w:p>
        </w:tc>
        <w:tc>
          <w:tcPr>
            <w:tcW w:type="dxa" w:w="220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</w:p>
        </w:tc>
        <w:tc>
          <w:tcPr>
            <w:tcW w:type="dxa" w:w="198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</w:p>
        </w:tc>
        <w:tc>
          <w:tcPr>
            <w:tcW w:type="dxa" w:w="220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</w:p>
        </w:tc>
        <w:tc>
          <w:tcPr>
            <w:tcW w:type="dxa" w:w="176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</w:p>
        </w:tc>
      </w:tr>
    </w:tbl>
    <w:p>
      <w:pPr>
        <w:spacing w:after="120"/>
      </w:pP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H3.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A result of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≥ 8/10 correct completes the project.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Present the results table and the live demonstration to the instructor.</w:t>
      </w:r>
    </w:p>
    <w:p>
      <w:pPr>
        <w:pBdr>
          <w:top w:val="single" w:color="D8D9D8" w:sz="4" w:space="8"/>
        </w:pBdr>
        <w:spacing w:after="160" w:before="400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30"/>
          <w:szCs w:val="30"/>
        </w:rPr>
        <w:t xml:space="preserve">Part I — Extensions (if time remains)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Sample efficiency: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delete samples until accuracy degrades — what is the minimum number of samples per class that still yields a working model?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Speed versus size: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set Conv1/Conv2/Dense to their maximum values and retrain; compare the inference rate on the serial output against the 4/8/16 configuration.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New handwriting: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have a member of another team add 10 samples of their handwriting to each class — does the model generalize better?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Failure boundaries: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present partial digits, distant digits, and digits at extreme angles, and document where the model begins to fail. This is its real-world operating boundary.</w:t>
      </w:r>
    </w:p>
    <w:p>
      <w:pPr>
        <w:pBdr>
          <w:top w:val="single" w:color="D8D9D8" w:sz="4" w:space="8"/>
        </w:pBdr>
        <w:spacing w:after="160" w:before="400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30"/>
          <w:szCs w:val="30"/>
        </w:rPr>
        <w:t xml:space="preserve">Troubleshooting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5"/>
        <w:gridCol w:w="5511"/>
      </w:tblGrid>
      <w:tr>
        <w:trPr>
          <w:tblHeader/>
        </w:trPr>
        <w:tc>
          <w:tcPr>
            <w:tcW w:type="dxa" w:w="3515"/>
            <w:tcBorders>
              <w:top w:val="single" w:color="1A1C1C" w:sz="8"/>
              <w:left w:val="none" w:color="FFFFFF" w:sz="0"/>
              <w:bottom w:val="single" w:color="D8D9D8" w:sz="4"/>
              <w:right w:val="none" w:color="FFFFFF" w:sz="0"/>
            </w:tcBorders>
            <w:shd w:fill="FFFFFF" w:val="clear"/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8716C"/>
                <w:sz w:val="16"/>
                <w:szCs w:val="16"/>
              </w:rPr>
              <w:t xml:space="preserve">Symptom</w:t>
            </w:r>
          </w:p>
        </w:tc>
        <w:tc>
          <w:tcPr>
            <w:tcW w:type="dxa" w:w="5511"/>
            <w:tcBorders>
              <w:top w:val="single" w:color="1A1C1C" w:sz="8"/>
              <w:left w:val="none" w:color="FFFFFF" w:sz="0"/>
              <w:bottom w:val="single" w:color="D8D9D8" w:sz="4"/>
              <w:right w:val="none" w:color="FFFFFF" w:sz="0"/>
            </w:tcBorders>
            <w:shd w:fill="FFFFFF" w:val="clear"/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8716C"/>
                <w:sz w:val="16"/>
                <w:szCs w:val="16"/>
              </w:rPr>
              <w:t xml:space="preserve">Remedy</w:t>
            </w:r>
          </w:p>
        </w:tc>
      </w:tr>
      <w:tr>
        <w:tc>
          <w:tcPr>
            <w:tcW w:type="dxa" w:w="3515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"Port busy" in the application</w:t>
            </w:r>
          </w:p>
        </w:tc>
        <w:tc>
          <w:tcPr>
            <w:tcW w:type="dxa" w:w="551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Close the Arduino Serial Monitor (A5)</w:t>
            </w:r>
          </w:p>
        </w:tc>
      </w:tr>
      <w:tr>
        <w:tc>
          <w:tcPr>
            <w:tcW w:type="dxa" w:w="3515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No port in the Device list</w:t>
            </w:r>
          </w:p>
        </w:tc>
        <w:tc>
          <w:tcPr>
            <w:tcW w:type="dxa" w:w="551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Replug USB; use a data cable; confirm the board is powered</w:t>
            </w:r>
          </w:p>
        </w:tc>
      </w:tr>
      <w:tr>
        <w:tc>
          <w:tcPr>
            <w:tcW w:type="dxa" w:w="3515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All predictions on one class, low confidence</w:t>
            </w:r>
          </w:p>
        </w:tc>
        <w:tc>
          <w:tcPr>
            <w:tcW w:type="dxa" w:w="551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Unbalanced or insufficient samples — see F4</w:t>
            </w:r>
          </w:p>
        </w:tc>
      </w:tr>
      <w:tr>
        <w:tc>
          <w:tcPr>
            <w:tcW w:type="dxa" w:w="3515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Export missing files</w:t>
            </w:r>
          </w:p>
        </w:tc>
        <w:tc>
          <w:tcPr>
            <w:tcW w:type="dxa" w:w="551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Re-export with the default settings; all five files generate together</w:t>
            </w:r>
          </w:p>
        </w:tc>
      </w:tr>
      <w:tr>
        <w:tc>
          <w:tcPr>
            <w:tcW w:type="dxa" w:w="3515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Upload fails in the IDE</w:t>
            </w:r>
          </w:p>
        </w:tc>
        <w:tc>
          <w:tcPr>
            <w:tcW w:type="dxa" w:w="551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Board settings mismatch — compare against the instructor's settings</w:t>
            </w:r>
          </w:p>
        </w:tc>
      </w:tr>
    </w:tbl>
    <w:p>
      <w:pPr>
        <w:spacing w:after="120"/>
      </w:pP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9D8" w:sz="4" w:space="6"/>
      </w:pBdr>
      <w:jc w:val="center"/>
    </w:pPr>
    <w:r>
      <w:rPr>
        <w:rFonts w:ascii="Arial" w:cs="Arial" w:eastAsia="Arial" w:hAnsi="Arial"/>
        <w:color w:val="78716C"/>
        <w:sz w:val="15"/>
        <w:szCs w:val="15"/>
      </w:rPr>
      <w:t xml:space="preserve">AIoScout · Edge AI Vision Workshop · Project Lab Manual  ·  </w:t>
    </w:r>
    <w:r>
      <w:rPr>
        <w:rFonts w:ascii="Arial" w:cs="Arial" w:eastAsia="Arial" w:hAnsi="Arial"/>
        <w:color w:val="78716C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F414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accba0b250a3fe947971ac6656619c05350c88b.png"/><Relationship Id="rId9" Type="http://schemas.openxmlformats.org/officeDocument/2006/relationships/image" Target="media/abbfd3fcb377950d5a49de5f9ef178adcfb15357.png"/><Relationship Id="rId10" Type="http://schemas.openxmlformats.org/officeDocument/2006/relationships/image" Target="media/06018b4124d7d0e89ef820c34746a83fd262060c.png"/><Relationship Id="rId11" Type="http://schemas.openxmlformats.org/officeDocument/2006/relationships/image" Target="media/e01559c29daa009bef19fce677c12e7ceed568be.png"/><Relationship Id="rId12" Type="http://schemas.openxmlformats.org/officeDocument/2006/relationships/image" Target="media/3efca2752a4a24e0ee7da2a5b9f6539ee19f0f21.png"/><Relationship Id="rId13" Type="http://schemas.openxmlformats.org/officeDocument/2006/relationships/image" Target="media/47f64236ab3456d39c89d050e40d2f74d4039f69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AIoScout · Edge AI Vision Workshop · Project Lab Manual</dc:title>
  <dc:creator>AIoScout</dc:creator>
  <cp:lastModifiedBy>Un-named</cp:lastModifiedBy>
  <cp:revision>1</cp:revision>
  <dcterms:created xsi:type="dcterms:W3CDTF">2026-09-03T17:41:52.967Z</dcterms:created>
  <dcterms:modified xsi:type="dcterms:W3CDTF">2026-09-03T17:41:52.967Z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