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E2" w:rsidRPr="00CE6FE2" w:rsidRDefault="00CE6FE2" w:rsidP="00CE6FE2">
      <w:pPr>
        <w:jc w:val="center"/>
        <w:rPr>
          <w:rFonts w:ascii="Microsoft YaHei" w:eastAsia="Microsoft YaHei" w:hAnsi="Microsoft YaHei"/>
          <w:sz w:val="72"/>
          <w:szCs w:val="72"/>
        </w:rPr>
      </w:pPr>
      <w:r w:rsidRPr="00CE6FE2">
        <w:rPr>
          <w:rFonts w:ascii="Microsoft YaHei" w:eastAsia="Microsoft YaHei" w:hAnsi="Microsoft YaHei"/>
          <w:sz w:val="72"/>
          <w:szCs w:val="72"/>
        </w:rPr>
        <w:t>Barriers to entry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1. Supply-side economies of scale.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2. Demand-side benefits of scale.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3. Customer switching costs.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4. Capital requirements.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5. Incumbency advantages independent of size.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Proprietary Technology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>- Preferential Access to the Best Raw Material Sources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 - Preemption of the Most Favorable Geographic Locations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Established Brand Identities </w:t>
      </w:r>
      <w:bookmarkStart w:id="0" w:name="_GoBack"/>
      <w:bookmarkEnd w:id="0"/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Cumulative Experience (Produce More Efficiently)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6. Unequal access to distribution channels. </w:t>
      </w:r>
    </w:p>
    <w:p w:rsidR="00EA6AC8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>7. Restrictive government policy.</w:t>
      </w:r>
    </w:p>
    <w:sectPr w:rsidR="00EA6AC8" w:rsidRPr="00CE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A"/>
    <w:rsid w:val="0062283C"/>
    <w:rsid w:val="006A602A"/>
    <w:rsid w:val="00CE6FE2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2388"/>
  <w15:chartTrackingRefBased/>
  <w15:docId w15:val="{17DC2762-E715-4E63-B9C4-1B3C8E5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BOSCH Group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He (C/HRR-JMPCN)</dc:creator>
  <cp:keywords/>
  <dc:description/>
  <cp:lastModifiedBy>SUN He (C/HRR-JMPCN)</cp:lastModifiedBy>
  <cp:revision>2</cp:revision>
  <dcterms:created xsi:type="dcterms:W3CDTF">2021-03-05T02:48:00Z</dcterms:created>
  <dcterms:modified xsi:type="dcterms:W3CDTF">2021-03-05T02:51:00Z</dcterms:modified>
</cp:coreProperties>
</file>