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40"/>
      </w:pPr>
    </w:p>
    <w:p>
      <w:pPr>
        <w:spacing w:after="320"/>
        <w:jc w:val="center"/>
      </w:pPr>
      <w:r>
        <w:rPr>
          <w:rFonts w:ascii="Calibri" w:hAnsi="Calibri"/>
          <w:b/>
          <w:color w:val="2E74B5"/>
          <w:sz w:val="20"/>
        </w:rPr>
        <w:t>REFERENCE GUIDE</w:t>
      </w:r>
    </w:p>
    <w:p>
      <w:pPr>
        <w:spacing w:after="160"/>
        <w:jc w:val="center"/>
      </w:pPr>
      <w:r>
        <w:rPr>
          <w:rFonts w:ascii="Calibri" w:hAnsi="Calibri"/>
          <w:b/>
          <w:color w:val="203748"/>
          <w:sz w:val="56"/>
        </w:rPr>
        <w:t>Synthetic Press Entry Handbook</w:t>
      </w:r>
    </w:p>
    <w:p>
      <w:pPr>
        <w:spacing w:after="560"/>
        <w:jc w:val="center"/>
      </w:pPr>
      <w:r>
        <w:rPr>
          <w:rFonts w:ascii="Calibri" w:hAnsi="Calibri"/>
          <w:b w:val="0"/>
          <w:color w:val="4B5563"/>
          <w:sz w:val="26"/>
        </w:rPr>
        <w:t>Employee orientation reference · Version 3.0 · Effective 1 September 2026</w:t>
      </w:r>
    </w:p>
    <w:p>
      <w:pPr>
        <w:spacing w:before="1440" w:after="160"/>
        <w:jc w:val="center"/>
      </w:pPr>
      <w:r>
        <w:rPr>
          <w:rFonts w:ascii="Calibri" w:hAnsi="Calibri"/>
          <w:b/>
          <w:color w:val="2E74B5"/>
          <w:sz w:val="30"/>
        </w:rPr>
        <w:t>For supervised synthetic training only</w:t>
      </w:r>
    </w:p>
    <w:p>
      <w:pPr>
        <w:jc w:val="center"/>
      </w:pPr>
      <w:r>
        <w:rPr>
          <w:rFonts w:ascii="Calibri" w:hAnsi="Calibri"/>
          <w:b w:val="0"/>
          <w:color w:val="4B5563"/>
          <w:sz w:val="22"/>
        </w:rPr>
        <w:t>This fixture is public-safe and does not describe real equipment.</w:t>
      </w:r>
    </w:p>
    <w:p>
      <w:r>
        <w:br w:type="page"/>
      </w:r>
    </w:p>
    <w:p>
      <w:pPr>
        <w:pStyle w:val="Heading1"/>
      </w:pPr>
      <w:r>
        <w:t>Entry requirements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11111"/>
          <w:sz w:val="22"/>
        </w:rPr>
        <w:t>Confirm that an authorized trainer is present before entering the practice zone.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11111"/>
          <w:sz w:val="22"/>
        </w:rPr>
        <w:t>Wear splash goggles and safety shoes before beginning the exercise.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11111"/>
          <w:sz w:val="22"/>
        </w:rPr>
        <w:t>Keep a minimum 10 mm clearance from the marked demonstration boundary.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11111"/>
          <w:sz w:val="22"/>
        </w:rPr>
        <w:t>Record the simulated pre-start inspection before requesting trainer release.</w:t>
      </w:r>
    </w:p>
    <w:p>
      <w:pPr>
        <w:pStyle w:val="Heading1"/>
      </w:pPr>
      <w:r>
        <w:t>Quality and escalation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11111"/>
          <w:sz w:val="22"/>
        </w:rPr>
        <w:t>A simulated reading outside ±5% of the training target requires trainer review.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11111"/>
          <w:sz w:val="22"/>
        </w:rPr>
        <w:t>If the indicator exceeds 80 °C, stop the exercise and report the observation.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11111"/>
          <w:sz w:val="22"/>
        </w:rPr>
        <w:t>When uncertain, stop and ask; do not invent or infer an operating step.</w:t>
      </w:r>
    </w:p>
    <w:p>
      <w:pPr>
        <w:pStyle w:val="Heading1"/>
      </w:pPr>
      <w:r>
        <w:t>Authority boundary</w:t>
      </w:r>
    </w:p>
    <w:p>
      <w:pPr>
        <w:spacing w:before="80" w:after="200"/>
      </w:pPr>
      <w:r>
        <w:rPr>
          <w:rFonts w:ascii="Calibri" w:hAnsi="Calibri"/>
          <w:b/>
          <w:color w:val="7A5A00"/>
          <w:sz w:val="22"/>
        </w:rPr>
        <w:t>This handbook is supporting guidance. A controlled SOP overrides it, and any disagreement must be disclosed for author review.</w:t>
      </w:r>
    </w:p>
    <w:p>
      <w:pPr>
        <w:pStyle w:val="Heading2"/>
      </w:pPr>
      <w:r>
        <w:t>Workplace note</w:t>
      </w:r>
    </w:p>
    <w:p>
      <w:pPr>
        <w:spacing w:after="120"/>
      </w:pPr>
      <w:r>
        <w:t>Lunch breaks may be taken in the west cafeteria between 12:00 and 13:30. This policy is intentionally irrelevant to the course topic.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6B7280"/>
        <w:sz w:val="18"/>
      </w:rPr>
      <w:t xml:space="preserve">Employee Handbook ·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6B7280"/>
        <w:sz w:val="18"/>
      </w:rPr>
      <w:t>EMPLOYEE ENTRY HANDBOOK · SYNTHETIC FIXTURE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