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7EAA"/>
          <w:sz w:val="18"/>
        </w:rPr>
        <w:t>SYNTHETIC PUBLIC-SAFE TEST MATERIAL</w:t>
      </w:r>
    </w:p>
    <w:p>
      <w:pPr>
        <w:pStyle w:val="Title"/>
        <w:jc w:val="center"/>
      </w:pPr>
      <w:r>
        <w:t>Employee Entry Handbook</w:t>
      </w:r>
    </w:p>
    <w:p>
      <w:pPr>
        <w:jc w:val="center"/>
      </w:pPr>
      <w:r>
        <w:rPr>
          <w:sz w:val="28"/>
        </w:rPr>
        <w:t>Synthetic Training Machine · New-hire orientation reference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Owner</w:t>
            </w:r>
          </w:p>
        </w:tc>
        <w:tc>
          <w:tcPr>
            <w:tcW w:type="dxa" w:w="4896"/>
          </w:tcPr>
          <w:p>
            <w:r>
              <w:t>Synthetic HR Training</w:t>
            </w:r>
          </w:p>
        </w:tc>
      </w:tr>
      <w:tr>
        <w:tc>
          <w:tcPr>
            <w:tcW w:type="dxa" w:w="4896"/>
          </w:tcPr>
          <w:p>
            <w:r>
              <w:t>Version</w:t>
            </w:r>
          </w:p>
        </w:tc>
        <w:tc>
          <w:tcPr>
            <w:tcW w:type="dxa" w:w="4896"/>
          </w:tcPr>
          <w:p>
            <w:r>
              <w:t>Fixture 1.0</w:t>
            </w:r>
          </w:p>
        </w:tc>
      </w:tr>
      <w:tr>
        <w:tc>
          <w:tcPr>
            <w:tcW w:type="dxa" w:w="4896"/>
          </w:tcPr>
          <w:p>
            <w:r>
              <w:t>Effective</w:t>
            </w:r>
          </w:p>
        </w:tc>
        <w:tc>
          <w:tcPr>
            <w:tcW w:type="dxa" w:w="4896"/>
          </w:tcPr>
          <w:p>
            <w:r>
              <w:t>1 September 2026</w:t>
            </w:r>
          </w:p>
        </w:tc>
      </w:tr>
    </w:tbl>
    <w:p>
      <w:r>
        <w:br w:type="page"/>
      </w:r>
    </w:p>
    <w:p>
      <w:pPr>
        <w:pStyle w:val="Heading1"/>
      </w:pPr>
      <w:r>
        <w:t>Before entering the practice area</w:t>
      </w:r>
    </w:p>
    <w:p>
      <w:r>
        <w:t>This handbook supports author-review testing only. It is not a real operating instruction and contains no real equipment settings.</w:t>
      </w:r>
    </w:p>
    <w:p>
      <w:pPr>
        <w:pStyle w:val="ListBullet"/>
      </w:pPr>
      <w:r>
        <w:t>Confirm the trainer is present before starting a simulated activity.</w:t>
      </w:r>
    </w:p>
    <w:p>
      <w:pPr>
        <w:pStyle w:val="ListBullet"/>
      </w:pPr>
      <w:r>
        <w:t>Wear the PPE named in the current controlled site procedure.</w:t>
      </w:r>
    </w:p>
    <w:p>
      <w:pPr>
        <w:pStyle w:val="ListBullet"/>
      </w:pPr>
      <w:r>
        <w:t>Stop the exercise when the simulated warning beacon appears.</w:t>
      </w:r>
    </w:p>
    <w:p>
      <w:pPr>
        <w:pStyle w:val="ListBullet"/>
      </w:pPr>
      <w:r>
        <w:t>Report uncertainty instead of guessing an operating step.</w:t>
      </w:r>
    </w:p>
    <w:p>
      <w:pPr>
        <w:pStyle w:val="Heading1"/>
      </w:pPr>
      <w:r>
        <w:t>Authority and escalation</w:t>
      </w:r>
    </w:p>
    <w:p>
      <w:r>
        <w:t>This handbook is a reference source. When it differs from a controlled internal SOP, the discrepancy must be shown to an author. LivingCourse must not silently select a ground truth.</w:t>
      </w:r>
    </w:p>
    <w:p>
      <w:pPr>
        <w:pStyle w:val="Heading1"/>
      </w:pPr>
      <w:r>
        <w:t>Device evidence limitation</w:t>
      </w:r>
    </w:p>
    <w:p>
      <w:r>
        <w:t>The phrase Synthetic Training Machine describes a fictional training prop. The fixture photo is illustrative and does not confirm a real device, component, control point, or operation region.</w:t>
      </w:r>
    </w:p>
    <w:sectPr w:rsidR="00FC693F" w:rsidRPr="0006063C" w:rsidSect="00034616">
      <w:footerReference w:type="default" r:id="rId9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04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