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4748B"/>
        </w:rPr>
        <w:t>ALGEBRA 2 CUMULATIVE SEMESTER FINAL PROJECT</w:t>
      </w:r>
    </w:p>
    <w:p>
      <w:pPr>
        <w:pStyle w:val="Title"/>
      </w:pPr>
      <w:r>
        <w:rPr>
          <w:b/>
        </w:rPr>
        <w:t>Systems Under Pressure</w:t>
      </w:r>
    </w:p>
    <w:p>
      <w:pPr>
        <w:pStyle w:val="Heading1"/>
      </w:pPr>
      <w:r>
        <w:rPr>
          <w:b w:val="0"/>
        </w:rPr>
        <w:t>The Mathematics of Food Systems</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"All models are wrong, but some are useful."</w:t>
            </w:r>
          </w:p>
          <w:p>
            <w:pPr>
              <w:spacing w:after="0"/>
            </w:pPr>
            <w:r>
              <w:t>George Box</w:t>
            </w:r>
          </w:p>
        </w:tc>
      </w:tr>
    </w:tbl>
    <w:p>
      <w:r>
        <w:rPr>
          <w:b w:val="0"/>
        </w:rPr>
        <w:t>A collaborative mathematical field notebook for sketching, modeling, revising, annotating, and explaining.</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DOCX use note</w:t>
            </w:r>
          </w:p>
          <w:p>
            <w:pPr>
              <w:spacing w:after="0"/>
            </w:pPr>
            <w:r>
              <w:t>This editable version prioritizes usability over matching the print PDF exactly. Type directly into the spaces, paste screenshots, add comments, use Draw tools, or adapt prompts for accommodations and hybrid workflows.</w:t>
            </w:r>
          </w:p>
        </w:tc>
      </w:tr>
    </w:tbl>
    <w:p>
      <w:r>
        <w:br w:type="page"/>
      </w:r>
    </w:p>
    <w:p>
      <w:pPr>
        <w:pStyle w:val="Heading1"/>
      </w:pPr>
      <w:r>
        <w:rPr>
          <w:b w:val="0"/>
        </w:rPr>
        <w:t>Journal Norms</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Value uncertainty</w:t>
            </w:r>
          </w:p>
          <w:p>
            <w:pPr>
              <w:spacing w:after="0"/>
            </w:pPr>
            <w:r>
              <w:t>A strong investigation often begins confused. Label assumptions, questions, disagreements, and places where a model stops making sense.</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Revise visibly</w:t>
            </w:r>
          </w:p>
          <w:p>
            <w:pPr>
              <w:spacing w:after="0"/>
            </w:pPr>
            <w:r>
              <w:t>Cross out, annotate, draw arrows, compare versions, and explain why your thinking changed.</w:t>
            </w:r>
          </w:p>
        </w:tc>
        <w:tc>
          <w:tcPr>
            <w:tcW w:type="dxa" w:w="4704"/>
            <w:tcMar>
              <w:top w:w="160" w:type="dxa"/>
              <w:left w:w="160" w:type="dxa"/>
              <w:bottom w:w="160" w:type="dxa"/>
              <w:right w:w="160" w:type="dxa"/>
            </w:tcMar>
            <w:shd w:fill="FFFFFF"/>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Models are arguments</w:t>
            </w:r>
          </w:p>
          <w:p>
            <w:pPr>
              <w:spacing w:after="0"/>
            </w:pPr>
            <w:r>
              <w:t>A model is not an answer. It is a claim built from assumptions, evidence, representations, and limits.</w:t>
            </w:r>
          </w:p>
        </w:tc>
      </w:tr>
    </w:tbl>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 style</w:t>
            </w:r>
          </w:p>
          <w:p>
            <w:pPr>
              <w:spacing w:after="0"/>
            </w:pPr>
            <w:r>
              <w:t>Messy is acceptable. Hidden thinking is not. The strongest journals show graph, algebra, context, units, limitations, and revision together.</w:t>
            </w:r>
          </w:p>
        </w:tc>
      </w:tr>
    </w:tbl>
    <w:p>
      <w:r>
        <w:br w:type="page"/>
      </w:r>
    </w:p>
    <w:p>
      <w:pPr>
        <w:pStyle w:val="Heading1"/>
      </w:pPr>
      <w:r>
        <w:rPr>
          <w:b w:val="0"/>
        </w:rPr>
        <w:t>Shared field notebook. Individual accountability.</w:t>
      </w:r>
    </w:p>
    <w:p>
      <w:r>
        <w:rPr>
          <w:b w:val="0"/>
        </w:rPr>
        <w:t>The project is collaborative, but grading is individual. The journal and individual evidence serve different purposes.</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6EFFF"/>
            <w:tcBorders>
              <w:top w:val="single" w:sz="8" w:space="0" w:color="DBE2EA"/>
              <w:left w:val="single" w:sz="8" w:space="0" w:color="DBE2EA"/>
              <w:bottom w:val="single" w:sz="8" w:space="0" w:color="DBE2EA"/>
              <w:right w:val="single" w:sz="8" w:space="0" w:color="DBE2EA"/>
            </w:tcBorders>
          </w:tcPr>
          <w:p>
            <w:pPr>
              <w:spacing w:after="60"/>
            </w:pPr>
            <w:r>
              <w:rPr>
                <w:b/>
                <w:color w:val="7E22CE"/>
                <w:sz w:val="23"/>
              </w:rPr>
              <w:t>Physical group journal</w:t>
            </w:r>
          </w:p>
          <w:p>
            <w:pPr>
              <w:spacing w:after="0"/>
            </w:pPr>
            <w:r>
              <w:t>The physical journal captures the group's evolving mathematical thinking. It should look used: sketched on, annotated, revised, taped into, crossed out, and questioned.</w:t>
            </w:r>
          </w:p>
        </w:tc>
        <w:tc>
          <w:tcPr>
            <w:tcW w:type="dxa" w:w="4704"/>
            <w:tcMar>
              <w:top w:w="160" w:type="dxa"/>
              <w:left w:w="160" w:type="dxa"/>
              <w:bottom w:w="160" w:type="dxa"/>
              <w:right w:w="160" w:type="dxa"/>
            </w:tcMar>
            <w:shd w:fill="EDF4FF"/>
            <w:tcBorders>
              <w:top w:val="single" w:sz="8" w:space="0" w:color="DBE2EA"/>
              <w:left w:val="single" w:sz="8" w:space="0" w:color="DBE2EA"/>
              <w:bottom w:val="single" w:sz="8" w:space="0" w:color="DBE2EA"/>
              <w:right w:val="single" w:sz="8" w:space="0" w:color="DBE2EA"/>
            </w:tcBorders>
          </w:tcPr>
          <w:p>
            <w:pPr>
              <w:spacing w:after="60"/>
            </w:pPr>
            <w:r>
              <w:rPr>
                <w:b/>
                <w:color w:val="2563EB"/>
                <w:sz w:val="23"/>
              </w:rPr>
              <w:t>Individual digital evidence</w:t>
            </w:r>
          </w:p>
          <w:p>
            <w:pPr>
              <w:spacing w:after="0"/>
            </w:pPr>
            <w:r>
              <w:t>Your individual digital evidence captures your own mathematical reasoning inside the group investigation. This may include personal graph notes, recalculations, interpretations, AI critiques, limitation reflections, and explanations of how your thinking changed.</w:t>
            </w:r>
          </w:p>
        </w:tc>
        <w:tc>
          <w:tcPr>
            <w:tcW w:type="dxa" w:w="4704"/>
            <w:tcMar>
              <w:top w:w="160" w:type="dxa"/>
              <w:left w:w="160" w:type="dxa"/>
              <w:bottom w:w="160" w:type="dxa"/>
              <w:right w:w="160" w:type="dxa"/>
            </w:tcMar>
            <w:shd w:fill="EDF8F1"/>
            <w:tcBorders>
              <w:top w:val="single" w:sz="8" w:space="0" w:color="DBE2EA"/>
              <w:left w:val="single" w:sz="8" w:space="0" w:color="DBE2EA"/>
              <w:bottom w:val="single" w:sz="8" w:space="0" w:color="DBE2EA"/>
              <w:right w:val="single" w:sz="8" w:space="0" w:color="DBE2EA"/>
            </w:tcBorders>
          </w:tcPr>
          <w:p>
            <w:pPr>
              <w:spacing w:after="60"/>
            </w:pPr>
            <w:r>
              <w:rPr>
                <w:b/>
                <w:color w:val="15803D"/>
                <w:sz w:val="23"/>
              </w:rPr>
              <w:t>How they work together</w:t>
            </w:r>
          </w:p>
          <w:p>
            <w:pPr>
              <w:spacing w:after="0"/>
            </w:pPr>
            <w:r>
              <w:t>The group journal preserves the messy investigation trail. Individual evidence shows how each student reasoned, interpreted, revised, and contributed mathematically inside that shared work.</w:t>
            </w:r>
          </w:p>
        </w:tc>
      </w:tr>
    </w:tbl>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rule</w:t>
            </w:r>
          </w:p>
          <w:p>
            <w:pPr>
              <w:spacing w:after="0"/>
            </w:pPr>
            <w:r>
              <w:t>Clean pages are not the goal. Crossed-out thinking belongs here. Strong investigations often become more nuanced, not more certain.</w:t>
            </w:r>
          </w:p>
        </w:tc>
      </w:tr>
    </w:tbl>
    <w:p>
      <w:r>
        <w:br w:type="page"/>
      </w:r>
    </w:p>
    <w:p>
      <w:pPr>
        <w:pStyle w:val="Heading1"/>
      </w:pPr>
      <w:r>
        <w:rPr>
          <w:b w:val="0"/>
        </w:rPr>
        <w:t>Rubric Alignment</w:t>
      </w:r>
    </w:p>
    <w:p>
      <w:r>
        <w:rPr>
          <w:b w:val="0"/>
        </w:rPr>
        <w:t>Use the journal to make standards visible. The rubric looks for reasoning, interpretation, revision, limitations, precision, and flexible thinking across the investigation.</w:t>
      </w:r>
    </w:p>
    <w:tbl>
      <w:tblPr>
        <w:tblW w:type="auto" w:w="0"/>
        <w:jc w:val="center"/>
        <w:tblLook w:firstColumn="1" w:firstRow="1" w:lastColumn="0" w:lastRow="0" w:noHBand="0" w:noVBand="1" w:val="04A0"/>
      </w:tblPr>
      <w:tblGrid>
        <w:gridCol w:w="4704"/>
        <w:gridCol w:w="4704"/>
        <w:gridCol w:w="4704"/>
      </w:tblGrid>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1. Sequences and Series</w:t>
            </w:r>
          </w:p>
          <w:p>
            <w:pPr>
              <w:spacing w:after="0"/>
            </w:pPr>
            <w:r>
              <w:t>Content Standard</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2. Exponentials and Logarithms</w:t>
            </w:r>
          </w:p>
          <w:p>
            <w:pPr>
              <w:spacing w:after="0"/>
            </w:pPr>
            <w:r>
              <w:t>Content Standard</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3. Polynomials</w:t>
            </w:r>
          </w:p>
          <w:p>
            <w:pPr>
              <w:spacing w:after="0"/>
            </w:pPr>
            <w:r>
              <w:t>Content Standard</w:t>
            </w:r>
          </w:p>
        </w:tc>
      </w:tr>
      <w:tr>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4. Mathematical Communication and Interpretation</w:t>
            </w:r>
          </w:p>
          <w:p>
            <w:pPr>
              <w:spacing w:after="0"/>
            </w:pPr>
            <w:r>
              <w:t>Skill Grade</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5. Comparing Models, Assumptions, and Limitations</w:t>
            </w:r>
          </w:p>
          <w:p>
            <w:pPr>
              <w:spacing w:after="0"/>
            </w:pPr>
            <w:r>
              <w:t>Skill Grade</w:t>
            </w:r>
          </w:p>
        </w:tc>
        <w:tc>
          <w:tcPr>
            <w:tcW w:type="dxa" w:w="4704"/>
            <w:tcMar>
              <w:top w:w="160" w:type="dxa"/>
              <w:left w:w="160" w:type="dxa"/>
              <w:bottom w:w="160" w:type="dxa"/>
              <w:right w:w="160" w:type="dxa"/>
            </w:tcMar>
            <w:shd w:fill="F8FAFC"/>
            <w:tcBorders>
              <w:top w:val="single" w:sz="8" w:space="0" w:color="DBE2EA"/>
              <w:left w:val="single" w:sz="8" w:space="0" w:color="DBE2EA"/>
              <w:bottom w:val="single" w:sz="8" w:space="0" w:color="DBE2EA"/>
              <w:right w:val="single" w:sz="8" w:space="0" w:color="DBE2EA"/>
            </w:tcBorders>
          </w:tcPr>
          <w:p>
            <w:pPr>
              <w:spacing w:after="60"/>
            </w:pPr>
            <w:r>
              <w:rPr>
                <w:b/>
                <w:color w:val="111827"/>
                <w:sz w:val="23"/>
              </w:rPr>
              <w:t>6. Algebraic Precision and Flexible Number Sense</w:t>
            </w:r>
          </w:p>
          <w:p>
            <w:pPr>
              <w:spacing w:after="0"/>
            </w:pPr>
            <w:r>
              <w:t>Skill Grade</w:t>
            </w:r>
          </w:p>
        </w:tc>
      </w:tr>
    </w:tbl>
    <w:p/>
    <w:p>
      <w:r>
        <w:br w:type="page"/>
      </w:r>
    </w:p>
    <w:p>
      <w:pPr>
        <w:pStyle w:val="Heading1"/>
      </w:pPr>
      <w:r>
        <w:rPr>
          <w:b w:val="0"/>
        </w:rPr>
        <w:t>Class 1 — Entering the System</w:t>
      </w:r>
    </w:p>
    <w:p>
      <w:r>
        <w:rPr>
          <w:b w:val="0"/>
        </w:rPr>
        <w:t>What relationships are we beginning to notice?</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System map canvas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Sketch variables, links, pressures, unknowns, and possible feedback loops.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Variable table and measurement notes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Variable | Units | Why it matters | What is hard to measure. Which variables seem politically, socially, or physically difficult to measure?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Sketch before technology</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Predict the shape of one relationship before using Desmos, Sheets, or another tool. What relationship seems obvious at first but may be misleading?</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Vlog notes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Discuss uncertainty, early assumptions, possible misleading patterns, and variables that may be hard to measure reliably.</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1"/>
      </w:pPr>
      <w:r>
        <w:rPr>
          <w:b w:val="0"/>
        </w:rPr>
        <w:t>Class 2 — Modeling Change</w:t>
      </w:r>
    </w:p>
    <w:p>
      <w:r>
        <w:rPr>
          <w:b w:val="0"/>
        </w:rPr>
        <w:t>How is the system changing over time?</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Discrete vs continuous reasoning</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Does your context change in steps, continuously, or both? Justify the representation that best fits your system.</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Pattern behavior</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Does the system behave additively, multiplicatively, unpredictably, or in phases? What evidence supports this?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Recursive and explicit formulas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Write useful formulas if the pattern supports them. Annotate what each term, parameter, and assumption means in your context.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Accumulated change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What does accumulated change represent in your system? Would accumulation realistically continue forever? Why or why not?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Meaningful time scales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Choose multiple time ranges that matter for your investigation. How does the model behave differently across those scales?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Pattern breakdown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When does the pattern stop behaving consistently? What evidence would make you revise or reject it?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1"/>
      </w:pPr>
      <w:r>
        <w:rPr>
          <w:b w:val="0"/>
        </w:rPr>
        <w:t>Class 2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p>
      <w:r>
        <w:br w:type="page"/>
      </w:r>
    </w:p>
    <w:p>
      <w:pPr>
        <w:pStyle w:val="Heading1"/>
      </w:pPr>
      <w:r>
        <w:rPr>
          <w:b w:val="0"/>
        </w:rPr>
        <w:t>Class 3 — Acceleration, Decay, and Thresholds</w:t>
      </w:r>
    </w:p>
    <w:p>
      <w:r>
        <w:rPr>
          <w:b w:val="0"/>
        </w:rPr>
        <w:t>When does repeated change become accelerated or compounding?</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Exponential vs linear</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What evidence suggests the change depends on the current amount rather than a constant added amount?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Sampled values vs continuous model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How does continuous exponential modeling change the interpretation compared to sampled or discrete terms in your context?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Build the model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Define starting value, growth or decay factor, variables, assumptions, and realistic domain. Which assumption is doing the most work?</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Logarithmic threshold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Use logarithms when you need to solve for an unknown time or threshold. What does that threshold mean in the real system?</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Rate or assumption comparison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Compare multiple realistic rates or assumptions relevant to your investigation. Which assumptions cause the prediction to change dramatically?</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Model breakdown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Where does exponential behavior stop being realistic? What real-world forces might interrupt it? What hidden variables matter?</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1"/>
      </w:pPr>
      <w:r>
        <w:rPr>
          <w:b w:val="0"/>
        </w:rPr>
        <w:t>Class 3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p>
      <w:r>
        <w:br w:type="page"/>
      </w:r>
    </w:p>
    <w:p>
      <w:pPr>
        <w:pStyle w:val="Heading1"/>
      </w:pPr>
      <w:r>
        <w:rPr>
          <w:b w:val="0"/>
        </w:rPr>
        <w:t>Class 4 — Constraints, Capacity, and Cost</w:t>
      </w:r>
    </w:p>
    <w:p>
      <w:r>
        <w:rPr>
          <w:b w:val="0"/>
        </w:rPr>
        <w:t>How do physical and economic constraints reshape the system?</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Flat blueprint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Original dimensions, square cutout variable, folding lines, units in centimeters.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Folded storage structure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Height, interior dimensions, usable space, loading floor.</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Volume polynomial</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Factored form, standard form, and why multiplying dimensions creates a cubic.</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Graph annotation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Intercepts, multiplicity, extrema, domain, unrealistic regions, physical meaning.</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End behavior and structure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Degree, even/odd, leading coefficient, as x → ∞ and as x → −∞.</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Polynomial division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How could division help analyze storage, packing, capacity, grouping, or remaining space? Interpret the quotient and remainder physically.</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Constraint revision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Change a realistic physical or economic constraint from your context. What tradeoff appears, and which graph regions become impossible?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1"/>
      </w:pPr>
      <w:r>
        <w:rPr>
          <w:b w:val="0"/>
        </w:rPr>
        <w:t>Class 4 Model Comparison Studio</w:t>
      </w:r>
    </w:p>
    <w:p>
      <w:r>
        <w:rPr>
          <w:b w:val="0"/>
        </w:rPr>
        <w:t>Changing assumptions creates different mathematical realities.</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Comparison purpose</w:t>
            </w:r>
          </w:p>
          <w:p>
            <w:pPr>
              <w:spacing w:after="0"/>
            </w:pPr>
            <w:r>
              <w:t>Choose model versions that are meaningful for your context. Which model is more useful, more realistic, or more honest about uncertainty? Which model hides constraints, exaggerates certainty, or breaks first?</w:t>
            </w:r>
          </w:p>
        </w:tc>
      </w:tr>
    </w:tbl>
    <w:tbl>
      <w:tblPr>
        <w:tblW w:type="auto" w:w="0"/>
        <w:tblLook w:firstColumn="1" w:firstRow="1" w:lastColumn="0" w:lastRow="0" w:noHBand="0" w:noVBand="1" w:val="04A0"/>
      </w:tblPr>
      <w:tblGrid>
        <w:gridCol w:w="4704"/>
        <w:gridCol w:w="4704"/>
        <w:gridCol w:w="4704"/>
      </w:tblGrid>
      <w:tr>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A</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B</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c>
          <w:tcPr>
            <w:tcW w:type="dxa" w:w="4704"/>
            <w:tcBorders>
              <w:top w:val="single" w:sz="10" w:space="0" w:color="AEBBCC"/>
              <w:left w:val="single" w:sz="10" w:space="0" w:color="AEBBCC"/>
              <w:bottom w:val="single" w:sz="10" w:space="0" w:color="AEBBCC"/>
              <w:right w:val="single" w:sz="10" w:space="0" w:color="AEBBCC"/>
            </w:tcBorders>
            <w:tcMar>
              <w:top w:w="180" w:type="dxa"/>
              <w:left w:w="180" w:type="dxa"/>
              <w:bottom w:w="180" w:type="dxa"/>
              <w:right w:w="180" w:type="dxa"/>
            </w:tcMar>
          </w:tcPr>
          <w:p>
            <w:r>
              <w:rPr>
                <w:b/>
              </w:rPr>
              <w:t>Version C</w:t>
            </w:r>
          </w:p>
          <w:p>
            <w:r>
              <w:t>Type or paste your model version here.</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p>
      <w:r>
        <w:br w:type="page"/>
      </w:r>
    </w:p>
    <w:p>
      <w:pPr>
        <w:pStyle w:val="Heading1"/>
      </w:pPr>
      <w:r>
        <w:rPr>
          <w:b w:val="0"/>
        </w:rPr>
        <w:t>Class 5 — Revision, Synthesis, and Communication</w:t>
      </w:r>
    </w:p>
    <w:p>
      <w:r>
        <w:rPr>
          <w:b w:val="0"/>
        </w:rPr>
        <w:t>What story does our mathematics tell?</w:t>
      </w:r>
    </w:p>
    <w:tbl>
      <w:tblPr>
        <w:tblW w:type="auto" w:w="0"/>
        <w:jc w:val="left"/>
        <w:tblLook w:firstColumn="1" w:firstRow="1" w:lastColumn="0" w:lastRow="0" w:noHBand="0" w:noVBand="1" w:val="04A0"/>
      </w:tblPr>
      <w:tblGrid>
        <w:gridCol w:w="14112"/>
      </w:tblGrid>
      <w:tr>
        <w:tc>
          <w:tcPr>
            <w:tcW w:type="dxa" w:w="14112"/>
            <w:shd w:fill="FFFFFF"/>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Field notebook expectation</w:t>
            </w:r>
          </w:p>
          <w:p>
            <w:pPr>
              <w:spacing w:after="0"/>
            </w:pPr>
            <w:r>
              <w:t>Use this section as a place for rough work, uncertainty, recalculation, and revision. Let the thinking stay visible.</w:t>
            </w:r>
          </w:p>
        </w:tc>
      </w:tr>
    </w:tbl>
    <w:p>
      <w:r>
        <w:br w:type="page"/>
      </w:r>
    </w:p>
    <w:p>
      <w:pPr>
        <w:pStyle w:val="Heading2"/>
      </w:pPr>
      <w:r>
        <w:rPr>
          <w:b w:val="0"/>
        </w:rPr>
        <w:t>Synthesis table</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Lens | What did it reveal? | Where did it fail?</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Where models agreed or conflicted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Compare mathematical lenses and assumptions.</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Final mathematical claim</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Use evidence, assumptions, limitations, tradeoffs, and implications. What remained uncertain even after modeling?</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Communication storyboard</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Choose a format. Plan how mathematical evidence, revisions, and uncertainty will be visible.</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 For sketches or diagrams, paste an image or use Word's Draw tools.</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If we repeated this investigation</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With better data, what would change? Which assumption, measurement, or model would you revisit first?</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p>
      <w:pPr>
        <w:pStyle w:val="Heading2"/>
      </w:pPr>
      <w:r>
        <w:rPr>
          <w:b w:val="0"/>
        </w:rPr>
        <w:t>Individual artifact snapshot</w:t>
      </w:r>
    </w:p>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Prompt</w:t>
            </w:r>
          </w:p>
          <w:p>
            <w:pPr>
              <w:spacing w:after="0"/>
            </w:pPr>
            <w:r>
              <w:t>Revision, hidden-variable analysis, limitation critique, or r/R² interpretation. A high R² can still mislead; correlation can support a claim without proving causation.</w:t>
            </w:r>
          </w:p>
        </w:tc>
      </w:tr>
    </w:tbl>
    <w:tbl>
      <w:tblPr>
        <w:tblW w:type="auto" w:w="0"/>
        <w:jc w:val="center"/>
        <w:tblLook w:firstColumn="1" w:firstRow="1" w:lastColumn="0" w:lastRow="0" w:noHBand="0" w:noVBand="1" w:val="04A0"/>
      </w:tblPr>
      <w:tblGrid>
        <w:gridCol w:w="14112"/>
      </w:tblGrid>
      <w:tr>
        <w:tc>
          <w:tcPr>
            <w:tcW w:type="dxa" w:w="14112"/>
            <w:shd w:fill="FFFFFF"/>
            <w:tcBorders>
              <w:top w:val="single" w:sz="10" w:space="0" w:color="AEBBCC"/>
              <w:left w:val="single" w:sz="10" w:space="0" w:color="AEBBCC"/>
              <w:bottom w:val="single" w:sz="10" w:space="0" w:color="AEBBCC"/>
              <w:right w:val="single" w:sz="10" w:space="0" w:color="AEBBCC"/>
            </w:tcBorders>
            <w:tcMar>
              <w:top w:w="220" w:type="dxa"/>
              <w:left w:w="220" w:type="dxa"/>
              <w:bottom w:w="220" w:type="dxa"/>
              <w:right w:w="220" w:type="dxa"/>
            </w:tcMar>
            <w:vAlign w:val="top"/>
          </w:tcPr>
          <w:p>
            <w:pPr>
              <w:spacing w:after="80"/>
            </w:pPr>
            <w:r>
              <w:rPr>
                <w:b/>
              </w:rPr>
              <w:t>Editable thinking space</w:t>
            </w:r>
          </w:p>
          <w:p>
            <w:pPr>
              <w:spacing w:after="160"/>
            </w:pPr>
            <w:r>
              <w:t>Use this space for typing, pasted screenshots, graph notes, revised assumptions, or teacher-approved digital annotation.</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p>
            <w:pPr>
              <w:spacing w:after="240"/>
            </w:pPr>
            <w:r>
              <w:t xml:space="preserve"> </w:t>
            </w:r>
          </w:p>
        </w:tc>
      </w:tr>
    </w:tbl>
    <w:tbl>
      <w:tblPr>
        <w:tblW w:type="auto" w:w="0"/>
        <w:jc w:val="left"/>
        <w:tblLook w:firstColumn="1" w:firstRow="1" w:lastColumn="0" w:lastRow="0" w:noHBand="0" w:noVBand="1" w:val="04A0"/>
      </w:tblPr>
      <w:tblGrid>
        <w:gridCol w:w="14112"/>
      </w:tblGrid>
      <w:tr>
        <w:tc>
          <w:tcPr>
            <w:tcW w:type="dxa" w:w="14112"/>
            <w:shd w:fill="F8FAFC"/>
            <w:tcBorders>
              <w:top w:val="single" w:sz="8" w:space="0" w:color="DBE2EA"/>
              <w:left w:val="single" w:sz="8" w:space="0" w:color="DBE2EA"/>
              <w:bottom w:val="single" w:sz="8" w:space="0" w:color="DBE2EA"/>
              <w:right w:val="single" w:sz="8" w:space="0" w:color="DBE2EA"/>
            </w:tcBorders>
            <w:tcMar>
              <w:top w:w="190" w:type="dxa"/>
              <w:left w:w="190" w:type="dxa"/>
              <w:bottom w:w="190" w:type="dxa"/>
              <w:right w:w="190" w:type="dxa"/>
            </w:tcMar>
            <w:vAlign w:val="top"/>
          </w:tcPr>
          <w:p>
            <w:r>
              <w:rPr>
                <w:b/>
                <w:color w:val="111827"/>
                <w:sz w:val="24"/>
              </w:rPr>
              <w:t>Reflection prompt</w:t>
            </w:r>
          </w:p>
          <w:p>
            <w:pPr>
              <w:spacing w:after="0"/>
            </w:pPr>
            <w:r>
              <w:t>What changed in your thinking? What assumption is doing the most work? What evidence would make this stronger?</w:t>
            </w:r>
          </w:p>
        </w:tc>
      </w:tr>
    </w:tbl>
    <w:p>
      <w:r>
        <w:br w:type="page"/>
      </w:r>
    </w:p>
    <w:sectPr w:rsidR="00FC693F" w:rsidRPr="0006063C" w:rsidSect="00034616">
      <w:pgSz w:w="15840" w:h="12240" w:orient="landscape"/>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11827"/>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before="0"/>
      <w:contextualSpacing/>
    </w:pPr>
    <w:rPr>
      <w:rFonts w:asciiTheme="majorHAnsi" w:eastAsiaTheme="majorEastAsia" w:hAnsiTheme="majorHAnsi" w:cstheme="majorBidi" w:ascii="Arial" w:hAnsi="Arial"/>
      <w:b/>
      <w:color w:val="111827"/>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