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B3A5C"/>
          <w:sz w:val="30"/>
          <w:szCs w:val="30"/>
        </w:rPr>
        <w:t xml:space="preserve">CNG AI Innovation Fellowship 2026–2027</w:t>
      </w:r>
    </w:p>
    <w:p>
      <w:pPr>
        <w:spacing w:after="60"/>
        <w:jc w:val="center"/>
      </w:pPr>
      <w:r>
        <w:rPr>
          <w:rFonts w:ascii="Georgia" w:cs="Georgia" w:eastAsia="Georgia" w:hAnsi="Georgia"/>
          <w:i/>
          <w:iCs/>
          <w:color w:val="2E7D8C"/>
          <w:sz w:val="23"/>
          <w:szCs w:val="23"/>
        </w:rPr>
        <w:t xml:space="preserve">Designing Human-Centered Learning in AI-Rich Classrooms</w:t>
      </w:r>
    </w:p>
    <w:p>
      <w:pPr>
        <w:spacing w:after="80"/>
        <w:jc w:val="center"/>
      </w:pPr>
      <w:r>
        <w:rPr>
          <w:rFonts w:ascii="Georgia" w:cs="Georgia" w:eastAsia="Georgia" w:hAnsi="Georgia"/>
          <w:color w:val="C5DCE4"/>
          <w:sz w:val="19"/>
          <w:szCs w:val="19"/>
        </w:rPr>
        <w:t xml:space="preserve">Andrew Cajina  ·  High School Mathematics  ·  Colegio Nueva Granada  ·  June 2026</w:t>
      </w:r>
    </w:p>
    <w:p>
      <w:pPr>
        <w:pBdr>
          <w:bottom w:val="single" w:color="C9952A" w:sz="3" w:space="8"/>
        </w:pBdr>
        <w:spacing w:after="0"/>
      </w:pPr>
    </w:p>
    <w:p>
      <w:pPr>
        <w:spacing w:after="160"/>
      </w:pPr>
    </w:p>
    <w:p>
      <w:pPr>
        <w:spacing w:after="80" w:before="200"/>
      </w:pPr>
      <w:r>
        <w:rPr>
          <w:rFonts w:ascii="DM Sans" w:cs="DM Sans" w:eastAsia="DM Sans" w:hAnsi="DM Sans"/>
          <w:b/>
          <w:bCs/>
          <w:color w:val="C9952A"/>
          <w:sz w:val="20"/>
          <w:szCs w:val="20"/>
        </w:rPr>
        <w:t xml:space="preserve">PROJECT TITLE</w:t>
      </w:r>
    </w:p>
    <w:p>
      <w:pPr>
        <w:pBdr>
          <w:bottom w:val="single" w:color="2E7D8C" w:sz="3" w:space="8"/>
        </w:pBdr>
        <w:spacing w:after="0"/>
      </w:pPr>
    </w:p>
    <w:p>
      <w:pPr>
        <w:spacing w:after="80"/>
      </w:pPr>
    </w:p>
    <w:p>
      <w:pPr>
        <w:pStyle w:val="Normal"/>
        <w:spacing w:after="140"/>
      </w:pPr>
      <w:r>
        <w:rPr>
          <w:rFonts w:ascii="Georgia" w:cs="Georgia" w:eastAsia="Georgia" w:hAnsi="Georgia"/>
          <w:b/>
          <w:bCs/>
          <w:sz w:val="24"/>
          <w:szCs w:val="24"/>
        </w:rPr>
        <w:t xml:space="preserve">Designing Human-Centered Learning in AI-Rich Classrooms</w:t>
      </w:r>
      <w:r>
        <w:rPr>
          <w:rFonts w:ascii="Georgia" w:cs="Georgia" w:eastAsia="Georgia" w:hAnsi="Georgia"/>
          <w:sz w:val="24"/>
          <w:szCs w:val="24"/>
        </w:rPr>
        <w:t xml:space="preserve">: A Teacher Capacity Fellowship in Assessment Redesign, Visible Reasoning, and AI-Informed Practice</w:t>
      </w:r>
    </w:p>
    <w:p>
      <w:pPr>
        <w:pStyle w:val="Normal"/>
        <w:spacing w:after="140"/>
      </w:pPr>
      <w:r>
        <w:rPr>
          <w:rFonts w:ascii="Georgia" w:cs="Georgia" w:eastAsia="Georgia" w:hAnsi="Georgia"/>
          <w:sz w:val="24"/>
          <w:szCs w:val="24"/>
        </w:rPr>
        <w:t xml:space="preserve">Subtitle: </w:t>
      </w:r>
      <w:r>
        <w:rPr>
          <w:rFonts w:ascii="Georgia" w:cs="Georgia" w:eastAsia="Georgia" w:hAnsi="Georgia"/>
          <w:i/>
          <w:iCs/>
          <w:sz w:val="24"/>
          <w:szCs w:val="24"/>
        </w:rPr>
        <w:t xml:space="preserve">Building the teacher judgment that makes learning visible when AI can produce the work.</w:t>
      </w:r>
    </w:p>
    <w:p>
      <w:pPr>
        <w:spacing w:after="120"/>
      </w:pPr>
    </w:p>
    <w:p>
      <w:pPr>
        <w:spacing w:after="80" w:before="200"/>
      </w:pPr>
      <w:r>
        <w:rPr>
          <w:rFonts w:ascii="DM Sans" w:cs="DM Sans" w:eastAsia="DM Sans" w:hAnsi="DM Sans"/>
          <w:b/>
          <w:bCs/>
          <w:color w:val="C9952A"/>
          <w:sz w:val="20"/>
          <w:szCs w:val="20"/>
        </w:rPr>
        <w:t xml:space="preserve">PROBLEM OF PRACTICE</w:t>
      </w:r>
    </w:p>
    <w:p>
      <w:pPr>
        <w:pBdr>
          <w:bottom w:val="single" w:color="2E7D8C" w:sz="3" w:space="8"/>
        </w:pBdr>
        <w:spacing w:after="0"/>
      </w:pPr>
    </w:p>
    <w:p>
      <w:pPr>
        <w:spacing w:after="80"/>
      </w:pPr>
    </w:p>
    <w:p>
      <w:pPr>
        <w:pStyle w:val="Normal"/>
        <w:spacing w:after="140"/>
      </w:pPr>
      <w:r>
        <w:rPr>
          <w:rFonts w:ascii="Georgia" w:cs="Georgia" w:eastAsia="Georgia" w:hAnsi="Georgia"/>
          <w:sz w:val="24"/>
          <w:szCs w:val="24"/>
        </w:rPr>
        <w:t xml:space="preserve">When generative AI can produce polished essays, mathematical analyses, lab reports, and code, the final products students submit no longer reliably tell teachers what a student actually understands. A student who outsourced the work and a student who genuinely understood it can produce indistinguishable outputs. This is not primarily an integrity problem — it is an </w:t>
      </w:r>
      <w:r>
        <w:rPr>
          <w:rFonts w:ascii="Georgia" w:cs="Georgia" w:eastAsia="Georgia" w:hAnsi="Georgia"/>
          <w:b/>
          <w:bCs/>
          <w:sz w:val="24"/>
          <w:szCs w:val="24"/>
        </w:rPr>
        <w:t xml:space="preserve">assessment validity problem</w:t>
      </w:r>
      <w:r>
        <w:rPr>
          <w:rFonts w:ascii="Georgia" w:cs="Georgia" w:eastAsia="Georgia" w:hAnsi="Georgia"/>
          <w:sz w:val="24"/>
          <w:szCs w:val="24"/>
        </w:rPr>
        <w:t xml:space="preserve">, and it was present before AI. AI simply made it impossible to ignore.</w:t>
      </w:r>
    </w:p>
    <w:p>
      <w:pPr>
        <w:pStyle w:val="Normal"/>
        <w:spacing w:after="140"/>
      </w:pPr>
      <w:r>
        <w:rPr>
          <w:rFonts w:ascii="Georgia" w:cs="Georgia" w:eastAsia="Georgia" w:hAnsi="Georgia"/>
          <w:sz w:val="24"/>
          <w:szCs w:val="24"/>
        </w:rPr>
        <w:t xml:space="preserve">The deeper issue is what this reveals about how we have been designing learning. When the Science of Learning tells us that brains encode knowledge through </w:t>
      </w:r>
      <w:r>
        <w:rPr>
          <w:rFonts w:ascii="Georgia" w:cs="Georgia" w:eastAsia="Georgia" w:hAnsi="Georgia"/>
          <w:b/>
          <w:bCs/>
          <w:sz w:val="24"/>
          <w:szCs w:val="24"/>
        </w:rPr>
        <w:t xml:space="preserve">active retrieval, effortful processing, and error feedback</w:t>
      </w:r>
      <w:r>
        <w:rPr>
          <w:rFonts w:ascii="Georgia" w:cs="Georgia" w:eastAsia="Georgia" w:hAnsi="Georgia"/>
          <w:sz w:val="24"/>
          <w:szCs w:val="24"/>
        </w:rPr>
        <w:t xml:space="preserve"> (Dehaene, 2020), AI-bypassed tasks eliminate the very conditions that make learning happen. Passive receipt of AI-generated answers suppresses the active engagement Dehaene identifies as one of four non-negotiable pillars of learning. </w:t>
      </w:r>
      <w:r>
        <w:rPr>
          <w:rFonts w:ascii="Georgia" w:cs="Georgia" w:eastAsia="Georgia" w:hAnsi="Georgia"/>
          <w:b/>
          <w:bCs/>
          <w:sz w:val="24"/>
          <w:szCs w:val="24"/>
        </w:rPr>
        <w:t xml:space="preserve">Neuroteach</w:t>
      </w:r>
      <w:r>
        <w:rPr>
          <w:rFonts w:ascii="Georgia" w:cs="Georgia" w:eastAsia="Georgia" w:hAnsi="Georgia"/>
          <w:sz w:val="24"/>
          <w:szCs w:val="24"/>
        </w:rPr>
        <w:t xml:space="preserve"> (Whitman &amp; Kelleher, 2016) frames this as the "desirable difficulty" problem: difficulty that engages productive struggle is not an obstacle to learning — it is the mechanism. When AI removes that difficulty, learning does not simply become easier. It does not occur.</w:t>
      </w:r>
    </w:p>
    <w:p>
      <w:pPr>
        <w:pStyle w:val="Normal"/>
        <w:spacing w:after="140"/>
      </w:pPr>
      <w:r>
        <w:rPr>
          <w:rFonts w:ascii="Georgia" w:cs="Georgia" w:eastAsia="Georgia" w:hAnsi="Georgia"/>
          <w:sz w:val="24"/>
          <w:szCs w:val="24"/>
        </w:rPr>
        <w:t xml:space="preserve">CNG teachers increasingly face a classroom in which they can evaluate polished products but cannot interpret student thinking. This fellowship addresses that directly: developing teacher capacity to </w:t>
      </w:r>
      <w:r>
        <w:rPr>
          <w:rFonts w:ascii="Georgia" w:cs="Georgia" w:eastAsia="Georgia" w:hAnsi="Georgia"/>
          <w:b/>
          <w:bCs/>
          <w:sz w:val="24"/>
          <w:szCs w:val="24"/>
        </w:rPr>
        <w:t xml:space="preserve">redesign assessment so that student reasoning — not just finished products — becomes the assessable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CE4" w:sz="4"/>
              <w:left w:val="single" w:color="C5DCE4" w:sz="4"/>
              <w:bottom w:val="single" w:color="C5DCE4" w:sz="4"/>
              <w:right w:val="single" w:color="C5DCE4" w:sz="4"/>
            </w:tcBorders>
            <w:shd w:fill="FBF4E8" w:val="clear"/>
            <w:tcMar>
              <w:top w:type="dxa" w:w="120"/>
              <w:left w:type="dxa" w:w="200"/>
              <w:bottom w:type="dxa" w:w="120"/>
              <w:right w:type="dxa" w:w="200"/>
            </w:tcMar>
          </w:tcPr>
          <w:p>
            <w:pPr>
              <w:spacing w:after="0"/>
            </w:pPr>
            <w:r>
              <w:rPr>
                <w:rFonts w:ascii="Georgia" w:cs="Georgia" w:eastAsia="Georgia" w:hAnsi="Georgia"/>
                <w:i/>
                <w:iCs/>
                <w:color w:val="222222"/>
                <w:sz w:val="20"/>
                <w:szCs w:val="20"/>
              </w:rPr>
              <w:t xml:space="preserve">The organizing question: "If AI completed this task perfectly, what learning would disappear?" When the answer is everything — the task needs redesign. When the answer is nothing significant — the design is working.</w:t>
            </w:r>
          </w:p>
        </w:tc>
      </w:tr>
    </w:tbl>
    <w:p>
      <w:pPr>
        <w:spacing w:after="120"/>
      </w:pPr>
    </w:p>
    <w:p>
      <w:pPr>
        <w:spacing w:after="80" w:before="200"/>
      </w:pPr>
      <w:r>
        <w:rPr>
          <w:rFonts w:ascii="DM Sans" w:cs="DM Sans" w:eastAsia="DM Sans" w:hAnsi="DM Sans"/>
          <w:b/>
          <w:bCs/>
          <w:color w:val="C9952A"/>
          <w:sz w:val="20"/>
          <w:szCs w:val="20"/>
        </w:rPr>
        <w:t xml:space="preserve">ALIGNMENT WITH CNG PRIORITIES AND THE SCIENCE OF LEARNING</w:t>
      </w:r>
    </w:p>
    <w:p>
      <w:pPr>
        <w:pBdr>
          <w:bottom w:val="single" w:color="2E7D8C" w:sz="3" w:space="8"/>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CNG Mission &amp; Vision</w:t>
            </w:r>
          </w:p>
        </w:tc>
        <w:tc>
          <w:tcPr>
            <w:tcW w:type="dxa" w:w="65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Developing teachers who can design learning that remains meaningful, visible, and assessable when AI shapes how academic work is produced. Directly addresses the mission to develop responsible global citizens who achieve their fullest potential — which requires that assessment still tells us what students actually understand.</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Science of Learning — Dehaene (2020)</w:t>
            </w:r>
          </w:p>
        </w:tc>
        <w:tc>
          <w:tcPr>
            <w:tcW w:type="dxa" w:w="65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Dehaene's four pillars: attention, active engagement, error feedback, consolidation. AI-bypassed tasks violate at least three. The VISTA Protocol asks whether each task still produces the conditions under which brains learn. Assessment redesign is not pedagogical housekeeping — it is neurological necessity.</w:t>
            </w:r>
          </w:p>
        </w:tc>
      </w:tr>
      <w:tr>
        <w:trPr>
          <w:cantSplit/>
        </w:trPr>
        <w:tc>
          <w:tcPr>
            <w:tcW w:type="dxa" w:w="28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Science of Learning — Neuroteach (Whitman &amp; Kelleher, 2016)</w:t>
            </w:r>
          </w:p>
        </w:tc>
        <w:tc>
          <w:tcPr>
            <w:tcW w:type="dxa" w:w="65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Neuroteach grounds CNG's instructional model. The fellowship applies three of its core principles directly: (1) desirable difficulty — tasks must require genuine effortful processing; (2) retrieval practice — visible reasoning artifacts require students to reconstruct and articulate understanding, not just produce it; (3) metacognition — VSR and reflection cycles build the habit of examining one's own thinking process.</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Responsible &amp; Ethical AI Use</w:t>
            </w:r>
          </w:p>
        </w:tc>
        <w:tc>
          <w:tcPr>
            <w:tcW w:type="dxa" w:w="65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The AI Stress-Test step teaches teachers to critique AI output for accuracy, bias, and hollowness before trusting it — and models the same critical stance we want students to develop. The SAIL framework is embedded in every redesigned assessment, making AI-use decisions deliberate and documentable.</w:t>
            </w:r>
          </w:p>
        </w:tc>
      </w:tr>
      <w:tr>
        <w:trPr>
          <w:cantSplit/>
        </w:trPr>
        <w:tc>
          <w:tcPr>
            <w:tcW w:type="dxa" w:w="28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Authentic Assessment in the Age of AI</w:t>
            </w:r>
          </w:p>
        </w:tc>
        <w:tc>
          <w:tcPr>
            <w:tcW w:type="dxa" w:w="65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The fellowship's entire focus. Every redesigned assessment must generate evidence of genuine student thinking that cannot be produced by AI alone. VISTA (Visibility Into Student Thinking and Agency) is the instrument that operationalises this.</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AI-Powered Learning Supports — CNG Chatbot</w:t>
            </w:r>
          </w:p>
        </w:tc>
        <w:tc>
          <w:tcPr>
            <w:tcW w:type="dxa" w:w="65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The fellowship proposes a CNG-specific AI chatbot as a Year 2 institutional output: a disciplinary thinking partner trained on CNG's own pedagogical frameworks, SAIL levels, and reasoning exemplars from Year 1. Unlike generic AI tools, a CNG chatbot would know what a CNG student is supposed to be learning, and could scaffold thinking rather than replace it.</w:t>
            </w:r>
          </w:p>
        </w:tc>
      </w:tr>
      <w:tr>
        <w:trPr>
          <w:cantSplit/>
        </w:trPr>
        <w:tc>
          <w:tcPr>
            <w:tcW w:type="dxa" w:w="28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Strategic Directions — Shareable &amp; Scalable</w:t>
            </w:r>
          </w:p>
        </w:tc>
        <w:tc>
          <w:tcPr>
            <w:tcW w:type="dxa" w:w="65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All tools, protocols, and iteration records produced in Year 1 are designed for transfer: to the AI Task Force, to departments, across divisions. The VISTA website is bilingual, open-access, and discipline-agnostic. Year 1 teachers become Year 2 mentors.</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Innovation Learning Initiative</w:t>
            </w:r>
          </w:p>
        </w:tc>
        <w:tc>
          <w:tcPr>
            <w:tcW w:type="dxa" w:w="65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Structured professional inquiry, evidence-based iteration, and institutional knowledge building. Year 1 evidence base prepares Year 2 department-level implementation.</w:t>
            </w:r>
          </w:p>
        </w:tc>
      </w:tr>
    </w:tbl>
    <w:p>
      <w:pPr>
        <w:spacing w:after="120"/>
      </w:pPr>
    </w:p>
    <w:p>
      <w:pPr>
        <w:spacing w:after="80" w:before="200"/>
      </w:pPr>
      <w:r>
        <w:rPr>
          <w:rFonts w:ascii="DM Sans" w:cs="DM Sans" w:eastAsia="DM Sans" w:hAnsi="DM Sans"/>
          <w:b/>
          <w:bCs/>
          <w:color w:val="C9952A"/>
          <w:sz w:val="20"/>
          <w:szCs w:val="20"/>
        </w:rPr>
        <w:t xml:space="preserve">PROJECT DESCRIPTION</w:t>
      </w:r>
    </w:p>
    <w:p>
      <w:pPr>
        <w:pBdr>
          <w:bottom w:val="single" w:color="2E7D8C" w:sz="3" w:space="8"/>
        </w:pBdr>
        <w:spacing w:after="0"/>
      </w:pPr>
    </w:p>
    <w:p>
      <w:pPr>
        <w:spacing w:after="80"/>
      </w:pPr>
    </w:p>
    <w:p>
      <w:pPr>
        <w:pStyle w:val="Normal"/>
        <w:spacing w:after="140"/>
      </w:pPr>
      <w:r>
        <w:rPr>
          <w:rFonts w:ascii="Georgia" w:cs="Georgia" w:eastAsia="Georgia" w:hAnsi="Georgia"/>
          <w:sz w:val="24"/>
          <w:szCs w:val="24"/>
        </w:rPr>
        <w:t xml:space="preserve">This is a professional learning fellowship, not a research agenda. Six High School teachers work in three mixed-experience pairs across one academic year. Each teacher selects one existing assessment, audits it using the VISTA Protocol, redesigns it to make student reasoning visible, teaches it, collects student reasoning evidence, and reflects through two structured cycles. The tools and protocols they produce are handed off to the AI Task Force for Year 2 institutional scaling.</w:t>
      </w:r>
    </w:p>
    <w:p>
      <w:pPr>
        <w:spacing w:after="60"/>
      </w:pPr>
    </w:p>
    <w:p>
      <w:pPr>
        <w:pStyle w:val="Normal"/>
        <w:spacing w:after="140"/>
      </w:pPr>
      <w:r>
        <w:rPr>
          <w:rFonts w:ascii="Georgia" w:cs="Georgia" w:eastAsia="Georgia" w:hAnsi="Georgia"/>
          <w:b/>
          <w:bCs/>
          <w:sz w:val="24"/>
          <w:szCs w:val="24"/>
        </w:rPr>
        <w:t xml:space="preserve">The VISTA Protocol (Visibility Into Student Thinking and Agency) </w:t>
      </w:r>
      <w:r>
        <w:rPr>
          <w:rFonts w:ascii="Georgia" w:cs="Georgia" w:eastAsia="Georgia" w:hAnsi="Georgia"/>
          <w:sz w:val="24"/>
          <w:szCs w:val="24"/>
        </w:rPr>
        <w:t xml:space="preserve">is a structured assessment design instrument built around the organizing question. It operationalises a Science of Learning insight: assessment should generate evidence of the cognitive processes that constitute learning — reasoning, revision, decision-making, metacognition — not just the products those processes might eventually produce. This aligns directly with what Dehaene calls the "active engagement" pillar and what Neuroteach identifies as the conditions for genuine encoding.</w:t>
      </w:r>
    </w:p>
    <w:p>
      <w:pPr>
        <w:spacing w:after="60"/>
      </w:pPr>
    </w:p>
    <w:p>
      <w:pPr>
        <w:pStyle w:val="Normal"/>
        <w:spacing w:after="140"/>
      </w:pPr>
      <w:r>
        <w:rPr>
          <w:rFonts w:ascii="Georgia" w:cs="Georgia" w:eastAsia="Georgia" w:hAnsi="Georgia"/>
          <w:b/>
          <w:bCs/>
          <w:sz w:val="24"/>
          <w:szCs w:val="24"/>
        </w:rPr>
        <w:t xml:space="preserve">Two-Cycle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Cycle 1
Aug–Feb
Supported</w:t>
            </w:r>
          </w:p>
        </w:tc>
        <w:tc>
          <w:tcPr>
            <w:tcW w:type="dxa" w:w="71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Cajina models VISTA live on his own assessment (August launch). Teacher audits their selected assessment alone. Co-redesign with Cajina — he contributes AI-specific design knowledge; the teacher leads on content and pedagogy. Co-plan and supported enactment. Student reasoning artifacts collected. VSR Session 1: teacher and Cajina review a classroom clip together — "What did I think would happen here, and what actually happened?" Revision follows. Monthly lunch PLC (1 hour).</w:t>
            </w:r>
          </w:p>
        </w:tc>
      </w:tr>
      <w:tr>
        <w:trPr>
          <w:cantSplit/>
        </w:trPr>
        <w:tc>
          <w:tcPr>
            <w:tcW w:type="dxa" w:w="22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Cycle 2
Feb–Jun
Supported
Independence</w:t>
            </w:r>
          </w:p>
        </w:tc>
        <w:tc>
          <w:tcPr>
            <w:tcW w:type="dxa" w:w="71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Teacher redesigns a second assessment independently. No co-planning; no co-teaching. Cajina provides one structured written feedback pass on the redesign before enactment — focused on AI-related design decisions and visible reasoning strategy only. Teacher enacts independently. VSR Session 2: peer-facilitated by the pair partner; Cajina attends as a silent moderator, intervening only if a significant gap is missed. Student artifacts reviewed. Each teacher brings their two-cycle arc to their own department in June: iteration records, VISTA artifacts, student reasoning evidence. This is the bridge from individual to collective capacity.</w:t>
            </w:r>
          </w:p>
        </w:tc>
      </w:tr>
    </w:tbl>
    <w:p>
      <w:pPr>
        <w:spacing w:after="80"/>
      </w:pPr>
    </w:p>
    <w:p>
      <w:pPr>
        <w:pStyle w:val="Normal"/>
        <w:spacing w:after="140"/>
      </w:pPr>
      <w:r>
        <w:rPr>
          <w:rFonts w:ascii="Georgia" w:cs="Georgia" w:eastAsia="Georgia" w:hAnsi="Georgia"/>
          <w:b/>
          <w:bCs/>
          <w:sz w:val="24"/>
          <w:szCs w:val="24"/>
        </w:rPr>
        <w:t xml:space="preserve">The AI Stress-Test </w:t>
      </w:r>
      <w:r>
        <w:rPr>
          <w:rFonts w:ascii="Georgia" w:cs="Georgia" w:eastAsia="Georgia" w:hAnsi="Georgia"/>
          <w:sz w:val="24"/>
          <w:szCs w:val="24"/>
        </w:rPr>
        <w:t xml:space="preserve">is the fellowship's digital coaching mechanism — built into the VISTA website. Before each redesign, teachers run their own task through an AI tool the way a student would, then work through four guided moves: What can AI do with this task? How much of it can you trust? What would happen in your classroom? Who does what — the student or the AI? Each move starts with the teacher's own thinking before any AI is opened, then uses iterative prompting to go deeper. This is the routine the fellowship is trying to build: not AI dependence, but the critical, independent judgment that uses AI as a thinking partner. By Cycle 2, teachers run it alone.</w:t>
      </w:r>
    </w:p>
    <w:p>
      <w:pPr>
        <w:spacing w:after="80"/>
      </w:pPr>
    </w:p>
    <w:p>
      <w:pPr>
        <w:pStyle w:val="Normal"/>
        <w:spacing w:after="140"/>
      </w:pPr>
      <w:r>
        <w:rPr>
          <w:rFonts w:ascii="Georgia" w:cs="Georgia" w:eastAsia="Georgia" w:hAnsi="Georgia"/>
          <w:b/>
          <w:bCs/>
          <w:sz w:val="24"/>
          <w:szCs w:val="24"/>
        </w:rPr>
        <w:t xml:space="preserve">The CNG Chatbot Proposal.</w:t>
      </w:r>
      <w:r>
        <w:rPr>
          <w:rFonts w:ascii="Georgia" w:cs="Georgia" w:eastAsia="Georgia" w:hAnsi="Georgia"/>
          <w:sz w:val="24"/>
          <w:szCs w:val="24"/>
        </w:rPr>
        <w:t xml:space="preserve"> A critical finding from the classroom pilots: when students were given a tool that pushed them to think — rather than one that gave them answers — many chose it. The discipline-specific thinking partner was more valuable than the most powerful generative AI. CNG has an opportunity to build exactly that: an institution-specific AI chatbot trained on CNG's own assessment frameworks, SAIL levels, disciplinary reasoning standards, and student reasoning exemplars generated during Year 1. Such a tool would know what CNG expects from a student in each subject, scaffold toward those expectations rather than away from them, and give teachers confidence that the AI in their classroom is pedagogically aligned. This is precisely what the fellowship call describes as "AI-powered learning supports (e.g., tutorial chatbots)" — and Year 1 produces the knowledge base from which it could be built.</w:t>
      </w:r>
    </w:p>
    <w:p>
      <w:pPr>
        <w:spacing w:after="120"/>
      </w:pPr>
    </w:p>
    <w:p>
      <w:pPr>
        <w:spacing w:after="80" w:before="200"/>
      </w:pPr>
      <w:r>
        <w:rPr>
          <w:rFonts w:ascii="DM Sans" w:cs="DM Sans" w:eastAsia="DM Sans" w:hAnsi="DM Sans"/>
          <w:b/>
          <w:bCs/>
          <w:color w:val="C9952A"/>
          <w:sz w:val="20"/>
          <w:szCs w:val="20"/>
        </w:rPr>
        <w:t xml:space="preserve">DELIVERABLES</w:t>
      </w:r>
    </w:p>
    <w:p>
      <w:pPr>
        <w:pBdr>
          <w:bottom w:val="single" w:color="2E7D8C" w:sz="3" w:space="8"/>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VISTA Protocol Website</w:t>
            </w:r>
          </w:p>
        </w:tc>
        <w:tc>
          <w:tcPr>
            <w:tcW w:type="dxa" w:w="63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Interactive, bilingual (EN/ES) assessment audit tool — Initial Audit → AI Stress-Test → Final Audit. Open-access, discipline-agnostic. Designed for independent teacher use from Cycle 2 onward.</w:t>
            </w:r>
          </w:p>
        </w:tc>
      </w:tr>
      <w:tr>
        <w:trPr>
          <w:cantSplit/>
        </w:trPr>
        <w:tc>
          <w:tcPr>
            <w:tcW w:type="dxa" w:w="30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6 Teacher Iteration Records</w:t>
            </w:r>
          </w:p>
        </w:tc>
        <w:tc>
          <w:tcPr>
            <w:tcW w:type="dxa" w:w="63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Complete two-cycle arcs: initial VISTA audit, AI Stress-Test documentation, redesigned assessment, student reasoning artifacts, VSR transcripts, revision notes. The raw evidence base for Year 2.</w:t>
            </w:r>
          </w:p>
        </w:tc>
      </w:tr>
      <w:tr>
        <w:trPr>
          <w:cantSplit/>
        </w:trPr>
        <w:tc>
          <w:tcPr>
            <w:tcW w:type="dxa" w:w="30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AI-TPACK Development Evidence</w:t>
            </w:r>
          </w:p>
        </w:tc>
        <w:tc>
          <w:tcPr>
            <w:tcW w:type="dxa" w:w="63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Before/after teacher competence measures (TIAI) across both cycles for all 6 teachers. Documented evidence of capacity change.</w:t>
            </w:r>
          </w:p>
        </w:tc>
      </w:tr>
      <w:tr>
        <w:trPr>
          <w:cantSplit/>
        </w:trPr>
        <w:tc>
          <w:tcPr>
            <w:tcW w:type="dxa" w:w="30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Monthly Lunch PLC Protocol</w:t>
            </w:r>
          </w:p>
        </w:tc>
        <w:tc>
          <w:tcPr>
            <w:tcW w:type="dxa" w:w="63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Facilitation guide for 1-hour department-accessible PLC sessions. Two per year in Year 1; replicable for Year 2 without Cajina.</w:t>
            </w:r>
          </w:p>
        </w:tc>
      </w:tr>
      <w:tr>
        <w:trPr>
          <w:cantSplit/>
        </w:trPr>
        <w:tc>
          <w:tcPr>
            <w:tcW w:type="dxa" w:w="30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Cognitive Agency Knowledge Hub</w:t>
            </w:r>
          </w:p>
        </w:tc>
        <w:tc>
          <w:tcPr>
            <w:tcW w:type="dxa" w:w="63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Cross-disciplinary archive: VISTA artifacts, student reasoning exemplars by discipline, VSR reflection notes. Becomes the training corpus for a CNG chatbot.</w:t>
            </w:r>
          </w:p>
        </w:tc>
      </w:tr>
      <w:tr>
        <w:trPr>
          <w:cantSplit/>
        </w:trPr>
        <w:tc>
          <w:tcPr>
            <w:tcW w:type="dxa" w:w="30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CNG Chatbot Specification</w:t>
            </w:r>
          </w:p>
        </w:tc>
        <w:tc>
          <w:tcPr>
            <w:tcW w:type="dxa" w:w="63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 design specification and prototype brief for a discipline-specific CNG AI thinking partner: pedagogical framework, SAIL integration, disciplinary reasoning prompts, Year 1 exemplar training data. Ready for development in Year 2.</w:t>
            </w:r>
          </w:p>
        </w:tc>
      </w:tr>
      <w:tr>
        <w:trPr>
          <w:cantSplit/>
        </w:trPr>
        <w:tc>
          <w:tcPr>
            <w:tcW w:type="dxa" w:w="30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AI Task Force Handoff Package</w:t>
            </w:r>
          </w:p>
        </w:tc>
        <w:tc>
          <w:tcPr>
            <w:tcW w:type="dxa" w:w="63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Everything needed to run Year 2 without Cajina as primary facilitator: protocols, instruments, facilitation notes, Year 1 evidence base, chatbot specification.</w:t>
            </w:r>
          </w:p>
        </w:tc>
      </w:tr>
    </w:tbl>
    <w:p>
      <w:pPr>
        <w:spacing w:after="120"/>
      </w:pPr>
    </w:p>
    <w:p>
      <w:pPr>
        <w:spacing w:after="80" w:before="200"/>
      </w:pPr>
      <w:r>
        <w:rPr>
          <w:rFonts w:ascii="DM Sans" w:cs="DM Sans" w:eastAsia="DM Sans" w:hAnsi="DM Sans"/>
          <w:b/>
          <w:bCs/>
          <w:color w:val="C9952A"/>
          <w:sz w:val="20"/>
          <w:szCs w:val="20"/>
        </w:rPr>
        <w:t xml:space="preserve">TIMELINE</w:t>
      </w:r>
    </w:p>
    <w:p>
      <w:pPr>
        <w:pBdr>
          <w:bottom w:val="single" w:color="2E7D8C" w:sz="3" w:space="8"/>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August 2026</w:t>
            </w:r>
          </w:p>
        </w:tc>
        <w:tc>
          <w:tcPr>
            <w:tcW w:type="dxa" w:w="6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Fellowship launch. Full cohort session (60 min). Cajina models VISTA on his own assessment. Each pair identifies their Cycle 1 assessment.</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September–October</w:t>
            </w:r>
          </w:p>
        </w:tc>
        <w:tc>
          <w:tcPr>
            <w:tcW w:type="dxa" w:w="6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Cycle 1 VISTA audits. Co-redesign with Cajina. Co-planning sessions (Cajina: AI-TPACK; teacher: content and pedagogy).</w:t>
            </w:r>
          </w:p>
        </w:tc>
      </w:tr>
      <w:tr>
        <w:trPr>
          <w:cantSplit/>
        </w:trPr>
        <w:tc>
          <w:tcPr>
            <w:tcW w:type="dxa" w:w="2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October–November</w:t>
            </w:r>
          </w:p>
        </w:tc>
        <w:tc>
          <w:tcPr>
            <w:tcW w:type="dxa" w:w="6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Supported enactment. Student reasoning artifacts collected. AI Stress-Test run on each redesigned task.</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November</w:t>
            </w:r>
          </w:p>
        </w:tc>
        <w:tc>
          <w:tcPr>
            <w:tcW w:type="dxa" w:w="6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PLC Session 1 — monthly lunch, 1 hour. Pairs share artifact findings. Each teacher names one Cycle 2 redesign priority.</w:t>
            </w:r>
          </w:p>
        </w:tc>
      </w:tr>
      <w:tr>
        <w:trPr>
          <w:cantSplit/>
        </w:trPr>
        <w:tc>
          <w:tcPr>
            <w:tcW w:type="dxa" w:w="2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January–February 2027</w:t>
            </w:r>
          </w:p>
        </w:tc>
        <w:tc>
          <w:tcPr>
            <w:tcW w:type="dxa" w:w="6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VSR Session 1 — Cajina facilitates. Assessment revision. Cycle 2 planning begins.</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February–April</w:t>
            </w:r>
          </w:p>
        </w:tc>
        <w:tc>
          <w:tcPr>
            <w:tcW w:type="dxa" w:w="6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Cycle 2 supported independence. Teachers redesign and enact independently. Cajina provides one written feedback pass before enactment; attends VSR Session 2 as a silent moderator.</w:t>
            </w:r>
          </w:p>
        </w:tc>
      </w:tr>
      <w:tr>
        <w:trPr>
          <w:cantSplit/>
        </w:trPr>
        <w:tc>
          <w:tcPr>
            <w:tcW w:type="dxa" w:w="2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April</w:t>
            </w:r>
          </w:p>
        </w:tc>
        <w:tc>
          <w:tcPr>
            <w:tcW w:type="dxa" w:w="6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PLC Session 2 — monthly lunch, 1 hour. Cycle 2 check-in. Transfer session preparation begins.</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April–May</w:t>
            </w:r>
          </w:p>
        </w:tc>
        <w:tc>
          <w:tcPr>
            <w:tcW w:type="dxa" w:w="6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VSR Session 2 — peer-facilitated; Cajina moderates but does not lead. CNG chatbot specification drafted from Year 1 evidence.</w:t>
            </w:r>
          </w:p>
        </w:tc>
      </w:tr>
      <w:tr>
        <w:trPr>
          <w:cantSplit/>
        </w:trPr>
        <w:tc>
          <w:tcPr>
            <w:tcW w:type="dxa" w:w="2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May–June</w:t>
            </w:r>
          </w:p>
        </w:tc>
        <w:tc>
          <w:tcPr>
            <w:tcW w:type="dxa" w:w="6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Department transfer sessions. Each teacher brings their two-cycle arc to their own department.</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June 2027</w:t>
            </w:r>
          </w:p>
        </w:tc>
        <w:tc>
          <w:tcPr>
            <w:tcW w:type="dxa" w:w="6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Full cohort showcase. AI Task Force handoff. Chatbot specification and Cognitive Agency Knowledge Hub delivered.</w:t>
            </w:r>
          </w:p>
        </w:tc>
      </w:tr>
    </w:tbl>
    <w:p>
      <w:pPr>
        <w:spacing w:after="120"/>
      </w:pPr>
    </w:p>
    <w:p>
      <w:pPr>
        <w:spacing w:after="80" w:before="200"/>
      </w:pPr>
      <w:r>
        <w:rPr>
          <w:rFonts w:ascii="DM Sans" w:cs="DM Sans" w:eastAsia="DM Sans" w:hAnsi="DM Sans"/>
          <w:b/>
          <w:bCs/>
          <w:color w:val="C9952A"/>
          <w:sz w:val="20"/>
          <w:szCs w:val="20"/>
        </w:rPr>
        <w:t xml:space="preserve">EXPECTED IMPACT AND SUCCESS INDICATORS</w:t>
      </w:r>
    </w:p>
    <w:p>
      <w:pPr>
        <w:pBdr>
          <w:bottom w:val="single" w:color="2E7D8C" w:sz="3" w:space="8"/>
        </w:pBdr>
        <w:spacing w:after="0"/>
      </w:pPr>
    </w:p>
    <w:p>
      <w:pPr>
        <w:spacing w:after="80"/>
      </w:pPr>
    </w:p>
    <w:p>
      <w:pPr>
        <w:pStyle w:val="Normal"/>
        <w:spacing w:after="140"/>
      </w:pPr>
      <w:r>
        <w:rPr>
          <w:rFonts w:ascii="Georgia" w:cs="Georgia" w:eastAsia="Georgia" w:hAnsi="Georgia"/>
          <w:b/>
          <w:bCs/>
          <w:sz w:val="24"/>
          <w:szCs w:val="24"/>
        </w:rPr>
        <w:t xml:space="preserve">Teacher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VISTA audit competence</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All 6 teachers complete two independent VISTA audits by June 2027. Cycle 2 audit requires no co-planning with Cajina.</w:t>
            </w:r>
          </w:p>
        </w:tc>
      </w:tr>
      <w:tr>
        <w:trPr>
          <w:cantSplit/>
        </w:trPr>
        <w:tc>
          <w:tcPr>
            <w:tcW w:type="dxa" w:w="3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AI-TPACK development</w:t>
            </w:r>
          </w:p>
        </w:tc>
        <w:tc>
          <w:tcPr>
            <w:tcW w:type="dxa" w:w="5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Measurable shift in TIAI (Teacher Integration of AI-TPACK Instrument) between August 2026 and June 2027 for all participants.</w:t>
            </w:r>
          </w:p>
        </w:tc>
      </w:tr>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Assessment redesign confidence</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Teachers can name, with specific evidence, why a redesigned task generates interpretable learning evidence that the original did not.</w:t>
            </w:r>
          </w:p>
        </w:tc>
      </w:tr>
      <w:tr>
        <w:trPr>
          <w:cantSplit/>
        </w:trPr>
        <w:tc>
          <w:tcPr>
            <w:tcW w:type="dxa" w:w="3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Iterative AI use</w:t>
            </w:r>
          </w:p>
        </w:tc>
        <w:tc>
          <w:tcPr>
            <w:tcW w:type="dxa" w:w="5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Teachers demonstrate the think-first-then-deepen routine independently — using AI as a critical thinking partner, not a shortcut.</w:t>
            </w:r>
          </w:p>
        </w:tc>
      </w:tr>
    </w:tbl>
    <w:p>
      <w:pPr>
        <w:spacing w:after="60"/>
      </w:pPr>
    </w:p>
    <w:p>
      <w:pPr>
        <w:pStyle w:val="Normal"/>
        <w:spacing w:after="140"/>
      </w:pPr>
      <w:r>
        <w:rPr>
          <w:rFonts w:ascii="Georgia" w:cs="Georgia" w:eastAsia="Georgia" w:hAnsi="Georgia"/>
          <w:b/>
          <w:bCs/>
          <w:sz w:val="24"/>
          <w:szCs w:val="24"/>
        </w:rPr>
        <w:t xml:space="preserve">Student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Visible reasoning evidence</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Student reasoning artifacts — vlogs, annotated drafts, revision notes, AI disclosure reflections — present in all redesigned assessments.</w:t>
            </w:r>
          </w:p>
        </w:tc>
      </w:tr>
      <w:tr>
        <w:trPr>
          <w:cantSplit/>
        </w:trPr>
        <w:tc>
          <w:tcPr>
            <w:tcW w:type="dxa" w:w="3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Agency toward learning</w:t>
            </w:r>
          </w:p>
        </w:tc>
        <w:tc>
          <w:tcPr>
            <w:tcW w:type="dxa" w:w="5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Students make deliberate AI-use decisions aligned with their chosen SAIL level, documented and discussable.</w:t>
            </w:r>
          </w:p>
        </w:tc>
      </w:tr>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Science of Learning alignment</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Redesigned assessments produce the conditions Dehaene and Neuroteach identify as necessary: effortful retrieval, error feedback, active engagement, metacognitive reflection.</w:t>
            </w:r>
          </w:p>
        </w:tc>
      </w:tr>
    </w:tbl>
    <w:p>
      <w:pPr>
        <w:spacing w:after="60"/>
      </w:pPr>
    </w:p>
    <w:p>
      <w:pPr>
        <w:pStyle w:val="Normal"/>
        <w:spacing w:after="140"/>
      </w:pPr>
      <w:r>
        <w:rPr>
          <w:rFonts w:ascii="Georgia" w:cs="Georgia" w:eastAsia="Georgia" w:hAnsi="Georgia"/>
          <w:b/>
          <w:bCs/>
          <w:sz w:val="24"/>
          <w:szCs w:val="24"/>
        </w:rPr>
        <w:t xml:space="preserve">Institutional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Scalable Year 2</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AI Task Force receives a complete handoff package. Year 1 teachers serve as mentors. Department leadership joins facilitation. Fellowship runs without Cajina as primary driver.</w:t>
            </w:r>
          </w:p>
        </w:tc>
      </w:tr>
      <w:tr>
        <w:trPr>
          <w:cantSplit/>
        </w:trPr>
        <w:tc>
          <w:tcPr>
            <w:tcW w:type="dxa" w:w="3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CNG Chatbot foundation</w:t>
            </w:r>
          </w:p>
        </w:tc>
        <w:tc>
          <w:tcPr>
            <w:tcW w:type="dxa" w:w="5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A design specification and prototype brief for a CNG-specific AI thinking partner, grounded in Year 1 student reasoning exemplars and CNG's own pedagogical frameworks.</w:t>
            </w:r>
          </w:p>
        </w:tc>
      </w:tr>
      <w:tr>
        <w:trPr>
          <w:cantSplit/>
        </w:trPr>
        <w:tc>
          <w:tcPr>
            <w:tcW w:type="dxa" w:w="340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Cross-disciplinary tools</w:t>
            </w:r>
          </w:p>
        </w:tc>
        <w:tc>
          <w:tcPr>
            <w:tcW w:type="dxa" w:w="5960"/>
            <w:tcBorders>
              <w:top w:val="single" w:color="C5DCE4" w:sz="4"/>
              <w:left w:val="single" w:color="C5DCE4" w:sz="4"/>
              <w:bottom w:val="single" w:color="C5DCE4" w:sz="4"/>
              <w:right w:val="single" w:color="C5DCE4" w:sz="4"/>
            </w:tcBorders>
            <w:shd w:fill="FDF3E3"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VISTA Protocol website, Knowledge Hub, and PLC protocol are discipline-agnostic and division-ready. Any department can use them from Year 2 without additional training.</w:t>
            </w:r>
          </w:p>
        </w:tc>
      </w:tr>
      <w:tr>
        <w:trPr>
          <w:cantSplit/>
        </w:trPr>
        <w:tc>
          <w:tcPr>
            <w:tcW w:type="dxa" w:w="340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b/>
                <w:bCs/>
                <w:color w:val="1B3A5C"/>
                <w:sz w:val="20"/>
                <w:szCs w:val="20"/>
              </w:rPr>
              <w:t xml:space="preserve">Shared professional language</w:t>
            </w:r>
          </w:p>
        </w:tc>
        <w:tc>
          <w:tcPr>
            <w:tcW w:type="dxa" w:w="5960"/>
            <w:tcBorders>
              <w:top w:val="single" w:color="C5DCE4" w:sz="4"/>
              <w:left w:val="single" w:color="C5DCE4" w:sz="4"/>
              <w:bottom w:val="single" w:color="C5DCE4" w:sz="4"/>
              <w:right w:val="single" w:color="C5DCE4" w:sz="4"/>
            </w:tcBorders>
            <w:shd w:fill="FFFFFF" w:val="clear"/>
            <w:tcMar>
              <w:top w:type="dxa" w:w="80"/>
              <w:left w:type="dxa" w:w="160"/>
              <w:bottom w:type="dxa" w:w="80"/>
              <w:right w:type="dxa" w:w="80"/>
            </w:tcMar>
          </w:tcPr>
          <w:p>
            <w:pPr>
              <w:spacing w:after="0"/>
            </w:pPr>
            <w:r>
              <w:rPr>
                <w:rFonts w:ascii="Georgia" w:cs="Georgia" w:eastAsia="Georgia" w:hAnsi="Georgia"/>
                <w:color w:val="222222"/>
                <w:sz w:val="20"/>
                <w:szCs w:val="20"/>
              </w:rPr>
              <w:t xml:space="preserve">Six transfer sessions produce cross-disciplinary evidence of what language, questions, and frameworks travel between teachers and subjects — the foundation for a CNG-wide AI pedagogy vocabulary.</w:t>
            </w:r>
          </w:p>
        </w:tc>
      </w:tr>
    </w:tbl>
    <w:p>
      <w:pPr>
        <w:spacing w:after="120"/>
      </w:pPr>
    </w:p>
    <w:p>
      <w:pPr>
        <w:pBdr>
          <w:bottom w:val="single" w:color="C9952A" w:sz="3" w:space="8"/>
        </w:pBdr>
        <w:spacing w:after="0"/>
      </w:pPr>
    </w:p>
    <w:p>
      <w:pPr>
        <w:spacing w:after="120"/>
      </w:pPr>
    </w:p>
    <w:p>
      <w:pPr>
        <w:pStyle w:val="Normal"/>
        <w:spacing w:after="140"/>
      </w:pPr>
      <w:r>
        <w:rPr>
          <w:rFonts w:ascii="Georgia" w:cs="Georgia" w:eastAsia="Georgia" w:hAnsi="Georgia"/>
          <w:sz w:val="24"/>
          <w:szCs w:val="24"/>
        </w:rPr>
        <w:t xml:space="preserve">This fellowship is not designed to answer every question AI raises in education. It is designed to develop the judgment, tools, and shared language teachers need to navigate those questions together — grounded in what the science of learning tells us about how the brain encodes knowledge, and what assessment design tells us about making that encoding visible. The CNG chatbot proposal grows directly from this ground: a tool that knows what CNG students are supposed to be learning, and helps them get there.</w:t>
      </w:r>
    </w:p>
    <w:p>
      <w:pPr>
        <w:spacing w:after="80"/>
      </w:pPr>
    </w:p>
    <w:p>
      <w:pPr>
        <w:pStyle w:val="Normal"/>
        <w:spacing w:after="140"/>
      </w:pPr>
      <w:r>
        <w:rPr>
          <w:rFonts w:ascii="Georgia" w:cs="Georgia" w:eastAsia="Georgia" w:hAnsi="Georgia"/>
          <w:sz w:val="24"/>
          <w:szCs w:val="24"/>
        </w:rPr>
        <w:t xml:space="preserve">The most significant resource this fellowship produces is not a protocol or a website. It is six teachers who know how to look at any assessment and ask: if AI completed this perfectly, what learning would disappear? — and who know what to do when the answer is "everything."</w:t>
      </w:r>
    </w:p>
    <w:p>
      <w:pPr>
        <w:sectPr>
          <w:pgSz w:w="12240" w:h="15840" w:orient="portrait"/>
          <w:pgMar w:top="1080" w:right="1260" w:bottom="1080" w:left="126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720"/>
              <w:left w:type="dxa" w:w="600"/>
              <w:bottom w:type="dxa" w:w="720"/>
              <w:right w:type="dxa" w:w="600"/>
            </w:tcMar>
          </w:tcPr>
          <w:p>
            <w:pPr>
              <w:spacing w:after="200"/>
              <w:jc w:val="center"/>
            </w:pPr>
            <w:r>
              <w:rPr>
                <w:rFonts w:ascii="Arial" w:cs="Arial" w:eastAsia="Arial" w:hAnsi="Arial"/>
                <w:b/>
                <w:bCs/>
                <w:caps/>
                <w:color w:val="C9952A"/>
                <w:sz w:val="20"/>
                <w:szCs w:val="20"/>
              </w:rPr>
              <w:t xml:space="preserve">CNG AI INNOVATION FELLOWSHIP  ·  2026–2027</w:t>
            </w:r>
          </w:p>
          <w:p>
            <w:pPr>
              <w:spacing w:after="120"/>
              <w:jc w:val="center"/>
            </w:pPr>
            <w:r>
              <w:rPr>
                <w:rFonts w:ascii="Arial" w:cs="Arial" w:eastAsia="Arial" w:hAnsi="Arial"/>
                <w:b/>
                <w:bCs/>
                <w:color w:val="FFFFFF"/>
                <w:sz w:val="38"/>
                <w:szCs w:val="38"/>
              </w:rPr>
              <w:t xml:space="preserve">Designing Human-Centered Learning</w:t>
            </w:r>
          </w:p>
          <w:p>
            <w:pPr>
              <w:spacing w:after="120"/>
              <w:jc w:val="center"/>
            </w:pPr>
            <w:r>
              <w:rPr>
                <w:rFonts w:ascii="Arial" w:cs="Arial" w:eastAsia="Arial" w:hAnsi="Arial"/>
                <w:b/>
                <w:bCs/>
                <w:color w:val="FFFFFF"/>
                <w:sz w:val="34"/>
                <w:szCs w:val="34"/>
              </w:rPr>
              <w:t xml:space="preserve">in AI-Rich Classrooms</w:t>
            </w:r>
          </w:p>
          <w:p>
            <w:pPr>
              <w:spacing w:after="360"/>
              <w:jc w:val="center"/>
            </w:pPr>
            <w:r>
              <w:rPr>
                <w:rFonts w:ascii="Arial" w:cs="Arial" w:eastAsia="Arial" w:hAnsi="Arial"/>
                <w:i/>
                <w:iCs/>
                <w:color w:val="C5DCE4"/>
                <w:sz w:val="22"/>
                <w:szCs w:val="22"/>
              </w:rPr>
              <w:t xml:space="preserve">Orchestrating Agency, Judgment, and Interpretable Evidence of Learning</w:t>
            </w:r>
          </w:p>
          <w:p>
            <w:pPr>
              <w:spacing w:after="100"/>
              <w:jc w:val="center"/>
            </w:pPr>
            <w:r>
              <w:rPr>
                <w:rFonts w:ascii="Arial" w:cs="Arial" w:eastAsia="Arial" w:hAnsi="Arial"/>
                <w:b/>
                <w:bCs/>
                <w:color w:val="C9952A"/>
                <w:sz w:val="30"/>
                <w:szCs w:val="30"/>
              </w:rPr>
              <w:t xml:space="preserve">Andrew Cajina</w:t>
            </w:r>
          </w:p>
          <w:p>
            <w:pPr>
              <w:spacing w:after="80"/>
              <w:jc w:val="center"/>
            </w:pPr>
            <w:r>
              <w:rPr>
                <w:rFonts w:ascii="Arial" w:cs="Arial" w:eastAsia="Arial" w:hAnsi="Arial"/>
                <w:i/>
                <w:iCs/>
                <w:color w:val="C5DCE4"/>
                <w:sz w:val="19"/>
                <w:szCs w:val="19"/>
              </w:rPr>
              <w:t xml:space="preserve">Graduate Diploma, Generative AI and Educational Innovation  ·  University of Calgary</w:t>
            </w:r>
          </w:p>
          <w:p>
            <w:pPr>
              <w:spacing w:after="120"/>
              <w:jc w:val="center"/>
            </w:pPr>
            <w:r>
              <w:rPr>
                <w:rFonts w:ascii="Arial" w:cs="Arial" w:eastAsia="Arial" w:hAnsi="Arial"/>
                <w:i/>
                <w:iCs/>
                <w:color w:val="C5DCE4"/>
                <w:sz w:val="19"/>
                <w:szCs w:val="19"/>
              </w:rPr>
              <w:t xml:space="preserve">BSc Sciences/Mathematics  ·  BEd Secondary Education  ·  University of Alberta, Campus Saint-Jean</w:t>
            </w:r>
          </w:p>
          <w:p>
            <w:pPr>
              <w:spacing w:after="80"/>
              <w:jc w:val="center"/>
            </w:pPr>
            <w:r>
              <w:rPr>
                <w:rFonts w:ascii="Arial" w:cs="Arial" w:eastAsia="Arial" w:hAnsi="Arial"/>
                <w:color w:val="FFFFFF"/>
                <w:sz w:val="20"/>
                <w:szCs w:val="20"/>
              </w:rPr>
              <w:t xml:space="preserve">High School Mathematics Teacher</w:t>
            </w:r>
          </w:p>
          <w:p>
            <w:pPr>
              <w:spacing w:after="40"/>
              <w:jc w:val="center"/>
            </w:pPr>
            <w:r>
              <w:rPr>
                <w:rFonts w:ascii="Arial" w:cs="Arial" w:eastAsia="Arial" w:hAnsi="Arial"/>
                <w:color w:val="FFFFFF"/>
                <w:sz w:val="22"/>
                <w:szCs w:val="22"/>
              </w:rPr>
              <w:t xml:space="preserve">Colegio Nueva Granada  ·  Bogotá, Colombia</w:t>
            </w:r>
          </w:p>
          <w:p>
            <w:pPr>
              <w:spacing w:after="0"/>
              <w:jc w:val="center"/>
            </w:pPr>
            <w:r>
              <w:rPr>
                <w:rFonts w:ascii="Arial" w:cs="Arial" w:eastAsia="Arial" w:hAnsi="Arial"/>
                <w:i/>
                <w:iCs/>
                <w:color w:val="C5DCE4"/>
                <w:sz w:val="20"/>
                <w:szCs w:val="20"/>
              </w:rPr>
              <w:t xml:space="preserve">Fellowship Proposal  ·  Academic Year 2026–2027</w:t>
            </w:r>
          </w:p>
        </w:tc>
      </w:tr>
    </w:tbl>
    <w:p>
      <w:pPr>
        <w:keepNext/>
        <w:spacing w:after="600"/>
      </w:pPr>
      <w:r>
        <w:rPr>
          <w:rFonts w:ascii="Georgia" w:cs="Georgia" w:eastAsia="Georgia" w:hAnsi="Georgia"/>
          <w:sz w:val="24"/>
          <w:szCs w:val="24"/>
        </w:rPr>
        <w:t xml:space="preserve"/>
      </w:r>
    </w:p>
    <w:p>
      <w:pPr>
        <w:spacing w:after="80"/>
        <w:jc w:val="center"/>
      </w:pPr>
      <w:r>
        <w:rPr>
          <w:rFonts w:ascii="Georgia" w:cs="Georgia" w:eastAsia="Georgia" w:hAnsi="Georgia"/>
          <w:i/>
          <w:iCs/>
          <w:sz w:val="24"/>
          <w:szCs w:val="24"/>
        </w:rPr>
        <w:t xml:space="preserve">Submitted in response to the CNG AI Innovation Fellowship Call, 2026–2027</w:t>
      </w:r>
    </w:p>
    <w:p>
      <w:pPr>
        <w:spacing w:after="480"/>
        <w:jc w:val="center"/>
      </w:pPr>
      <w:r>
        <w:rPr>
          <w:rFonts w:ascii="Georgia" w:cs="Georgia" w:eastAsia="Georgia" w:hAnsi="Georgia"/>
          <w:i/>
          <w:iCs/>
          <w:sz w:val="24"/>
          <w:szCs w:val="24"/>
        </w:rPr>
        <w:t xml:space="preserve">Colegio Nueva Granada AI Core Team  ·  Proposed by Mr. Andrew Cajina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Fellowship Thesis</w:t>
            </w:r>
          </w:p>
          <w:p>
            <w:pPr>
              <w:spacing w:after="0"/>
            </w:pPr>
            <w:r>
              <w:rPr>
                <w:rFonts w:ascii="Georgia" w:cs="Georgia" w:eastAsia="Georgia" w:hAnsi="Georgia"/>
                <w:sz w:val="24"/>
                <w:szCs w:val="24"/>
              </w:rPr>
              <w:t xml:space="preserve">In an AI-rich world, the central challenge of assessment is no longer evaluating what students produce, but interpreting evidence of how they think. The fellowship is organized around one design question: If AI completed this task perfectly, what learning would disappear? Everything else follows from that question.</w:t>
            </w:r>
          </w:p>
        </w:tc>
      </w:tr>
    </w:tbl>
    <w:p>
      <w:pPr>
        <w:spacing w:after="0"/>
      </w:pPr>
      <w:r>
        <w:br/>
      </w:r>
    </w:p>
    <w:p>
      <w:pPr>
        <w:keepNext/>
        <w:spacing w:after="240" w:before="0"/>
        <w:jc w:val="center"/>
      </w:pPr>
      <w:r>
        <w:rPr>
          <w:rFonts w:ascii="Arial" w:cs="Arial" w:eastAsia="Arial" w:hAnsi="Arial"/>
          <w:b/>
          <w:bCs/>
          <w:color w:val="1B3A5C"/>
          <w:sz w:val="28"/>
          <w:szCs w:val="28"/>
        </w:rPr>
        <w:t xml:space="preserve">Table of Contents</w:t>
      </w:r>
    </w:p>
    <w:p>
      <w:pPr>
        <w:keepNext/>
        <w:spacing w:after="320" w:before="0"/>
        <w:jc w:val="center"/>
      </w:pPr>
      <w:r>
        <w:rPr>
          <w:rFonts w:ascii="Arial" w:cs="Arial" w:eastAsia="Arial" w:hAnsi="Arial"/>
          <w:i/>
          <w:iCs/>
          <w:color w:val="2E7D8C"/>
          <w:sz w:val="18"/>
          <w:szCs w:val="18"/>
        </w:rPr>
        <w:t xml:space="preserve">Open in Word → right-click → Update Field to populate page numbers.</w:t>
      </w:r>
    </w:p>
    <w:p>
      <w:pPr>
        <w:keepLines/>
        <w:tabs>
          <w:tab w:val="right" w:pos="9720" w:leader="dot"/>
        </w:tabs>
        <w:spacing w:after="120"/>
      </w:pPr>
      <w:r>
        <w:rPr>
          <w:rFonts w:ascii="Georgia" w:cs="Georgia" w:eastAsia="Georgia" w:hAnsi="Georgia"/>
          <w:b/>
          <w:bCs/>
          <w:color w:val="1B3A5C"/>
          <w:sz w:val="24"/>
          <w:szCs w:val="24"/>
        </w:rPr>
        <w:t xml:space="preserve">1.  Executive Summary</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2.1–2.6  Problem of Practice</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2.  Why This Fellowship Exists / Problem of Practice</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3.  Theoretical Framework</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3.1  Fellowship Logic Chain</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3.2  HCAP — The Orienting Philosophy</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3.3  Core Constructs</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3.4  Teacher Knowledge Framework</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3.5  Mr. Cajina’s Role: Year 1 Facilitation</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4.  Research Base</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4.1  Assessment Design and Validity</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4.2  Mind, Brain, and Education: Science of Learning Foundation</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4.3  Validity Argument and Measurement</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4.4  Disciplinary Sciences of Teaching and I-CK Development</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4.5  Extended TPACK Framework</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4.6  CNG Pilot Evidence</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5.  Fellowship Design</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5.1  Structure</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5.2  Year 1 Participant Profile — High School</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5.3  Detailed Logistics and Check-In Schedule</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5.4  Decision Rules for Visible Reasoning</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5.5  Accessibility First: UDL and Multiple Ways of Knowing</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5.6  Teacher-Friendly Language</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6.  CNG Tool Ecosystem</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7.  Cognitive Agency Knowledge Hub</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8.  Departmental PLC and Curriculum Integration</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8.1  Why Departments Are the Right Unit</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8.2  Department Cognitive Agency PLC Protocol</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8.3  Curriculum Review Integration</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8.4  emerging shared language: Shared Language Across Disciplines</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9.  Deliverables</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10.  Evaluation and Research Design</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11.  Sustainability and Institutional Rollout</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12.  Direct Alignment with CNG School Priorities</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13.  References</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Appendices A–H</w:t>
      </w:r>
      <w:r>
        <w:rPr>
          <w:rFonts w:ascii="Georgia" w:cs="Georgia" w:eastAsia="Georgia" w:hAnsi="Georgia"/>
          <w:sz w:val="22"/>
          <w:szCs w:val="22"/>
        </w:rPr>
        <w:t xml:space="preserve">	</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FBF4E8"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A Fellowship, Not a Research Project</w:t>
            </w:r>
          </w:p>
          <w:p>
            <w:pPr>
              <w:spacing w:after="0"/>
            </w:pPr>
            <w:r>
              <w:rPr>
                <w:rFonts w:ascii="Georgia" w:cs="Georgia" w:eastAsia="Georgia" w:hAnsi="Georgia"/>
                <w:sz w:val="24"/>
                <w:szCs w:val="24"/>
              </w:rPr>
              <w:t xml:space="preserve">This is a professional learning fellowship that develops teacher capacity to design assessments generating interpretable evidence of student learning in AI-rich classrooms. Teachers redesign their own assessments, enact them, collect student reasoning evidence, and reflect through two structured cycles. Practitioner inquiry is the methodology that guides this work — teachers investigate their own practice rather than implementing a predetermined solution — but the center of gravity is teacher capacity, assessment redesign, AI-TPACK development, and CNG impact.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FBF4E8"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VISTA: Visibility Into Student Thinking and Agency</w:t>
            </w:r>
          </w:p>
          <w:p>
            <w:pPr>
              <w:spacing w:after="0"/>
            </w:pPr>
            <w:r>
              <w:rPr>
                <w:rFonts w:ascii="Georgia" w:cs="Georgia" w:eastAsia="Georgia" w:hAnsi="Georgia"/>
                <w:sz w:val="24"/>
                <w:szCs w:val="24"/>
              </w:rPr>
              <w:t xml:space="preserve">This fellowship develops teacher capacity to design assessments that generate interpretable evidence of student learning in AI-rich classrooms. VISTA (Visibility Into Student Thinking and Agency) is the protocol framework at its core: creating visibility into how students reason, decide, revise, and exercise agency — not just what they produce. Teachers redesign real assessments, enact them with students, collect reasoning evidence, and reflect on practice through two structured iteration cycles.</w:t>
            </w:r>
          </w:p>
        </w:tc>
      </w:tr>
    </w:tbl>
    <w:p>
      <w:pPr>
        <w:keepLines/>
        <w:spacing w:after="160" w:line="280"/>
      </w:pPr>
      <w:r>
        <w:rPr>
          <w:rFonts w:ascii="Georgia" w:cs="Georgia" w:eastAsia="Georgia" w:hAnsi="Georgia"/>
          <w:sz w:val="24"/>
          <w:szCs w:val="24"/>
        </w:rPr>
        <w:t xml:space="preserve">This proposal is submitted in response to the 2026–2027 CNG AI Innovation Fellowship call. It addresses one of the most consequential pedagogical problems facing CNG teachers: generative AI has made polished academic performance dramatically more accessible, but assessment designs were built for a world where polished performance required corresponding cognitive effort.</w:t>
      </w:r>
    </w:p>
    <w:p>
      <w:pPr>
        <w:keepLines/>
        <w:spacing w:after="160" w:line="280"/>
      </w:pPr>
      <w:r>
        <w:rPr>
          <w:rFonts w:ascii="Georgia" w:cs="Georgia" w:eastAsia="Georgia" w:hAnsi="Georgia"/>
          <w:sz w:val="24"/>
          <w:szCs w:val="24"/>
        </w:rPr>
        <w:t xml:space="preserve">The fellowship is organized around a single design question: </w:t>
      </w:r>
      <w:r>
        <w:rPr>
          <w:rFonts w:ascii="Georgia" w:cs="Georgia" w:eastAsia="Georgia" w:hAnsi="Georgia"/>
          <w:b/>
          <w:bCs/>
          <w:sz w:val="24"/>
          <w:szCs w:val="24"/>
        </w:rPr>
        <w:t xml:space="preserve">If AI completed this task perfectly, what learning would disappear?</w:t>
      </w:r>
      <w:r>
        <w:rPr>
          <w:rFonts w:ascii="Georgia" w:cs="Georgia" w:eastAsia="Georgia" w:hAnsi="Georgia"/>
          <w:sz w:val="24"/>
          <w:szCs w:val="24"/>
        </w:rPr>
        <w:t xml:space="preserve"> That question reorients assessment from evaluating outputs to generating interpretable evidence of thinking — and it is a question every teacher can ask of every task, in every discipline, on any day of the year.</w:t>
      </w:r>
    </w:p>
    <w:p>
      <w:pPr>
        <w:keepLines/>
        <w:spacing w:after="160" w:line="280"/>
      </w:pPr>
      <w:r>
        <w:rPr>
          <w:rFonts w:ascii="Georgia" w:cs="Georgia" w:eastAsia="Georgia" w:hAnsi="Georgia"/>
          <w:sz w:val="24"/>
          <w:szCs w:val="24"/>
        </w:rPr>
        <w:t xml:space="preserve">Across classroom pilots at CNG — Systems Under Pressure (Algebra 2) and Statistical Conspiracy (Accelerated Geometry) — reasoning artifacts revealed forms of learning that would otherwise have remained completely invisible. Teachers could see what students actually understood, where understanding changed, where AI changed their thinking, where students accepted AI suggestions and where they rejected them, and why. They could see moments of epistemic vigilance and moments of superficial AI use side by side. They could see not only verbal reasoning but the traces of creation, embodied thinking, and tacit disciplinary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The Most Important Finding</w:t>
            </w:r>
          </w:p>
          <w:p>
            <w:pPr>
              <w:spacing w:after="0"/>
            </w:pPr>
            <w:r>
              <w:rPr>
                <w:rFonts w:ascii="Georgia" w:cs="Georgia" w:eastAsia="Georgia" w:hAnsi="Georgia"/>
                <w:sz w:val="24"/>
                <w:szCs w:val="24"/>
              </w:rPr>
              <w:t xml:space="preserve">The strongest evidence of learning often appeared not in the final product, but in the student’s explanation of how and why their thinking changed. That insight drives the design of every protocol in this fellowship.</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fellowship is not ultimately about AI. AI is the pressure that makes an existing assessment design problem visible. The lasting contribution is a framework for designing assessments that generate </w:t>
      </w:r>
      <w:r>
        <w:rPr>
          <w:rFonts w:ascii="Georgia" w:cs="Georgia" w:eastAsia="Georgia" w:hAnsi="Georgia"/>
          <w:b/>
          <w:bCs/>
          <w:sz w:val="24"/>
          <w:szCs w:val="24"/>
        </w:rPr>
        <w:t xml:space="preserve">interpretable evidence of learning</w:t>
      </w:r>
      <w:r>
        <w:rPr>
          <w:rFonts w:ascii="Georgia" w:cs="Georgia" w:eastAsia="Georgia" w:hAnsi="Georgia"/>
          <w:sz w:val="24"/>
          <w:szCs w:val="24"/>
        </w:rPr>
        <w:t xml:space="preserve"> — evidence that will remain relevant as AI tools change, grounded in disciplinary thinking rather than in tool behavior.</w:t>
      </w:r>
    </w:p>
    <w:p>
      <w:pPr>
        <w:keepLines/>
        <w:spacing w:after="160" w:line="280"/>
      </w:pPr>
      <w:r>
        <w:rPr>
          <w:rFonts w:ascii="Georgia" w:cs="Georgia" w:eastAsia="Georgia" w:hAnsi="Georgia"/>
          <w:sz w:val="24"/>
          <w:szCs w:val="24"/>
        </w:rPr>
        <w:t xml:space="preserve">Long-term sustainability rests on </w:t>
      </w:r>
      <w:r>
        <w:rPr>
          <w:rFonts w:ascii="Georgia" w:cs="Georgia" w:eastAsia="Georgia" w:hAnsi="Georgia"/>
          <w:b/>
          <w:bCs/>
          <w:sz w:val="24"/>
          <w:szCs w:val="24"/>
        </w:rPr>
        <w:t xml:space="preserve">departmental PLC structures</w:t>
      </w:r>
      <w:r>
        <w:rPr>
          <w:rFonts w:ascii="Georgia" w:cs="Georgia" w:eastAsia="Georgia" w:hAnsi="Georgia"/>
          <w:sz w:val="24"/>
          <w:szCs w:val="24"/>
        </w:rPr>
        <w:t xml:space="preserve"> that already share Content Knowledge, Pedagogical Knowledge, and Pedagogical Content Knowledge. The fellowship targets the domains most affected by AI: AI-TPACK, Ethical TPACK, Contextual Knowledge (XK), and HAIC-K — building those capacities iteratively and embedding the resulting routines into existing departmental structures where they can persist regardless of individual participation (Fullan, 2016; DuFour &amp; Eaker, 1998; Coburn, 2003; Bryk et al., 2015).</w:t>
      </w:r>
    </w:p>
    <w:p>
      <w:pPr>
        <w:keepLines/>
        <w:spacing w:after="160" w:line="280"/>
      </w:pPr>
      <w:r>
        <w:rPr>
          <w:rFonts w:ascii="Georgia" w:cs="Georgia" w:eastAsia="Georgia" w:hAnsi="Georgia"/>
          <w:sz w:val="24"/>
          <w:szCs w:val="24"/>
        </w:rPr>
        <w:t xml:space="preserve">In Year 1, Mr. Andrew Cajina — CNG High School Mathematics teacher — leads facilitation and feedback. From Year 2 onward, the </w:t>
      </w:r>
      <w:r>
        <w:rPr>
          <w:rFonts w:ascii="Georgia" w:cs="Georgia" w:eastAsia="Georgia" w:hAnsi="Georgia"/>
          <w:b/>
          <w:bCs/>
          <w:sz w:val="24"/>
          <w:szCs w:val="24"/>
        </w:rPr>
        <w:t xml:space="preserve">CNG AI Task Force</w:t>
      </w:r>
      <w:r>
        <w:rPr>
          <w:rFonts w:ascii="Georgia" w:cs="Georgia" w:eastAsia="Georgia" w:hAnsi="Georgia"/>
          <w:sz w:val="24"/>
          <w:szCs w:val="24"/>
        </w:rPr>
        <w:t xml:space="preserve"> assumes that role, distributing capacity institutionally.</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cantSplit/>
        </w:trPr>
        <w:tc>
          <w:tcPr>
            <w:tcW w:type="dxa" w:w="432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Element</w:t>
            </w:r>
          </w:p>
        </w:tc>
        <w:tc>
          <w:tcPr>
            <w:tcW w:type="dxa" w:w="504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Description</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Title</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Designing Human-Centered Learning in AI-Rich Classrooms</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Subtitle</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Orchestrating Agency, Judgment, and Interpretable Evidence of Learning</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1 Scope</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6 High School teachers; design→enact→revise iteration cycle</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Central Question</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If AI completed this task perfectly, what learning would disappear?</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Core Mechanism</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Assessment audit + visible reasoning + iteration with feedback</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Theoretical Frame</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HCAP → AI-TPACK → Ethical TPACK → XK → HAIC-K → Assessment Design → Agency</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Long-term Unit</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Departmental PLCs — not individual teachers</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Scaling</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Year 1: HS pilot → Year 2: expanded pilot, all divisions → Year 3: LC/Makerspace → Year 4: institutional integration</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CNG Alignment</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Vision, Mission, Core Values, Innovation Learning Initiative, SAIL, SRP</w:t>
            </w:r>
          </w:p>
        </w:tc>
      </w:tr>
    </w:tbl>
    <w:p>
      <w:pPr>
        <w:keepNext/>
        <w:spacing w:after="20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2. The Fellowship at a Glance: What Happens</w:t>
      </w:r>
    </w:p>
    <w:p>
      <w:pPr>
        <w:keepLines/>
        <w:spacing w:after="160" w:line="280"/>
      </w:pPr>
      <w:r>
        <w:rPr>
          <w:rFonts w:ascii="Georgia" w:cs="Georgia" w:eastAsia="Georgia" w:hAnsi="Georgia"/>
          <w:sz w:val="24"/>
          <w:szCs w:val="24"/>
        </w:rPr>
        <w:t xml:space="preserve">Before the theoretical grounding and detailed design, here is what Year 1 actually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Moment</w:t>
            </w:r>
          </w:p>
        </w:tc>
        <w:tc>
          <w:tcPr>
            <w:tcW w:type="dxa" w:w="69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What Happens</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August — Launch</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Full cohort session (60 min). Cajina models VISTA live on his own assessment. Each pair identifies their assessment.</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Sep–Nov — Cycle 1</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Each teacher completes their initial VISTA audit. Cajina reviews before enactment. Co-planning session: Cajina on AI-TPACK, teacher on content and pedagogy. Co-teaching or co-observation where appropriate. Student reasoning artifacts collected.</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November — PLC 1</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Pairs share what the artifacts revealed. Each teacher names one redesign priority for Cycle 2.</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February — VSR 1</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Each teacher reviews a short classroom clip with Cajina. What did I think would happen here, and what actually happened? The gap between intention and enactment is the learning.</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Feb–Apr — Cycle 2</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Teacher redesigns and teaches independently. Cajina responds on request. VSR Session 2 is peer-facilitated by the pair partner, with Cajina present as a silent moderator.</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May–June — Transfer</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Each teacher brings their two-cycle arc to their own department — iteration records, VISTA artifacts, student reasoning evidence. Cajina documents what transfers.</w:t>
            </w:r>
          </w:p>
        </w:tc>
      </w:tr>
    </w:tbl>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Two Things to Keep in Mind</w:t>
            </w:r>
          </w:p>
          <w:p>
            <w:pPr>
              <w:spacing w:after="0"/>
            </w:pPr>
            <w:r>
              <w:rPr>
                <w:rFonts w:ascii="Georgia" w:cs="Georgia" w:eastAsia="Georgia" w:hAnsi="Georgia"/>
                <w:sz w:val="24"/>
                <w:szCs w:val="24"/>
              </w:rPr>
              <w:t xml:space="preserve">Teachers lead content and pedagogy throughout. Cajina contributes AI-specific design knowledge. And VISTA audits one assessment each teacher already uses — the work is refinement of existing practice, not addition to it.</w:t>
            </w:r>
          </w:p>
        </w:tc>
      </w:tr>
    </w:tbl>
    <w:p>
      <w:pPr>
        <w:keepNext/>
        <w:spacing w:after="12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2. Why This Fellowship Exists: What Became Visible</w:t>
      </w:r>
    </w:p>
    <w:p>
      <w:pPr>
        <w:keepLines/>
        <w:spacing w:after="160" w:line="280"/>
      </w:pPr>
      <w:r>
        <w:rPr>
          <w:rFonts w:ascii="Georgia" w:cs="Georgia" w:eastAsia="Georgia" w:hAnsi="Georgia"/>
          <w:sz w:val="24"/>
          <w:szCs w:val="24"/>
        </w:rPr>
        <w:t xml:space="preserve">This fellowship grew directly from classroom observations at CNG. Before the fellowship existed as a concept, two AI-rich mathematics projects surfaced a pattern that demanded a more systematic response: when students were given structured opportunities to make their reasoning visible, teachers learned things about student understanding that would have remained entirely hidden through traditional assessment alone.</w:t>
      </w:r>
    </w:p>
    <w:p>
      <w:pPr>
        <w:keepLines/>
        <w:spacing w:after="160" w:line="280"/>
      </w:pPr>
      <w:r>
        <w:rPr>
          <w:rFonts w:ascii="Georgia" w:cs="Georgia" w:eastAsia="Georgia" w:hAnsi="Georgia"/>
          <w:sz w:val="24"/>
          <w:szCs w:val="24"/>
        </w:rPr>
        <w:t xml:space="preserve">In a statistics investigation, students used histograms, box plots, and measures of center to intentionally construct </w:t>
      </w:r>
      <w:r>
        <w:rPr>
          <w:rFonts w:ascii="Georgia" w:cs="Georgia" w:eastAsia="Georgia" w:hAnsi="Georgia"/>
          <w:b/>
          <w:bCs/>
          <w:sz w:val="24"/>
          <w:szCs w:val="24"/>
        </w:rPr>
        <w:t xml:space="preserve">competing claims from the same dataset</w:t>
      </w:r>
      <w:r>
        <w:rPr>
          <w:rFonts w:ascii="Georgia" w:cs="Georgia" w:eastAsia="Georgia" w:hAnsi="Georgia"/>
          <w:sz w:val="24"/>
          <w:szCs w:val="24"/>
        </w:rPr>
        <w:t xml:space="preserve">. Rather than simply learning statistical procedures, students began asking questions that mathematics class had not previously made space for: Who collected this data? What story is being told? What story is being hidden? How can mathematically accurate representations still be misleading? One student reflected that they would </w:t>
      </w:r>
      <w:r>
        <w:rPr>
          <w:rFonts w:ascii="Georgia" w:cs="Georgia" w:eastAsia="Georgia" w:hAnsi="Georgia"/>
          <w:i/>
          <w:iCs/>
          <w:sz w:val="24"/>
          <w:szCs w:val="24"/>
        </w:rPr>
        <w:t xml:space="preserve">never look at graphs the same way again</w:t>
      </w:r>
      <w:r>
        <w:rPr>
          <w:rFonts w:ascii="Georgia" w:cs="Georgia" w:eastAsia="Georgia" w:hAnsi="Georgia"/>
          <w:sz w:val="24"/>
          <w:szCs w:val="24"/>
        </w:rPr>
        <w:t xml:space="preserve">. They were not consuming information. They were evaluating how information is created and used.</w:t>
      </w:r>
    </w:p>
    <w:p>
      <w:pPr>
        <w:keepLines/>
        <w:spacing w:after="160" w:line="280"/>
      </w:pPr>
      <w:r>
        <w:rPr>
          <w:rFonts w:ascii="Georgia" w:cs="Georgia" w:eastAsia="Georgia" w:hAnsi="Georgia"/>
          <w:sz w:val="24"/>
          <w:szCs w:val="24"/>
        </w:rPr>
        <w:t xml:space="preserve">AI played an unexpected role. Students had access to Flint, Gemini, ChatGPT, and NotebookLM. A consistent pattern emerged: </w:t>
      </w:r>
      <w:r>
        <w:rPr>
          <w:rFonts w:ascii="Georgia" w:cs="Georgia" w:eastAsia="Georgia" w:hAnsi="Georgia"/>
          <w:b/>
          <w:bCs/>
          <w:sz w:val="24"/>
          <w:szCs w:val="24"/>
        </w:rPr>
        <w:t xml:space="preserve">many students chose Flint over more powerful generative systems</w:t>
      </w:r>
      <w:r>
        <w:rPr>
          <w:rFonts w:ascii="Georgia" w:cs="Georgia" w:eastAsia="Georgia" w:hAnsi="Georgia"/>
          <w:sz w:val="24"/>
          <w:szCs w:val="24"/>
        </w:rPr>
        <w:t xml:space="preserve"> — and their reason was consistent: Flint pushed them to think rather than simply providing answers.</w:t>
      </w:r>
    </w:p>
    <w:p>
      <w:pPr>
        <w:keepLines/>
        <w:spacing w:after="160" w:line="280"/>
      </w:pPr>
      <w:r>
        <w:rPr>
          <w:rFonts w:ascii="Georgia" w:cs="Georgia" w:eastAsia="Georgia" w:hAnsi="Georgia"/>
          <w:sz w:val="24"/>
          <w:szCs w:val="24"/>
        </w:rPr>
        <w:t xml:space="preserve">This observation cannot be explained by Flint’s features alone. What it has is a pedagogical stance: it asks students to go further, justify more, think again. Students chose that stance over efficiency. That kind of choice requires a classroom culture in which deeper thinking has been established as genuinely valuable — where the relationship between students and teacher, and between students and the work itself, has created conditions in which intellectual challenge is worth choosing. Students also shared what they were doing with their teacher and with each other. That sharing was relational: the work mattered partly because the relationships around it made it matter.</w:t>
      </w:r>
    </w:p>
    <w:p>
      <w:pPr>
        <w:keepLines/>
        <w:spacing w:after="160" w:line="280"/>
      </w:pPr>
      <w:r>
        <w:rPr>
          <w:rFonts w:ascii="Georgia" w:cs="Georgia" w:eastAsia="Georgia" w:hAnsi="Georgia"/>
          <w:sz w:val="24"/>
          <w:szCs w:val="24"/>
        </w:rPr>
        <w:t xml:space="preserve">This is a finding about </w:t>
      </w:r>
      <w:r>
        <w:rPr>
          <w:rFonts w:ascii="Georgia" w:cs="Georgia" w:eastAsia="Georgia" w:hAnsi="Georgia"/>
          <w:b/>
          <w:bCs/>
          <w:sz w:val="24"/>
          <w:szCs w:val="24"/>
        </w:rPr>
        <w:t xml:space="preserve">trust, relationship, and the conditions under which student agency is exercised toward learning</w:t>
      </w:r>
      <w:r>
        <w:rPr>
          <w:rFonts w:ascii="Georgia" w:cs="Georgia" w:eastAsia="Georgia" w:hAnsi="Georgia"/>
          <w:sz w:val="24"/>
          <w:szCs w:val="24"/>
        </w:rPr>
        <w:t xml:space="preserve"> rather than away from it. The design implications are not primarily about tool selection. They are about what a classroom must be before tool choice becomes an expression of student agency.</w:t>
      </w:r>
    </w:p>
    <w:p>
      <w:pPr>
        <w:keepLines/>
        <w:spacing w:after="160" w:line="280"/>
      </w:pPr>
      <w:r>
        <w:rPr>
          <w:rFonts w:ascii="Georgia" w:cs="Georgia" w:eastAsia="Georgia" w:hAnsi="Georgia"/>
          <w:sz w:val="24"/>
          <w:szCs w:val="24"/>
        </w:rPr>
        <w:t xml:space="preserve">A second project, Systems Under Pressure, revealed that AI could extend mathematical inquiry rather than replace it. Students investigated authentic systems — energy markets, water supply networks, food systems — using sequences, exponential functions, logarithms, and polynomial behavior. AI allowed them to ask better mathematical questions: How might this system be represented? Which variables matter? Which aspects resist modeling, and why? For many students, mathematics shifted from a collection of disconnected topics to a connected web of relationships and interpretations.</w:t>
      </w:r>
    </w:p>
    <w:p>
      <w:pPr>
        <w:keepLines/>
        <w:spacing w:after="160" w:line="280"/>
      </w:pPr>
      <w:r>
        <w:rPr>
          <w:rFonts w:ascii="Georgia" w:cs="Georgia" w:eastAsia="Georgia" w:hAnsi="Georgia"/>
          <w:sz w:val="24"/>
          <w:szCs w:val="24"/>
        </w:rPr>
        <w:t xml:space="preserve">Visible reasoning protocols — reasoning vlogs, annotated drafts, AI disclosure reflections, structured questioning — gave teachers access to evidence that final products could not reveal: where students changed their minds; where AI deepened understanding and where it replaced it; which misconceptions persisted; how students justified accepting or rejecting AI-generated ideas. These moments were invisible in final products but visible in the reasoning process. </w:t>
      </w:r>
      <w:r>
        <w:rPr>
          <w:rFonts w:ascii="Georgia" w:cs="Georgia" w:eastAsia="Georgia" w:hAnsi="Georgia"/>
          <w:b/>
          <w:bCs/>
          <w:sz w:val="24"/>
          <w:szCs w:val="24"/>
        </w:rPr>
        <w:t xml:space="preserve">The fellowship is the systematic response to these observations.</w:t>
      </w:r>
      <w:r>
        <w:rPr>
          <w:rFonts w:ascii="Georgia" w:cs="Georgia" w:eastAsia="Georgia" w:hAnsi="Georgia"/>
          <w:sz w:val="24"/>
          <w:szCs w:val="24"/>
        </w:rPr>
        <w:t xml:space="preserve"> Its purpose is not to prove that AI improves learning. Its purpose is to help teachers design learning environments where the development of judgment, disciplinary understanding, and student agency remains visible even when AI can generate increasingly sophisticated products.</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Note on positionality: </w:t>
      </w:r>
      <w:r>
        <w:rPr>
          <w:rFonts w:ascii="Georgia" w:cs="Georgia" w:eastAsia="Georgia" w:hAnsi="Georgia"/>
          <w:sz w:val="24"/>
          <w:szCs w:val="24"/>
        </w:rPr>
        <w:t xml:space="preserve">Cajina is both the facilitator and the developer of the VISTA Protocol. This recognised condition in practitioner inquiry is managed through transparent documentation, triangulated evidence, and participant feedback at each cycle.</w:t>
      </w:r>
    </w:p>
    <w:p>
      <w:pPr>
        <w:keepNext/>
        <w:spacing w:after="6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4. Problem of Practice</w:t>
      </w:r>
    </w:p>
    <w:p>
      <w:pPr>
        <w:pStyle w:val="Heading2"/>
        <w:keepNext/>
        <w:spacing w:after="120" w:before="280"/>
      </w:pPr>
      <w:r>
        <w:rPr>
          <w:rFonts w:ascii="Arial" w:cs="Arial" w:eastAsia="Arial" w:hAnsi="Arial"/>
          <w:b/>
          <w:bCs/>
          <w:color w:val="2E7D8C"/>
          <w:sz w:val="26"/>
          <w:szCs w:val="26"/>
        </w:rPr>
        <w:t xml:space="preserve">4.1  The Assessment Validity Crisis</w:t>
      </w:r>
    </w:p>
    <w:p>
      <w:pPr>
        <w:keepLines/>
        <w:spacing w:after="160" w:line="280"/>
      </w:pPr>
      <w:r>
        <w:rPr>
          <w:rFonts w:ascii="Georgia" w:cs="Georgia" w:eastAsia="Georgia" w:hAnsi="Georgia"/>
          <w:b/>
          <w:bCs/>
          <w:sz w:val="24"/>
          <w:szCs w:val="24"/>
        </w:rPr>
        <w:t xml:space="preserve">The illusion of fluency</w:t>
      </w:r>
      <w:r>
        <w:rPr>
          <w:rFonts w:ascii="Georgia" w:cs="Georgia" w:eastAsia="Georgia" w:hAnsi="Georgia"/>
          <w:sz w:val="24"/>
          <w:szCs w:val="24"/>
        </w:rPr>
        <w:t xml:space="preserve">: polished outputs that do not reflect understanding. </w:t>
      </w:r>
      <w:r>
        <w:rPr>
          <w:rFonts w:ascii="Georgia" w:cs="Georgia" w:eastAsia="Georgia" w:hAnsi="Georgia"/>
          <w:b/>
          <w:bCs/>
          <w:sz w:val="24"/>
          <w:szCs w:val="24"/>
        </w:rPr>
        <w:t xml:space="preserve">The illusion of participation</w:t>
      </w:r>
      <w:r>
        <w:rPr>
          <w:rFonts w:ascii="Georgia" w:cs="Georgia" w:eastAsia="Georgia" w:hAnsi="Georgia"/>
          <w:sz w:val="24"/>
          <w:szCs w:val="24"/>
        </w:rPr>
        <w:t xml:space="preserve">: completed tasks that do not reflect engagement. </w:t>
      </w:r>
      <w:r>
        <w:rPr>
          <w:rFonts w:ascii="Georgia" w:cs="Georgia" w:eastAsia="Georgia" w:hAnsi="Georgia"/>
          <w:b/>
          <w:bCs/>
          <w:sz w:val="24"/>
          <w:szCs w:val="24"/>
        </w:rPr>
        <w:t xml:space="preserve">Invisible advantage</w:t>
      </w:r>
      <w:r>
        <w:rPr>
          <w:rFonts w:ascii="Georgia" w:cs="Georgia" w:eastAsia="Georgia" w:hAnsi="Georgia"/>
          <w:sz w:val="24"/>
          <w:szCs w:val="24"/>
        </w:rPr>
        <w:t xml:space="preserve">: students who use AI strategically but undisclosed gain an unearned credential signal. These are assessment validity failures — the artifact no longer reliably measures what it was designed to measure.</w:t>
      </w:r>
    </w:p>
    <w:p>
      <w:pPr>
        <w:keepLines/>
        <w:spacing w:after="160" w:line="280"/>
      </w:pPr>
      <w:r>
        <w:rPr>
          <w:rFonts w:ascii="Georgia" w:cs="Georgia" w:eastAsia="Georgia" w:hAnsi="Georgia"/>
          <w:sz w:val="24"/>
          <w:szCs w:val="24"/>
        </w:rPr>
        <w:t xml:space="preserve">The fellowship’s central design question — </w:t>
      </w:r>
      <w:r>
        <w:rPr>
          <w:rFonts w:ascii="Georgia" w:cs="Georgia" w:eastAsia="Georgia" w:hAnsi="Georgia"/>
          <w:b/>
          <w:bCs/>
          <w:sz w:val="24"/>
          <w:szCs w:val="24"/>
        </w:rPr>
        <w:t xml:space="preserve">if AI completed this task perfectly, what learning would disappear?</w:t>
      </w:r>
      <w:r>
        <w:rPr>
          <w:rFonts w:ascii="Georgia" w:cs="Georgia" w:eastAsia="Georgia" w:hAnsi="Georgia"/>
          <w:sz w:val="24"/>
          <w:szCs w:val="24"/>
        </w:rPr>
        <w:t xml:space="preserve"> — makes this failure immediately visible in practice. When the answer is </w:t>
      </w:r>
      <w:r>
        <w:rPr>
          <w:rFonts w:ascii="Georgia" w:cs="Georgia" w:eastAsia="Georgia" w:hAnsi="Georgia"/>
          <w:i/>
          <w:iCs/>
          <w:sz w:val="24"/>
          <w:szCs w:val="24"/>
        </w:rPr>
        <w:t xml:space="preserve">everything meaningful</w:t>
      </w:r>
      <w:r>
        <w:rPr>
          <w:rFonts w:ascii="Georgia" w:cs="Georgia" w:eastAsia="Georgia" w:hAnsi="Georgia"/>
          <w:sz w:val="24"/>
          <w:szCs w:val="24"/>
        </w:rPr>
        <w:t xml:space="preserve">, the assessment design has failed: AI can complete the task and the student has been bypassed. When the answer is </w:t>
      </w:r>
      <w:r>
        <w:rPr>
          <w:rFonts w:ascii="Georgia" w:cs="Georgia" w:eastAsia="Georgia" w:hAnsi="Georgia"/>
          <w:i/>
          <w:iCs/>
          <w:sz w:val="24"/>
          <w:szCs w:val="24"/>
        </w:rPr>
        <w:t xml:space="preserve">nothing significant</w:t>
      </w:r>
      <w:r>
        <w:rPr>
          <w:rFonts w:ascii="Georgia" w:cs="Georgia" w:eastAsia="Georgia" w:hAnsi="Georgia"/>
          <w:sz w:val="24"/>
          <w:szCs w:val="24"/>
        </w:rPr>
        <w:t xml:space="preserve">, the task is protecting genuine learning and the design is working. That question is teachable, memorable, and applicable across every discipline.</w:t>
      </w:r>
    </w:p>
    <w:p>
      <w:pPr>
        <w:pStyle w:val="Heading2"/>
        <w:keepNext/>
        <w:spacing w:after="120" w:before="280"/>
      </w:pPr>
      <w:r>
        <w:rPr>
          <w:rFonts w:ascii="Arial" w:cs="Arial" w:eastAsia="Arial" w:hAnsi="Arial"/>
          <w:b/>
          <w:bCs/>
          <w:color w:val="2E7D8C"/>
          <w:sz w:val="26"/>
          <w:szCs w:val="26"/>
        </w:rPr>
        <w:t xml:space="preserve">4.2  Why “AI-Rich Classrooms”: The Information Ecosystem</w:t>
      </w:r>
    </w:p>
    <w:p>
      <w:pPr>
        <w:keepLines/>
        <w:spacing w:after="160" w:line="280"/>
      </w:pPr>
      <w:r>
        <w:rPr>
          <w:rFonts w:ascii="Georgia" w:cs="Georgia" w:eastAsia="Georgia" w:hAnsi="Georgia"/>
          <w:sz w:val="24"/>
          <w:szCs w:val="24"/>
        </w:rPr>
        <w:t xml:space="preserve">The fellowship uses the term </w:t>
      </w:r>
      <w:r>
        <w:rPr>
          <w:rFonts w:ascii="Georgia" w:cs="Georgia" w:eastAsia="Georgia" w:hAnsi="Georgia"/>
          <w:b/>
          <w:bCs/>
          <w:sz w:val="24"/>
          <w:szCs w:val="24"/>
        </w:rPr>
        <w:t xml:space="preserve">AI-rich classrooms</w:t>
      </w:r>
      <w:r>
        <w:rPr>
          <w:rFonts w:ascii="Georgia" w:cs="Georgia" w:eastAsia="Georgia" w:hAnsi="Georgia"/>
          <w:sz w:val="24"/>
          <w:szCs w:val="24"/>
        </w:rPr>
        <w:t xml:space="preserve"> intentionally. An AI-rich classroom is not simply one where teachers actively use AI tools. It is a classroom situated within a broader information ecosystem increasingly shaped by AI. Students encounter AI through search engines, recommendation systems, translation tools, writing assistants, social media feeds, generative AI platforms, and emerging AI agents. Even when AI is not explicitly part of a lesson, it often influences how information is found, organized, interpreted, and communicated.</w:t>
      </w:r>
    </w:p>
    <w:p>
      <w:pPr>
        <w:keepLines/>
        <w:spacing w:after="160" w:line="280"/>
      </w:pPr>
      <w:r>
        <w:rPr>
          <w:rFonts w:ascii="Georgia" w:cs="Georgia" w:eastAsia="Georgia" w:hAnsi="Georgia"/>
          <w:sz w:val="24"/>
          <w:szCs w:val="24"/>
        </w:rPr>
        <w:t xml:space="preserve">Recent reports suggest that automated systems and AI agents now generate a substantial proportion of global web traffic — in some cases exceeding human-generated activity. The broader trend is clear: AI is becoming part of the infrastructure through which people engage with knowledge online. The question for schools is no longer whether AI is present. The question is how educators design human-centered learning experiences within an environment where AI increasingly shapes the conditions under which learning occurs.</w:t>
      </w:r>
    </w:p>
    <w:p>
      <w:pPr>
        <w:keepLines/>
        <w:spacing w:after="160" w:line="280"/>
      </w:pPr>
      <w:r>
        <w:rPr>
          <w:rFonts w:ascii="Georgia" w:cs="Georgia" w:eastAsia="Georgia" w:hAnsi="Georgia"/>
          <w:sz w:val="24"/>
          <w:szCs w:val="24"/>
        </w:rPr>
        <w:t xml:space="preserve">This has implications for how we think about assessment validity. A student who submits an essay produced by AI is not violating a rule in a controlled environment — they are responding rationally to the information ecosystem they live in. </w:t>
      </w:r>
      <w:r>
        <w:rPr>
          <w:rFonts w:ascii="Georgia" w:cs="Georgia" w:eastAsia="Georgia" w:hAnsi="Georgia"/>
          <w:b/>
          <w:bCs/>
          <w:sz w:val="24"/>
          <w:szCs w:val="24"/>
        </w:rPr>
        <w:t xml:space="preserve">The design challenge is not to seal the classroom off from that ecosystem but to make the learning within it visible and meaningful despite it</w:t>
      </w:r>
      <w:r>
        <w:rPr>
          <w:rFonts w:ascii="Georgia" w:cs="Georgia" w:eastAsia="Georgia" w:hAnsi="Georgia"/>
          <w:sz w:val="24"/>
          <w:szCs w:val="24"/>
        </w:rPr>
        <w:t xml:space="preserve">. This is the problem the fellowship addresses.</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4.3  AI as a Sociotechnical System</w:t>
      </w:r>
    </w:p>
    <w:p>
      <w:pPr>
        <w:keepLines/>
        <w:spacing w:after="160" w:line="280"/>
      </w:pPr>
      <w:r>
        <w:rPr>
          <w:rFonts w:ascii="Georgia" w:cs="Georgia" w:eastAsia="Georgia" w:hAnsi="Georgia"/>
          <w:sz w:val="24"/>
          <w:szCs w:val="24"/>
        </w:rPr>
        <w:t xml:space="preserve">Generative AI is not a neutral tool. Winner (1980) established that artifacts have politics — technologies encode and redistribute power in ways users may not notice. Selwyn (2019) extended this to educational technology. Orlikowski (1992) demonstrated that technologies gain their effects through the social practices enacted around them — meaning thoughtful practice design can reshape what AI does in a classroom. In AI-rich classrooms, AI is reshaping who counts as a knower, whose work gets attributed, and what level of performance signals understanding.</w:t>
      </w:r>
    </w:p>
    <w:p>
      <w:pPr>
        <w:pStyle w:val="Heading2"/>
        <w:keepNext/>
        <w:spacing w:after="120" w:before="280"/>
      </w:pPr>
      <w:r>
        <w:rPr>
          <w:rFonts w:ascii="Arial" w:cs="Arial" w:eastAsia="Arial" w:hAnsi="Arial"/>
          <w:b/>
          <w:bCs/>
          <w:color w:val="2E7D8C"/>
          <w:sz w:val="26"/>
          <w:szCs w:val="26"/>
        </w:rPr>
        <w:t xml:space="preserve">4.4  The Invisibility of Student Intellectual Labour</w:t>
      </w:r>
    </w:p>
    <w:p>
      <w:pPr>
        <w:keepLines/>
        <w:spacing w:after="160" w:line="280"/>
      </w:pPr>
      <w:r>
        <w:rPr>
          <w:rFonts w:ascii="Georgia" w:cs="Georgia" w:eastAsia="Georgia" w:hAnsi="Georgia"/>
          <w:sz w:val="24"/>
          <w:szCs w:val="24"/>
        </w:rPr>
        <w:t xml:space="preserve">Student </w:t>
      </w:r>
      <w:r>
        <w:rPr>
          <w:rFonts w:ascii="Georgia" w:cs="Georgia" w:eastAsia="Georgia" w:hAnsi="Georgia"/>
          <w:b/>
          <w:bCs/>
          <w:sz w:val="24"/>
          <w:szCs w:val="24"/>
        </w:rPr>
        <w:t xml:space="preserve">intellectual labour</w:t>
      </w:r>
      <w:r>
        <w:rPr>
          <w:rFonts w:ascii="Georgia" w:cs="Georgia" w:eastAsia="Georgia" w:hAnsi="Georgia"/>
          <w:sz w:val="24"/>
          <w:szCs w:val="24"/>
        </w:rPr>
        <w:t xml:space="preserve"> — the cognitive work of sense-making, evaluating, revising, and constructing understanding — includes not only reasoning and explanation but </w:t>
      </w:r>
      <w:r>
        <w:rPr>
          <w:rFonts w:ascii="Georgia" w:cs="Georgia" w:eastAsia="Georgia" w:hAnsi="Georgia"/>
          <w:b/>
          <w:bCs/>
          <w:sz w:val="24"/>
          <w:szCs w:val="24"/>
        </w:rPr>
        <w:t xml:space="preserve">creation, embodiment, and tacit knowledge</w:t>
      </w:r>
      <w:r>
        <w:rPr>
          <w:rFonts w:ascii="Georgia" w:cs="Georgia" w:eastAsia="Georgia" w:hAnsi="Georgia"/>
          <w:sz w:val="24"/>
          <w:szCs w:val="24"/>
        </w:rPr>
        <w:t xml:space="preserve">: the artist’s aesthetic judgment, the mathematician’s structural intuition, the programmer’s debugging instinct. These forms of knowing are discipline-specific and often the hardest to develop. Product-only assessment systematically misses them. Visible reasoning protocols make them interpretable.</w:t>
      </w:r>
    </w:p>
    <w:p>
      <w:pPr>
        <w:pStyle w:val="Heading2"/>
        <w:keepNext/>
        <w:spacing w:after="120" w:before="280"/>
      </w:pPr>
      <w:r>
        <w:rPr>
          <w:rFonts w:ascii="Arial" w:cs="Arial" w:eastAsia="Arial" w:hAnsi="Arial"/>
          <w:b/>
          <w:bCs/>
          <w:color w:val="2E7D8C"/>
          <w:sz w:val="26"/>
          <w:szCs w:val="26"/>
        </w:rPr>
        <w:t xml:space="preserve">4.5  The SAIL Coherence Problem</w:t>
      </w:r>
    </w:p>
    <w:p>
      <w:pPr>
        <w:keepLines/>
        <w:spacing w:after="160" w:line="280"/>
      </w:pPr>
      <w:r>
        <w:rPr>
          <w:rFonts w:ascii="Georgia" w:cs="Georgia" w:eastAsia="Georgia" w:hAnsi="Georgia"/>
          <w:sz w:val="24"/>
          <w:szCs w:val="24"/>
        </w:rPr>
        <w:t xml:space="preserve">CNG’s SAIL framework is strong policy architecture. But the same SAIL level can mean very different things across classrooms without a shared pedagogical mechanism. Perkins et al. (2024, 2025) argue that AI-use continua become educationally meaningful only when tied to intended learning outcomes and assessment design. Choosing a SAIL level is a simultaneous intersection of AI-TPACK (Can I?), Ethical TPACK (Should I?), XK (Will it work here?), and HAIC-K (How?). The fellowship develops that four-layer judgment deliberately.</w:t>
      </w:r>
    </w:p>
    <w:p>
      <w:pPr>
        <w:pStyle w:val="Heading2"/>
        <w:keepNext/>
        <w:spacing w:after="120" w:before="280"/>
      </w:pPr>
      <w:r>
        <w:rPr>
          <w:rFonts w:ascii="Arial" w:cs="Arial" w:eastAsia="Arial" w:hAnsi="Arial"/>
          <w:b/>
          <w:bCs/>
          <w:color w:val="2E7D8C"/>
          <w:sz w:val="26"/>
          <w:szCs w:val="26"/>
        </w:rPr>
        <w:t xml:space="preserve">4.6  The Teacher Confidence Gap and the February Problem</w:t>
      </w:r>
    </w:p>
    <w:p>
      <w:pPr>
        <w:keepLines/>
        <w:spacing w:after="160" w:line="280"/>
      </w:pPr>
      <w:r>
        <w:rPr>
          <w:rFonts w:ascii="Georgia" w:cs="Georgia" w:eastAsia="Georgia" w:hAnsi="Georgia"/>
          <w:sz w:val="24"/>
          <w:szCs w:val="24"/>
        </w:rPr>
        <w:t xml:space="preserve">Meishar-Tal et al. (2025) find that teachers’ classroom AI use is predicted primarily by </w:t>
      </w:r>
      <w:r>
        <w:rPr>
          <w:rFonts w:ascii="Georgia" w:cs="Georgia" w:eastAsia="Georgia" w:hAnsi="Georgia"/>
          <w:i/>
          <w:iCs/>
          <w:sz w:val="24"/>
          <w:szCs w:val="24"/>
        </w:rPr>
        <w:t xml:space="preserve">perceived behavioral control</w:t>
      </w:r>
      <w:r>
        <w:rPr>
          <w:rFonts w:ascii="Georgia" w:cs="Georgia" w:eastAsia="Georgia" w:hAnsi="Georgia"/>
          <w:sz w:val="24"/>
          <w:szCs w:val="24"/>
        </w:rPr>
        <w:t xml:space="preserve"> — confidence in the ability to use AI pedagogically. Design capacity is what predicts enactment.</w:t>
      </w:r>
    </w:p>
    <w:p>
      <w:pPr>
        <w:keepLines/>
        <w:spacing w:after="160" w:line="280"/>
      </w:pPr>
      <w:r>
        <w:rPr>
          <w:rFonts w:ascii="Georgia" w:cs="Georgia" w:eastAsia="Georgia" w:hAnsi="Georgia"/>
          <w:b/>
          <w:bCs/>
          <w:sz w:val="24"/>
          <w:szCs w:val="24"/>
        </w:rPr>
        <w:t xml:space="preserve">If I am a tired teacher in February, what am I actually doing differently?</w:t>
      </w:r>
    </w:p>
    <w:p>
      <w:pPr>
        <w:keepLines/>
        <w:spacing w:after="160" w:line="280"/>
      </w:pPr>
      <w:r>
        <w:rPr>
          <w:rFonts w:ascii="Georgia" w:cs="Georgia" w:eastAsia="Georgia" w:hAnsi="Georgia"/>
          <w:sz w:val="24"/>
          <w:szCs w:val="24"/>
        </w:rPr>
        <w:t xml:space="preserve">The answer the fellowship builds toward is: one question. Before designing a task — or when reviewing one already in place — ask: if AI completed this perfectly, what learning would disappear? That takes thirty seconds. It requires no new tools, no new curriculum, and no additional meeting. Over time, repeated use of this question and the Department Cognitive Agency PLC Protocol embeds new assessment judgment into existing routines. The fellowship is designed for the tired teacher in February, not only for the enthusiastic teacher in September.</w:t>
      </w:r>
    </w:p>
    <w:p>
      <w:pPr>
        <w:pStyle w:val="Heading2"/>
        <w:keepNext/>
        <w:spacing w:after="120" w:before="280"/>
      </w:pPr>
      <w:r>
        <w:rPr>
          <w:rFonts w:ascii="Arial" w:cs="Arial" w:eastAsia="Arial" w:hAnsi="Arial"/>
          <w:b/>
          <w:bCs/>
          <w:color w:val="2E7D8C"/>
          <w:sz w:val="26"/>
          <w:szCs w:val="26"/>
        </w:rPr>
        <w:t xml:space="preserve">4.7  The Equity Dimension</w:t>
      </w:r>
    </w:p>
    <w:p>
      <w:pPr>
        <w:keepLines/>
        <w:spacing w:after="160" w:line="280"/>
      </w:pPr>
      <w:r>
        <w:rPr>
          <w:rFonts w:ascii="Georgia" w:cs="Georgia" w:eastAsia="Georgia" w:hAnsi="Georgia"/>
          <w:sz w:val="24"/>
          <w:szCs w:val="24"/>
        </w:rPr>
        <w:t xml:space="preserve">In high-resource environments like CNG, generative AI risks becoming invisible advantage. Benjamin (2019) and Birhane (2021) demonstrate that algorithmic systems used uncritically reproduce and amplify existing inequities. Holstein and Doroudi (2022) extend this to educational AI. The fellowship addresses this by making intellectual labour — in all its forms, across all modes of expression — the primary evidence of learning. Universal Design for Learning (CAST, 2018) provides the accessibility framework: designing for full participation from the outset, not retrofitting accommodations.</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5. Theoretical Framework</w:t>
      </w:r>
    </w:p>
    <w:p>
      <w:pPr>
        <w:pStyle w:val="Heading2"/>
        <w:keepNext/>
        <w:spacing w:after="120" w:before="280"/>
      </w:pPr>
      <w:r>
        <w:rPr>
          <w:rFonts w:ascii="Arial" w:cs="Arial" w:eastAsia="Arial" w:hAnsi="Arial"/>
          <w:b/>
          <w:bCs/>
          <w:color w:val="2E7D8C"/>
          <w:sz w:val="26"/>
          <w:szCs w:val="26"/>
        </w:rPr>
        <w:t xml:space="preserve">5.1  Fellowship Logic Chain</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760"/>
        <w:gridCol w:w="200"/>
        <w:gridCol w:w="1760"/>
        <w:gridCol w:w="200"/>
        <w:gridCol w:w="1760"/>
        <w:gridCol w:w="200"/>
        <w:gridCol w:w="1760"/>
        <w:gridCol w:w="200"/>
        <w:gridCol w:w="760"/>
      </w:tblGrid>
      <w:tr>
        <w:tc>
          <w:tcPr>
            <w:tcW w:type="dxa" w:w="760"/>
            <w:tcBorders>
              <w:top w:val="none" w:color="FFFFFF" w:sz="0"/>
              <w:left w:val="none" w:color="FFFFFF" w:sz="0"/>
              <w:bottom w:val="none" w:color="FFFFFF" w:sz="0"/>
              <w:right w:val="none" w:color="FFFFFF" w:sz="0"/>
            </w:tcBorders>
            <w:shd w:fill="FFFFFF" w:val="clear"/>
          </w:tcPr>
          <w:p>
            <w:pPr>
              <w:spacing w:after="0"/>
            </w:pPr>
          </w:p>
        </w:tc>
        <w:tc>
          <w:tcPr>
            <w:tcW w:type="dxa" w:w="1760"/>
            <w:tcBorders>
              <w:top w:val="none" w:color="FFFFFF" w:sz="0"/>
              <w:left w:val="none" w:color="FFFFFF" w:sz="0"/>
              <w:bottom w:val="none" w:color="FFFFFF" w:sz="0"/>
              <w:right w:val="none" w:color="FFFFFF" w:sz="0"/>
            </w:tcBorders>
            <w:shd w:fill="4A1A5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Philosophy</w:t>
            </w:r>
          </w:p>
          <w:p>
            <w:pPr>
              <w:spacing w:after="60"/>
              <w:jc w:val="center"/>
            </w:pPr>
            <w:r>
              <w:rPr>
                <w:rFonts w:ascii="Arial" w:cs="Arial" w:eastAsia="Arial" w:hAnsi="Arial"/>
                <w:b/>
                <w:bCs/>
                <w:color w:val="FFFFFF"/>
                <w:sz w:val="22"/>
                <w:szCs w:val="22"/>
              </w:rPr>
              <w:t xml:space="preserve">HCAP</w:t>
            </w:r>
          </w:p>
          <w:p>
            <w:pPr>
              <w:spacing w:after="0"/>
              <w:jc w:val="center"/>
            </w:pPr>
            <w:r>
              <w:rPr>
                <w:rFonts w:ascii="Arial" w:cs="Arial" w:eastAsia="Arial" w:hAnsi="Arial"/>
                <w:i/>
                <w:iCs/>
                <w:color w:val="C5DCE4"/>
                <w:sz w:val="17"/>
                <w:szCs w:val="17"/>
              </w:rPr>
              <w:t xml:space="preserve">AI serves human learning. Human judgment leads.</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2E7D8C"/>
                <w:sz w:val="22"/>
                <w:szCs w:val="22"/>
              </w:rPr>
              <w:t xml:space="preserve">▶</w:t>
            </w:r>
          </w:p>
        </w:tc>
        <w:tc>
          <w:tcPr>
            <w:tcW w:type="dxa" w:w="1760"/>
            <w:tcBorders>
              <w:top w:val="none" w:color="FFFFFF" w:sz="0"/>
              <w:left w:val="none" w:color="FFFFFF" w:sz="0"/>
              <w:bottom w:val="none" w:color="FFFFFF" w:sz="0"/>
              <w:right w:val="none" w:color="FFFFFF" w:sz="0"/>
            </w:tcBorders>
            <w:shd w:fill="1B3A5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Teacher Knowledge</w:t>
            </w:r>
          </w:p>
          <w:p>
            <w:pPr>
              <w:spacing w:after="60"/>
              <w:jc w:val="center"/>
            </w:pPr>
            <w:r>
              <w:rPr>
                <w:rFonts w:ascii="Arial" w:cs="Arial" w:eastAsia="Arial" w:hAnsi="Arial"/>
                <w:b/>
                <w:bCs/>
                <w:color w:val="FFFFFF"/>
                <w:sz w:val="22"/>
                <w:szCs w:val="22"/>
              </w:rPr>
              <w:t xml:space="preserve">AI-TPACK</w:t>
            </w:r>
          </w:p>
          <w:p>
            <w:pPr>
              <w:spacing w:after="0"/>
              <w:jc w:val="center"/>
            </w:pPr>
            <w:r>
              <w:rPr>
                <w:rFonts w:ascii="Arial" w:cs="Arial" w:eastAsia="Arial" w:hAnsi="Arial"/>
                <w:i/>
                <w:iCs/>
                <w:color w:val="C5DCE4"/>
                <w:sz w:val="17"/>
                <w:szCs w:val="17"/>
              </w:rPr>
              <w:t xml:space="preserve">What teachers know about AI in their discipline</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2E7D8C"/>
                <w:sz w:val="22"/>
                <w:szCs w:val="22"/>
              </w:rPr>
              <w:t xml:space="preserve">▶</w:t>
            </w:r>
          </w:p>
        </w:tc>
        <w:tc>
          <w:tcPr>
            <w:tcW w:type="dxa" w:w="1760"/>
            <w:tcBorders>
              <w:top w:val="none" w:color="FFFFFF" w:sz="0"/>
              <w:left w:val="none" w:color="FFFFFF" w:sz="0"/>
              <w:bottom w:val="none" w:color="FFFFFF" w:sz="0"/>
              <w:right w:val="none" w:color="FFFFFF" w:sz="0"/>
            </w:tcBorders>
            <w:shd w:fill="2E7D8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Design Knowledge</w:t>
            </w:r>
          </w:p>
          <w:p>
            <w:pPr>
              <w:spacing w:after="60"/>
              <w:jc w:val="center"/>
            </w:pPr>
            <w:r>
              <w:rPr>
                <w:rFonts w:ascii="Arial" w:cs="Arial" w:eastAsia="Arial" w:hAnsi="Arial"/>
                <w:b/>
                <w:bCs/>
                <w:color w:val="FFFFFF"/>
                <w:sz w:val="22"/>
                <w:szCs w:val="22"/>
              </w:rPr>
              <w:t xml:space="preserve">HAIC-K</w:t>
            </w:r>
          </w:p>
          <w:p>
            <w:pPr>
              <w:spacing w:after="0"/>
              <w:jc w:val="center"/>
            </w:pPr>
            <w:r>
              <w:rPr>
                <w:rFonts w:ascii="Arial" w:cs="Arial" w:eastAsia="Arial" w:hAnsi="Arial"/>
                <w:i/>
                <w:iCs/>
                <w:color w:val="C5DCE4"/>
                <w:sz w:val="17"/>
                <w:szCs w:val="17"/>
              </w:rPr>
              <w:t xml:space="preserve">How to structure human-AI collaboration</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2E7D8C"/>
                <w:sz w:val="22"/>
                <w:szCs w:val="22"/>
              </w:rPr>
              <w:t xml:space="preserve">▶</w:t>
            </w:r>
          </w:p>
        </w:tc>
        <w:tc>
          <w:tcPr>
            <w:tcW w:type="dxa" w:w="1760"/>
            <w:tcBorders>
              <w:top w:val="none" w:color="FFFFFF" w:sz="0"/>
              <w:left w:val="none" w:color="FFFFFF" w:sz="0"/>
              <w:bottom w:val="none" w:color="FFFFFF" w:sz="0"/>
              <w:right w:val="none" w:color="FFFFFF" w:sz="0"/>
            </w:tcBorders>
            <w:shd w:fill="2E6B7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Practice</w:t>
            </w:r>
          </w:p>
          <w:p>
            <w:pPr>
              <w:spacing w:after="60"/>
              <w:jc w:val="center"/>
            </w:pPr>
            <w:r>
              <w:rPr>
                <w:rFonts w:ascii="Arial" w:cs="Arial" w:eastAsia="Arial" w:hAnsi="Arial"/>
                <w:b/>
                <w:bCs/>
                <w:color w:val="FFFFFF"/>
                <w:sz w:val="22"/>
                <w:szCs w:val="22"/>
              </w:rPr>
              <w:t xml:space="preserve">Assessment Design</w:t>
            </w:r>
          </w:p>
          <w:p>
            <w:pPr>
              <w:spacing w:after="0"/>
              <w:jc w:val="center"/>
            </w:pPr>
            <w:r>
              <w:rPr>
                <w:rFonts w:ascii="Arial" w:cs="Arial" w:eastAsia="Arial" w:hAnsi="Arial"/>
                <w:i/>
                <w:iCs/>
                <w:color w:val="C5DCE4"/>
                <w:sz w:val="17"/>
                <w:szCs w:val="17"/>
              </w:rPr>
              <w:t xml:space="preserve">Tasks that make thinking visible and assessable</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2E7D8C"/>
                <w:sz w:val="20"/>
                <w:szCs w:val="20"/>
              </w:rPr>
              <w:t xml:space="preserve">▼</w:t>
            </w:r>
          </w:p>
        </w:tc>
        <w:tc>
          <w:tcPr>
            <w:tcW w:type="dxa" w:w="760"/>
            <w:tcBorders>
              <w:top w:val="none" w:color="FFFFFF" w:sz="0"/>
              <w:left w:val="none" w:color="FFFFFF" w:sz="0"/>
              <w:bottom w:val="none" w:color="FFFFFF" w:sz="0"/>
              <w:right w:val="none" w:color="FFFFFF" w:sz="0"/>
            </w:tcBorders>
            <w:shd w:fill="FFFFFF" w:val="clear"/>
          </w:tcPr>
          <w:p>
            <w:pPr>
              <w:spacing w:after="0"/>
            </w:pPr>
          </w:p>
        </w:tc>
      </w:tr>
      <w:tr>
        <w:tc>
          <w:tcPr>
            <w:tcW w:type="dxa" w:w="760"/>
            <w:tcBorders>
              <w:top w:val="none" w:color="FFFFFF" w:sz="0"/>
              <w:left w:val="none" w:color="FFFFFF" w:sz="0"/>
              <w:bottom w:val="none" w:color="FFFFFF" w:sz="0"/>
              <w:right w:val="none" w:color="FFFFFF" w:sz="0"/>
            </w:tcBorders>
            <w:shd w:fill="FFFFFF" w:val="clear"/>
          </w:tcPr>
          <w:p>
            <w:pPr>
              <w:spacing w:after="0"/>
            </w:pPr>
          </w:p>
        </w:tc>
        <w:tc>
          <w:tcPr>
            <w:tcW w:type="dxa" w:w="1760"/>
            <w:tcBorders>
              <w:top w:val="none" w:color="FFFFFF" w:sz="0"/>
              <w:left w:val="none" w:color="FFFFFF" w:sz="0"/>
              <w:bottom w:val="none" w:color="FFFFFF" w:sz="0"/>
              <w:right w:val="none" w:color="FFFFFF" w:sz="0"/>
            </w:tcBorders>
            <w:shd w:fill="2A0A3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Purpose</w:t>
            </w:r>
          </w:p>
          <w:p>
            <w:pPr>
              <w:spacing w:after="60"/>
              <w:jc w:val="center"/>
            </w:pPr>
            <w:r>
              <w:rPr>
                <w:rFonts w:ascii="Arial" w:cs="Arial" w:eastAsia="Arial" w:hAnsi="Arial"/>
                <w:b/>
                <w:bCs/>
                <w:color w:val="FFFFFF"/>
                <w:sz w:val="22"/>
                <w:szCs w:val="22"/>
              </w:rPr>
              <w:t xml:space="preserve">Human Agency
&amp; Judgment</w:t>
            </w:r>
          </w:p>
          <w:p>
            <w:pPr>
              <w:spacing w:after="0"/>
              <w:jc w:val="center"/>
            </w:pPr>
            <w:r>
              <w:rPr>
                <w:rFonts w:ascii="Arial" w:cs="Arial" w:eastAsia="Arial" w:hAnsi="Arial"/>
                <w:i/>
                <w:iCs/>
                <w:color w:val="C5DCE4"/>
                <w:sz w:val="17"/>
                <w:szCs w:val="17"/>
              </w:rPr>
              <w:t xml:space="preserve">The kind of person students are becoming</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C9952A"/>
                <w:sz w:val="22"/>
                <w:szCs w:val="22"/>
              </w:rPr>
              <w:t xml:space="preserve">◀</w:t>
            </w:r>
          </w:p>
        </w:tc>
        <w:tc>
          <w:tcPr>
            <w:tcW w:type="dxa" w:w="1760"/>
            <w:tcBorders>
              <w:top w:val="none" w:color="FFFFFF" w:sz="0"/>
              <w:left w:val="none" w:color="FFFFFF" w:sz="0"/>
              <w:bottom w:val="none" w:color="FFFFFF" w:sz="0"/>
              <w:right w:val="none" w:color="FFFFFF" w:sz="0"/>
            </w:tcBorders>
            <w:shd w:fill="1A5C3A"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Goal</w:t>
            </w:r>
          </w:p>
          <w:p>
            <w:pPr>
              <w:spacing w:after="60"/>
              <w:jc w:val="center"/>
            </w:pPr>
            <w:r>
              <w:rPr>
                <w:rFonts w:ascii="Arial" w:cs="Arial" w:eastAsia="Arial" w:hAnsi="Arial"/>
                <w:b/>
                <w:bCs/>
                <w:color w:val="FFFFFF"/>
                <w:sz w:val="22"/>
                <w:szCs w:val="22"/>
              </w:rPr>
              <w:t xml:space="preserve">Cognitive Agency</w:t>
            </w:r>
          </w:p>
          <w:p>
            <w:pPr>
              <w:spacing w:after="0"/>
              <w:jc w:val="center"/>
            </w:pPr>
            <w:r>
              <w:rPr>
                <w:rFonts w:ascii="Arial" w:cs="Arial" w:eastAsia="Arial" w:hAnsi="Arial"/>
                <w:i/>
                <w:iCs/>
                <w:color w:val="C5DCE4"/>
                <w:sz w:val="17"/>
                <w:szCs w:val="17"/>
              </w:rPr>
              <w:t xml:space="preserve">Students own their thinking and judgment</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C9952A"/>
                <w:sz w:val="22"/>
                <w:szCs w:val="22"/>
              </w:rPr>
              <w:t xml:space="preserve">◀</w:t>
            </w:r>
          </w:p>
        </w:tc>
        <w:tc>
          <w:tcPr>
            <w:tcW w:type="dxa" w:w="1760"/>
            <w:tcBorders>
              <w:top w:val="none" w:color="FFFFFF" w:sz="0"/>
              <w:left w:val="none" w:color="FFFFFF" w:sz="0"/>
              <w:bottom w:val="none" w:color="FFFFFF" w:sz="0"/>
              <w:right w:val="none" w:color="FFFFFF" w:sz="0"/>
            </w:tcBorders>
            <w:shd w:fill="C9952A"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Honours</w:t>
            </w:r>
          </w:p>
          <w:p>
            <w:pPr>
              <w:spacing w:after="60"/>
              <w:jc w:val="center"/>
            </w:pPr>
            <w:r>
              <w:rPr>
                <w:rFonts w:ascii="Arial" w:cs="Arial" w:eastAsia="Arial" w:hAnsi="Arial"/>
                <w:b/>
                <w:bCs/>
                <w:color w:val="FFFFFF"/>
                <w:sz w:val="22"/>
                <w:szCs w:val="22"/>
              </w:rPr>
              <w:t xml:space="preserve">Intellectual Labour</w:t>
            </w:r>
          </w:p>
          <w:p>
            <w:pPr>
              <w:spacing w:after="0"/>
              <w:jc w:val="center"/>
            </w:pPr>
            <w:r>
              <w:rPr>
                <w:rFonts w:ascii="Arial" w:cs="Arial" w:eastAsia="Arial" w:hAnsi="Arial"/>
                <w:i/>
                <w:iCs/>
                <w:color w:val="C5DCE4"/>
                <w:sz w:val="17"/>
                <w:szCs w:val="17"/>
              </w:rPr>
              <w:t xml:space="preserve">Student thinking is the primary evidence</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C9952A"/>
                <w:sz w:val="22"/>
                <w:szCs w:val="22"/>
              </w:rPr>
              <w:t xml:space="preserve">◀</w:t>
            </w:r>
          </w:p>
        </w:tc>
        <w:tc>
          <w:tcPr>
            <w:tcW w:type="dxa" w:w="1760"/>
            <w:tcBorders>
              <w:top w:val="none" w:color="FFFFFF" w:sz="0"/>
              <w:left w:val="none" w:color="FFFFFF" w:sz="0"/>
              <w:bottom w:val="none" w:color="FFFFFF" w:sz="0"/>
              <w:right w:val="none" w:color="FFFFFF" w:sz="0"/>
            </w:tcBorders>
            <w:shd w:fill="2E5D8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Outcome</w:t>
            </w:r>
          </w:p>
          <w:p>
            <w:pPr>
              <w:spacing w:after="60"/>
              <w:jc w:val="center"/>
            </w:pPr>
            <w:r>
              <w:rPr>
                <w:rFonts w:ascii="Arial" w:cs="Arial" w:eastAsia="Arial" w:hAnsi="Arial"/>
                <w:b/>
                <w:bCs/>
                <w:color w:val="FFFFFF"/>
                <w:sz w:val="22"/>
                <w:szCs w:val="22"/>
              </w:rPr>
              <w:t xml:space="preserve">Interpretable Evidence</w:t>
            </w:r>
          </w:p>
          <w:p>
            <w:pPr>
              <w:spacing w:after="0"/>
              <w:jc w:val="center"/>
            </w:pPr>
            <w:r>
              <w:rPr>
                <w:rFonts w:ascii="Arial" w:cs="Arial" w:eastAsia="Arial" w:hAnsi="Arial"/>
                <w:i/>
                <w:iCs/>
                <w:color w:val="C5DCE4"/>
                <w:sz w:val="17"/>
                <w:szCs w:val="17"/>
              </w:rPr>
              <w:t xml:space="preserve">Teachers can infer and respond to thinking</w:t>
            </w:r>
          </w:p>
        </w:tc>
        <w:tc>
          <w:tcPr>
            <w:tcW w:type="dxa" w:w="200"/>
            <w:tcBorders>
              <w:top w:val="none" w:color="FFFFFF" w:sz="0"/>
              <w:left w:val="none" w:color="FFFFFF" w:sz="0"/>
              <w:bottom w:val="none" w:color="FFFFFF" w:sz="0"/>
              <w:right w:val="none" w:color="FFFFFF" w:sz="0"/>
            </w:tcBorders>
            <w:shd w:fill="FFFFFF" w:val="clear"/>
          </w:tcPr>
          <w:p>
            <w:pPr>
              <w:spacing w:after="0"/>
            </w:pPr>
          </w:p>
        </w:tc>
        <w:tc>
          <w:tcPr>
            <w:tcW w:type="dxa" w:w="760"/>
            <w:tcBorders>
              <w:top w:val="none" w:color="FFFFFF" w:sz="0"/>
              <w:left w:val="none" w:color="FFFFFF" w:sz="0"/>
              <w:bottom w:val="none" w:color="FFFFFF" w:sz="0"/>
              <w:right w:val="none" w:color="FFFFFF" w:sz="0"/>
            </w:tcBorders>
            <w:shd w:fill="FFFFFF" w:val="clear"/>
          </w:tcPr>
          <w:p>
            <w:pPr>
              <w:spacing w:after="0"/>
            </w:pP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5.2  HCAP — The Orienting Philosophy</w:t>
      </w:r>
    </w:p>
    <w:p>
      <w:pPr>
        <w:keepLines/>
        <w:spacing w:after="160" w:line="280"/>
      </w:pPr>
      <w:r>
        <w:rPr>
          <w:rFonts w:ascii="Georgia" w:cs="Georgia" w:eastAsia="Georgia" w:hAnsi="Georgia"/>
          <w:sz w:val="24"/>
          <w:szCs w:val="24"/>
        </w:rPr>
        <w:t xml:space="preserve">Human-Centered AI Pedagogy (HCAP; Chiu, 2026) is the orienting philosophy: AI serves human learning rather than replacing it, teacher judgment remains primary, and student cognitive agency is non-negotiable. Every design decision in the fellowship is evaluated against the HCAP question: </w:t>
      </w:r>
      <w:r>
        <w:rPr>
          <w:rFonts w:ascii="Georgia" w:cs="Georgia" w:eastAsia="Georgia" w:hAnsi="Georgia"/>
          <w:i/>
          <w:iCs/>
          <w:sz w:val="24"/>
          <w:szCs w:val="24"/>
        </w:rPr>
        <w:t xml:space="preserve">does this serve human learning, or does it substitute for it?</w:t>
      </w:r>
      <w:r>
        <w:rPr>
          <w:rFonts w:ascii="Georgia" w:cs="Georgia" w:eastAsia="Georgia" w:hAnsi="Georgia"/>
          <w:sz w:val="24"/>
          <w:szCs w:val="24"/>
        </w:rPr>
        <w:t xml:space="preserve"> HCAP aligns directly with CNG’s own philosophy statement: </w:t>
      </w:r>
      <w:r>
        <w:rPr>
          <w:rFonts w:ascii="Georgia" w:cs="Georgia" w:eastAsia="Georgia" w:hAnsi="Georgia"/>
          <w:i/>
          <w:iCs/>
          <w:sz w:val="24"/>
          <w:szCs w:val="24"/>
        </w:rPr>
        <w:t xml:space="preserve">Universal moral values such as respect, responsibility, integrity, and caring, are taught through direct instruction, modeling, and experience</w:t>
      </w:r>
      <w:r>
        <w:rPr>
          <w:rFonts w:ascii="Georgia" w:cs="Georgia" w:eastAsia="Georgia" w:hAnsi="Georgia"/>
          <w:sz w:val="24"/>
          <w:szCs w:val="24"/>
        </w:rPr>
        <w:t xml:space="preserve"> (CNG Philosophy). A school that states this cannot treat AI as a values-neutral tool.</w:t>
      </w:r>
    </w:p>
    <w:p>
      <w:pPr>
        <w:pStyle w:val="Heading2"/>
        <w:keepNext/>
        <w:spacing w:after="120" w:before="280"/>
      </w:pPr>
      <w:r>
        <w:rPr>
          <w:rFonts w:ascii="Arial" w:cs="Arial" w:eastAsia="Arial" w:hAnsi="Arial"/>
          <w:b/>
          <w:bCs/>
          <w:color w:val="2E7D8C"/>
          <w:sz w:val="26"/>
          <w:szCs w:val="26"/>
        </w:rPr>
        <w:t xml:space="preserve">5.3  Core Constructs</w:t>
      </w:r>
    </w:p>
    <w:p>
      <w:pPr>
        <w:pStyle w:val="Heading3"/>
        <w:keepNext/>
        <w:spacing w:after="100" w:before="200"/>
      </w:pPr>
      <w:r>
        <w:rPr>
          <w:rFonts w:ascii="Arial" w:cs="Arial" w:eastAsia="Arial" w:hAnsi="Arial"/>
          <w:b/>
          <w:bCs/>
          <w:color w:val="1B3A5C"/>
          <w:sz w:val="24"/>
          <w:szCs w:val="24"/>
        </w:rPr>
        <w:t xml:space="preserve">Student Cognitive Agency</w:t>
      </w:r>
    </w:p>
    <w:p>
      <w:pPr>
        <w:keepLines/>
        <w:spacing w:after="160" w:line="280"/>
      </w:pPr>
      <w:r>
        <w:rPr>
          <w:rFonts w:ascii="Georgia" w:cs="Georgia" w:eastAsia="Georgia" w:hAnsi="Georgia"/>
          <w:sz w:val="24"/>
          <w:szCs w:val="24"/>
        </w:rPr>
        <w:t xml:space="preserve">Student Cognitive Agency is the capacity of learners to act as primary sense-makers, evaluators, decision-makers, and architects of understanding. Students with developed cognitive agency use AI as advisory intelligence — interrogated, challenged, verified, selectively incorporated. They retain final judgment.</w:t>
      </w:r>
    </w:p>
    <w:p>
      <w:pPr>
        <w:keepLines/>
        <w:spacing w:after="160" w:line="280"/>
      </w:pPr>
      <w:r>
        <w:rPr>
          <w:rFonts w:ascii="Georgia" w:cs="Georgia" w:eastAsia="Georgia" w:hAnsi="Georgia"/>
          <w:b/>
          <w:bCs/>
          <w:sz w:val="24"/>
          <w:szCs w:val="24"/>
        </w:rPr>
        <w:t xml:space="preserve">Measurement note: </w:t>
      </w:r>
      <w:r>
        <w:rPr>
          <w:rFonts w:ascii="Georgia" w:cs="Georgia" w:eastAsia="Georgia" w:hAnsi="Georgia"/>
          <w:sz w:val="24"/>
          <w:szCs w:val="24"/>
        </w:rPr>
        <w:t xml:space="preserve">Cognitive agency is a latent construct — inferred, not directly observed. The fellowship does not claim to directly measure agency. Instead it triangulates </w:t>
      </w:r>
      <w:r>
        <w:rPr>
          <w:rFonts w:ascii="Georgia" w:cs="Georgia" w:eastAsia="Georgia" w:hAnsi="Georgia"/>
          <w:b/>
          <w:bCs/>
          <w:sz w:val="24"/>
          <w:szCs w:val="24"/>
        </w:rPr>
        <w:t xml:space="preserve">indicators of cognitive agency</w:t>
      </w:r>
      <w:r>
        <w:rPr>
          <w:rFonts w:ascii="Georgia" w:cs="Georgia" w:eastAsia="Georgia" w:hAnsi="Georgia"/>
          <w:sz w:val="24"/>
          <w:szCs w:val="24"/>
        </w:rPr>
        <w:t xml:space="preserve"> across multiple evidence sources: student-led hypothesis testing, independent question generation, strategic AI use, justified rejection of AI suggestions, and explanation of decision-making. These indicators are interpreted collectively rather than treated as direct measures.</w:t>
      </w:r>
    </w:p>
    <w:p>
      <w:pPr>
        <w:pStyle w:val="Heading3"/>
        <w:keepNext/>
        <w:spacing w:after="100" w:before="200"/>
      </w:pPr>
      <w:r>
        <w:rPr>
          <w:rFonts w:ascii="Arial" w:cs="Arial" w:eastAsia="Arial" w:hAnsi="Arial"/>
          <w:b/>
          <w:bCs/>
          <w:color w:val="1B3A5C"/>
          <w:sz w:val="24"/>
          <w:szCs w:val="24"/>
        </w:rPr>
        <w:t xml:space="preserve">Student Intellectual Labour and Human Agency and Judgment</w:t>
      </w:r>
    </w:p>
    <w:p>
      <w:pPr>
        <w:keepLines/>
        <w:spacing w:after="160" w:line="280"/>
      </w:pPr>
      <w:r>
        <w:rPr>
          <w:rFonts w:ascii="Georgia" w:cs="Georgia" w:eastAsia="Georgia" w:hAnsi="Georgia"/>
          <w:sz w:val="24"/>
          <w:szCs w:val="24"/>
        </w:rPr>
        <w:t xml:space="preserve">Student Intellectual Labour refers to the full range of cognitive and creative work students perform — including reasoning, </w:t>
      </w:r>
      <w:r>
        <w:rPr>
          <w:rFonts w:ascii="Georgia" w:cs="Georgia" w:eastAsia="Georgia" w:hAnsi="Georgia"/>
          <w:b/>
          <w:bCs/>
          <w:sz w:val="24"/>
          <w:szCs w:val="24"/>
        </w:rPr>
        <w:t xml:space="preserve">creation, embodiment, and tacit knowledge</w:t>
      </w:r>
      <w:r>
        <w:rPr>
          <w:rFonts w:ascii="Georgia" w:cs="Georgia" w:eastAsia="Georgia" w:hAnsi="Georgia"/>
          <w:sz w:val="24"/>
          <w:szCs w:val="24"/>
        </w:rPr>
        <w:t xml:space="preserve">. This work has intrinsic educational value independent of final product quality.</w:t>
      </w:r>
    </w:p>
    <w:p>
      <w:pPr>
        <w:keepLines/>
        <w:spacing w:after="160" w:line="280"/>
      </w:pPr>
      <w:r>
        <w:rPr>
          <w:rFonts w:ascii="Georgia" w:cs="Georgia" w:eastAsia="Georgia" w:hAnsi="Georgia"/>
          <w:sz w:val="24"/>
          <w:szCs w:val="24"/>
        </w:rPr>
        <w:t xml:space="preserve">The deeper purpose is </w:t>
      </w:r>
      <w:r>
        <w:rPr>
          <w:rFonts w:ascii="Georgia" w:cs="Georgia" w:eastAsia="Georgia" w:hAnsi="Georgia"/>
          <w:b/>
          <w:bCs/>
          <w:sz w:val="24"/>
          <w:szCs w:val="24"/>
        </w:rPr>
        <w:t xml:space="preserve">Human Agency and Judgment</w:t>
      </w:r>
      <w:r>
        <w:rPr>
          <w:rFonts w:ascii="Georgia" w:cs="Georgia" w:eastAsia="Georgia" w:hAnsi="Georgia"/>
          <w:sz w:val="24"/>
          <w:szCs w:val="24"/>
        </w:rPr>
        <w:t xml:space="preserve">: the kind of person students are becoming — capable of inquiry, critique, disciplinary decision-making, and responsible AI use. This is the fellowship’s horizon, connecting directly to CNG’s vision of </w:t>
      </w:r>
      <w:r>
        <w:rPr>
          <w:rFonts w:ascii="Georgia" w:cs="Georgia" w:eastAsia="Georgia" w:hAnsi="Georgia"/>
          <w:i/>
          <w:iCs/>
          <w:sz w:val="24"/>
          <w:szCs w:val="24"/>
        </w:rPr>
        <w:t xml:space="preserve">leadership and service in the world of today for a better tomorrow</w:t>
      </w:r>
      <w:r>
        <w:rPr>
          <w:rFonts w:ascii="Georgia" w:cs="Georgia" w:eastAsia="Georgia" w:hAnsi="Georgia"/>
          <w:sz w:val="24"/>
          <w:szCs w:val="24"/>
        </w:rPr>
        <w:t xml:space="preserve">.</w:t>
      </w:r>
    </w:p>
    <w:p>
      <w:pPr>
        <w:pStyle w:val="Heading3"/>
        <w:keepNext/>
        <w:spacing w:after="100" w:before="200"/>
      </w:pPr>
      <w:r>
        <w:rPr>
          <w:rFonts w:ascii="Arial" w:cs="Arial" w:eastAsia="Arial" w:hAnsi="Arial"/>
          <w:b/>
          <w:bCs/>
          <w:color w:val="1B3A5C"/>
          <w:sz w:val="24"/>
          <w:szCs w:val="24"/>
        </w:rPr>
        <w:t xml:space="preserve">Interpretable Evidence of Learning</w:t>
      </w:r>
    </w:p>
    <w:p>
      <w:pPr>
        <w:keepLines/>
        <w:spacing w:after="160" w:line="280"/>
      </w:pPr>
      <w:r>
        <w:rPr>
          <w:rFonts w:ascii="Georgia" w:cs="Georgia" w:eastAsia="Georgia" w:hAnsi="Georgia"/>
          <w:sz w:val="24"/>
          <w:szCs w:val="24"/>
        </w:rPr>
        <w:t xml:space="preserve">Artifacts that allow teachers to infer, diagnose, and respond to student thinking processes — not merely evaluate final products. Evidence takes multiple forms: verbal, written, visual, computational, </w:t>
      </w:r>
      <w:r>
        <w:rPr>
          <w:rFonts w:ascii="Georgia" w:cs="Georgia" w:eastAsia="Georgia" w:hAnsi="Georgia"/>
          <w:b/>
          <w:bCs/>
          <w:sz w:val="24"/>
          <w:szCs w:val="24"/>
        </w:rPr>
        <w:t xml:space="preserve">embodied, artistic, and creative</w:t>
      </w:r>
      <w:r>
        <w:rPr>
          <w:rFonts w:ascii="Georgia" w:cs="Georgia" w:eastAsia="Georgia" w:hAnsi="Georgia"/>
          <w:sz w:val="24"/>
          <w:szCs w:val="24"/>
        </w:rPr>
        <w:t xml:space="preserve">. The quality of reasoning is assessed — not the mode of expression.</w:t>
      </w:r>
    </w:p>
    <w:p>
      <w:pPr>
        <w:keepLines/>
        <w:spacing w:after="160" w:line="280"/>
      </w:pPr>
      <w:r>
        <w:rPr>
          <w:rFonts w:ascii="Georgia" w:cs="Georgia" w:eastAsia="Georgia" w:hAnsi="Georgia"/>
          <w:sz w:val="24"/>
          <w:szCs w:val="24"/>
        </w:rPr>
        <w:t xml:space="preserve">Some of the most important learning is not fully visible. The fellowship does not claim interpretable evidence captures everything that matters — only that it captures more than polished product alone. This connects naturally to </w:t>
      </w:r>
      <w:r>
        <w:rPr>
          <w:rFonts w:ascii="Georgia" w:cs="Georgia" w:eastAsia="Georgia" w:hAnsi="Georgia"/>
          <w:b/>
          <w:bCs/>
          <w:sz w:val="24"/>
          <w:szCs w:val="24"/>
        </w:rPr>
        <w:t xml:space="preserve">standards-based grading</w:t>
      </w:r>
      <w:r>
        <w:rPr>
          <w:rFonts w:ascii="Georgia" w:cs="Georgia" w:eastAsia="Georgia" w:hAnsi="Georgia"/>
          <w:sz w:val="24"/>
          <w:szCs w:val="24"/>
        </w:rPr>
        <w:t xml:space="preserve"> practices: the fellowship’s rubric dimensions describe developmental progressions informed by Modern Measurement Theory and construct-map thinking (Saubern et al.). While Year 1 will not generate sufficient data for formal Rasch modeling, the framework adopts the underlying principle of developmental continua — a natural companion to CNG’s movement toward standards-based grading.</w:t>
      </w:r>
    </w:p>
    <w:p>
      <w:pPr>
        <w:pStyle w:val="Heading3"/>
        <w:keepNext/>
        <w:spacing w:after="100" w:before="200"/>
      </w:pPr>
      <w:r>
        <w:rPr>
          <w:rFonts w:ascii="Arial" w:cs="Arial" w:eastAsia="Arial" w:hAnsi="Arial"/>
          <w:b/>
          <w:bCs/>
          <w:color w:val="1B3A5C"/>
          <w:sz w:val="24"/>
          <w:szCs w:val="24"/>
        </w:rPr>
        <w:t xml:space="preserve">SAIL as a TPACK Decision — Noticing What Teachers Already Know</w:t>
      </w:r>
    </w:p>
    <w:p>
      <w:pPr>
        <w:keepLines/>
        <w:spacing w:after="160" w:line="280"/>
      </w:pPr>
      <w:r>
        <w:rPr>
          <w:rFonts w:ascii="Georgia" w:cs="Georgia" w:eastAsia="Georgia" w:hAnsi="Georgia"/>
          <w:sz w:val="24"/>
          <w:szCs w:val="24"/>
        </w:rPr>
        <w:t xml:space="preserve">CNG teachers already make CK, PK, and TK intersections every day. The fellowship helps teachers </w:t>
      </w:r>
      <w:r>
        <w:rPr>
          <w:rFonts w:ascii="Georgia" w:cs="Georgia" w:eastAsia="Georgia" w:hAnsi="Georgia"/>
          <w:i/>
          <w:iCs/>
          <w:sz w:val="24"/>
          <w:szCs w:val="24"/>
        </w:rPr>
        <w:t xml:space="preserve">notice, name, and extend</w:t>
      </w:r>
      <w:r>
        <w:rPr>
          <w:rFonts w:ascii="Georgia" w:cs="Georgia" w:eastAsia="Georgia" w:hAnsi="Georgia"/>
          <w:sz w:val="24"/>
          <w:szCs w:val="24"/>
        </w:rPr>
        <w:t xml:space="preserve"> that integration into AI contexts. Mr. Cajina’s role in PLCs and VSR cycles is to function as a </w:t>
      </w:r>
      <w:r>
        <w:rPr>
          <w:rFonts w:ascii="Georgia" w:cs="Georgia" w:eastAsia="Georgia" w:hAnsi="Georgia"/>
          <w:i/>
          <w:iCs/>
          <w:sz w:val="24"/>
          <w:szCs w:val="24"/>
        </w:rPr>
        <w:t xml:space="preserve">mirror</w:t>
      </w:r>
      <w:r>
        <w:rPr>
          <w:rFonts w:ascii="Georgia" w:cs="Georgia" w:eastAsia="Georgia" w:hAnsi="Georgia"/>
          <w:sz w:val="24"/>
          <w:szCs w:val="24"/>
        </w:rPr>
        <w:t xml:space="preserve">: surfacing decisions teachers are already making and extending that navigation deliberately.</w:t>
      </w:r>
    </w:p>
    <w:p>
      <w:pPr>
        <w:pStyle w:val="Heading2"/>
        <w:keepNext/>
        <w:spacing w:after="120" w:before="280"/>
      </w:pPr>
      <w:r>
        <w:rPr>
          <w:rFonts w:ascii="Arial" w:cs="Arial" w:eastAsia="Arial" w:hAnsi="Arial"/>
          <w:b/>
          <w:bCs/>
          <w:color w:val="2E7D8C"/>
          <w:sz w:val="26"/>
          <w:szCs w:val="26"/>
        </w:rPr>
        <w:t xml:space="preserve">5.4  Teacher Knowledge Framework</w:t>
      </w:r>
    </w:p>
    <w:p>
      <w:pPr>
        <w:keepLines/>
        <w:spacing w:after="160" w:line="280"/>
      </w:pPr>
      <w:r>
        <w:rPr>
          <w:rFonts w:ascii="Georgia" w:cs="Georgia" w:eastAsia="Georgia" w:hAnsi="Georgia"/>
          <w:sz w:val="24"/>
          <w:szCs w:val="24"/>
        </w:rPr>
        <w:t xml:space="preserve">The fellowship develops four AI-specific knowledge layers — building on the </w:t>
      </w:r>
      <w:r>
        <w:rPr>
          <w:rFonts w:ascii="Georgia" w:cs="Georgia" w:eastAsia="Georgia" w:hAnsi="Georgia"/>
          <w:b/>
          <w:bCs/>
          <w:sz w:val="24"/>
          <w:szCs w:val="24"/>
        </w:rPr>
        <w:t xml:space="preserve">CK, PK, and PCK that departments already share</w:t>
      </w:r>
      <w:r>
        <w:rPr>
          <w:rFonts w:ascii="Georgia" w:cs="Georgia" w:eastAsia="Georgia" w:hAnsi="Georgia"/>
          <w:sz w:val="24"/>
          <w:szCs w:val="24"/>
        </w:rPr>
        <w:t xml:space="preserve">:</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cantSplit/>
        </w:trPr>
        <w:tc>
          <w:tcPr>
            <w:tcW w:type="dxa" w:w="22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Knowledge Layer</w:t>
            </w:r>
          </w:p>
        </w:tc>
        <w:tc>
          <w:tcPr>
            <w:tcW w:type="dxa" w:w="18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The Question</w:t>
            </w:r>
          </w:p>
        </w:tc>
        <w:tc>
          <w:tcPr>
            <w:tcW w:type="dxa" w:w="536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What It Requires</w:t>
            </w:r>
          </w:p>
        </w:tc>
      </w:tr>
      <w:tr>
        <w:trPr>
          <w:cantSplit/>
        </w:trPr>
        <w:tc>
          <w:tcPr>
            <w:tcW w:type="dxa" w:w="22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color w:val="2E7D8C"/>
                <w:sz w:val="22"/>
                <w:szCs w:val="22"/>
              </w:rPr>
              <w:t xml:space="preserve">Layer 1 — AI-TPACK
(Celik, 2023; Chiu, 2025)</w:t>
            </w:r>
          </w:p>
        </w:tc>
        <w:tc>
          <w:tcPr>
            <w:tcW w:type="dxa" w:w="18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i/>
                <w:iCs/>
                <w:sz w:val="22"/>
                <w:szCs w:val="22"/>
              </w:rPr>
              <w:t xml:space="preserve">Can I integrate AI?</w:t>
            </w:r>
          </w:p>
        </w:tc>
        <w:tc>
          <w:tcPr>
            <w:tcW w:type="dxa" w:w="536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sz w:val="22"/>
                <w:szCs w:val="22"/>
              </w:rPr>
              <w:t xml:space="preserve">Integrated knowledge of AI tools, disciplinary content, and pedagogy — including I-CK (how AI handles the specific knowledge structures of a discipline)</w:t>
            </w:r>
          </w:p>
        </w:tc>
      </w:tr>
      <w:tr>
        <w:trPr>
          <w:cantSplit/>
        </w:trPr>
        <w:tc>
          <w:tcPr>
            <w:tcW w:type="dxa" w:w="22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color w:val="2E7D8C"/>
                <w:sz w:val="22"/>
                <w:szCs w:val="22"/>
              </w:rPr>
              <w:t xml:space="preserve">Layer 2 — Ethical TPACK
(Celik, 2023; UNESCO, 2024; Chiu, 2026)</w:t>
            </w:r>
          </w:p>
        </w:tc>
        <w:tc>
          <w:tcPr>
            <w:tcW w:type="dxa" w:w="18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i/>
                <w:iCs/>
                <w:sz w:val="22"/>
                <w:szCs w:val="22"/>
              </w:rPr>
              <w:t xml:space="preserve">Should I integrate AI?</w:t>
            </w:r>
          </w:p>
        </w:tc>
        <w:tc>
          <w:tcPr>
            <w:tcW w:type="dxa" w:w="536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sz w:val="22"/>
                <w:szCs w:val="22"/>
              </w:rPr>
              <w:t xml:space="preserve">Knowledge to identify bias in AI outputs, evaluate hallucinations, protect student data privacy, preserve academic integrity, and support equitable participation</w:t>
            </w:r>
          </w:p>
        </w:tc>
      </w:tr>
      <w:tr>
        <w:trPr>
          <w:cantSplit/>
        </w:trPr>
        <w:tc>
          <w:tcPr>
            <w:tcW w:type="dxa" w:w="22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color w:val="2E7D8C"/>
                <w:sz w:val="22"/>
                <w:szCs w:val="22"/>
              </w:rPr>
              <w:t xml:space="preserve">Layer 3 — Contextual Knowledge (XK)
(Porras-Hernández &amp; Salinas-Amescua, 2013)</w:t>
            </w:r>
          </w:p>
        </w:tc>
        <w:tc>
          <w:tcPr>
            <w:tcW w:type="dxa" w:w="18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i/>
                <w:iCs/>
                <w:sz w:val="22"/>
                <w:szCs w:val="22"/>
              </w:rPr>
              <w:t xml:space="preserve">Will this work here?</w:t>
            </w:r>
          </w:p>
        </w:tc>
        <w:tc>
          <w:tcPr>
            <w:tcW w:type="dxa" w:w="536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sz w:val="22"/>
                <w:szCs w:val="22"/>
              </w:rPr>
              <w:t xml:space="preserve">Understanding of school culture, student demographics, curriculum requirements, assessment pressures, available tools, and institutional policy. Departments already share CK, PK, and PCK — XK is what the fellowship makes explicit for AI contexts</w:t>
            </w:r>
          </w:p>
        </w:tc>
      </w:tr>
      <w:tr>
        <w:trPr>
          <w:cantSplit/>
        </w:trPr>
        <w:tc>
          <w:tcPr>
            <w:tcW w:type="dxa" w:w="22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color w:val="2E7D8C"/>
                <w:sz w:val="22"/>
                <w:szCs w:val="22"/>
              </w:rPr>
              <w:t xml:space="preserve">Layer 4 — HAIC-K
(Chiu, 2026)</w:t>
            </w:r>
          </w:p>
        </w:tc>
        <w:tc>
          <w:tcPr>
            <w:tcW w:type="dxa" w:w="18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i/>
                <w:iCs/>
                <w:sz w:val="22"/>
                <w:szCs w:val="22"/>
              </w:rPr>
              <w:t xml:space="preserve">How should humans and AI collaborate?</w:t>
            </w:r>
          </w:p>
        </w:tc>
        <w:tc>
          <w:tcPr>
            <w:tcW w:type="dxa" w:w="536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sz w:val="22"/>
                <w:szCs w:val="22"/>
              </w:rPr>
              <w:t xml:space="preserve">Human-AI Collaboration Knowledge: role allocation, co-agency, human oversight, verification, critique structures, and epistemic vigilance so students remain primary agents</w:t>
            </w:r>
          </w:p>
        </w:tc>
      </w:tr>
    </w:tbl>
    <w:p>
      <w:pPr>
        <w:keepNext/>
        <w:spacing w:after="16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These four layers operate </w:t>
      </w:r>
      <w:r>
        <w:rPr>
          <w:rFonts w:ascii="Georgia" w:cs="Georgia" w:eastAsia="Georgia" w:hAnsi="Georgia"/>
          <w:i/>
          <w:iCs/>
          <w:sz w:val="24"/>
          <w:szCs w:val="24"/>
        </w:rPr>
        <w:t xml:space="preserve">simultaneously</w:t>
      </w:r>
      <w:r>
        <w:rPr>
          <w:rFonts w:ascii="Georgia" w:cs="Georgia" w:eastAsia="Georgia" w:hAnsi="Georgia"/>
          <w:sz w:val="24"/>
          <w:szCs w:val="24"/>
        </w:rPr>
        <w:t xml:space="preserve">, not sequentially. Critically, </w:t>
      </w:r>
      <w:r>
        <w:rPr>
          <w:rFonts w:ascii="Georgia" w:cs="Georgia" w:eastAsia="Georgia" w:hAnsi="Georgia"/>
          <w:b/>
          <w:bCs/>
          <w:sz w:val="24"/>
          <w:szCs w:val="24"/>
        </w:rPr>
        <w:t xml:space="preserve">departments already share CK, PK, and PCK</w:t>
      </w:r>
      <w:r>
        <w:rPr>
          <w:rFonts w:ascii="Georgia" w:cs="Georgia" w:eastAsia="Georgia" w:hAnsi="Georgia"/>
          <w:sz w:val="24"/>
          <w:szCs w:val="24"/>
        </w:rPr>
        <w:t xml:space="preserve"> — the foundational knowledge that defines a discipline and how it is taught. The fellowship does not rebuild what departments already know. It builds AI-specific knowledge on top of that shared foundation. This is precisely why the departmental PLC is the right long-term unit for sustainability.</w:t>
      </w:r>
    </w:p>
    <w:p>
      <w:pPr>
        <w:pStyle w:val="Heading2"/>
        <w:keepNext/>
        <w:spacing w:after="120" w:before="280"/>
      </w:pPr>
      <w:r>
        <w:rPr>
          <w:rFonts w:ascii="Arial" w:cs="Arial" w:eastAsia="Arial" w:hAnsi="Arial"/>
          <w:b/>
          <w:bCs/>
          <w:color w:val="2E7D8C"/>
          <w:sz w:val="26"/>
          <w:szCs w:val="26"/>
        </w:rPr>
        <w:t xml:space="preserve">5.5  Understanding the Technology: GenAI Foundations for Teacher Conversations</w:t>
      </w:r>
    </w:p>
    <w:p>
      <w:pPr>
        <w:keepLines/>
        <w:spacing w:after="160" w:line="280"/>
      </w:pPr>
      <w:r>
        <w:rPr>
          <w:rFonts w:ascii="Georgia" w:cs="Georgia" w:eastAsia="Georgia" w:hAnsi="Georgia"/>
          <w:sz w:val="24"/>
          <w:szCs w:val="24"/>
        </w:rPr>
        <w:t xml:space="preserve">A central goal of the fellowship is for teachers to develop the knowledge needed to navigate AI with informed judgment rather than policy compliance. This requires knowing something about how generative AI actually works — not at an engineering level, but at the level that shapes pedagogical decision-making.</w:t>
      </w:r>
    </w:p>
    <w:p>
      <w:pPr>
        <w:keepLines/>
        <w:spacing w:after="160" w:line="280"/>
      </w:pPr>
      <w:r>
        <w:rPr>
          <w:rFonts w:ascii="Georgia" w:cs="Georgia" w:eastAsia="Georgia" w:hAnsi="Georgia"/>
          <w:sz w:val="24"/>
          <w:szCs w:val="24"/>
        </w:rPr>
        <w:t xml:space="preserve">Generative AI systems are </w:t>
      </w:r>
      <w:r>
        <w:rPr>
          <w:rFonts w:ascii="Georgia" w:cs="Georgia" w:eastAsia="Georgia" w:hAnsi="Georgia"/>
          <w:b/>
          <w:bCs/>
          <w:sz w:val="24"/>
          <w:szCs w:val="24"/>
        </w:rPr>
        <w:t xml:space="preserve">probabilistic text predictors</w:t>
      </w:r>
      <w:r>
        <w:rPr>
          <w:rFonts w:ascii="Georgia" w:cs="Georgia" w:eastAsia="Georgia" w:hAnsi="Georgia"/>
          <w:sz w:val="24"/>
          <w:szCs w:val="24"/>
        </w:rPr>
        <w:t xml:space="preserve">. They predict statistically likely sequences of tokens based on patterns in training data. When a student submits a writing prompt, the system generates a statistically plausible response — one that </w:t>
      </w:r>
      <w:r>
        <w:rPr>
          <w:rFonts w:ascii="Georgia" w:cs="Georgia" w:eastAsia="Georgia" w:hAnsi="Georgia"/>
          <w:i/>
          <w:iCs/>
          <w:sz w:val="24"/>
          <w:szCs w:val="24"/>
        </w:rPr>
        <w:t xml:space="preserve">looks like</w:t>
      </w:r>
      <w:r>
        <w:rPr>
          <w:rFonts w:ascii="Georgia" w:cs="Georgia" w:eastAsia="Georgia" w:hAnsi="Georgia"/>
          <w:sz w:val="24"/>
          <w:szCs w:val="24"/>
        </w:rPr>
        <w:t xml:space="preserve"> responses it has seen, assembled word by word based on probability distributions. Bender et al. (2021) coined the phrase </w:t>
      </w:r>
      <w:r>
        <w:rPr>
          <w:rFonts w:ascii="Georgia" w:cs="Georgia" w:eastAsia="Georgia" w:hAnsi="Georgia"/>
          <w:b/>
          <w:bCs/>
          <w:sz w:val="24"/>
          <w:szCs w:val="24"/>
        </w:rPr>
        <w:t xml:space="preserve">stochastic parrot</w:t>
      </w:r>
      <w:r>
        <w:rPr>
          <w:rFonts w:ascii="Georgia" w:cs="Georgia" w:eastAsia="Georgia" w:hAnsi="Georgia"/>
          <w:sz w:val="24"/>
          <w:szCs w:val="24"/>
        </w:rPr>
        <w:t xml:space="preserve"> to describe this: a system that produces fluent, contextually appropriate-seeming language without any grounding in meaning, understanding, or truth. This is not a flaw to be fixed. It is the nature of how these systems work.</w:t>
      </w:r>
    </w:p>
    <w:p>
      <w:pPr>
        <w:keepLines/>
        <w:spacing w:after="160" w:line="280"/>
      </w:pPr>
      <w:r>
        <w:rPr>
          <w:rFonts w:ascii="Georgia" w:cs="Georgia" w:eastAsia="Georgia" w:hAnsi="Georgia"/>
          <w:sz w:val="24"/>
          <w:szCs w:val="24"/>
        </w:rPr>
        <w:t xml:space="preserve">Teachers and students also need to understand the </w:t>
      </w:r>
      <w:r>
        <w:rPr>
          <w:rFonts w:ascii="Georgia" w:cs="Georgia" w:eastAsia="Georgia" w:hAnsi="Georgia"/>
          <w:b/>
          <w:bCs/>
          <w:sz w:val="24"/>
          <w:szCs w:val="24"/>
        </w:rPr>
        <w:t xml:space="preserve">black box problem</w:t>
      </w:r>
      <w:r>
        <w:rPr>
          <w:rFonts w:ascii="Georgia" w:cs="Georgia" w:eastAsia="Georgia" w:hAnsi="Georgia"/>
          <w:sz w:val="24"/>
          <w:szCs w:val="24"/>
        </w:rPr>
        <w:t xml:space="preserve">. Most frontier AI systems are opaque: their internal processes are not interpretable even to the teams that built them. When a teacher asks why an AI gave a particular answer, there is no reliable explanation. The system cannot tell you. This is not evasiveness — it is an architectural reality. This opacity is precisely why </w:t>
      </w:r>
      <w:r>
        <w:rPr>
          <w:rFonts w:ascii="Georgia" w:cs="Georgia" w:eastAsia="Georgia" w:hAnsi="Georgia"/>
          <w:b/>
          <w:bCs/>
          <w:sz w:val="24"/>
          <w:szCs w:val="24"/>
        </w:rPr>
        <w:t xml:space="preserve">navigating ambiguity</w:t>
      </w:r>
      <w:r>
        <w:rPr>
          <w:rFonts w:ascii="Georgia" w:cs="Georgia" w:eastAsia="Georgia" w:hAnsi="Georgia"/>
          <w:sz w:val="24"/>
          <w:szCs w:val="24"/>
        </w:rPr>
        <w:t xml:space="preserve"> is a core professional competency for the AI era: teachers must make disciplinary judgment calls about AI outputs without being able to fully verify the reasoning behind them. The VISTA Protocol is a practical mechanism for exercising that judgment in assessment design.</w:t>
      </w:r>
    </w:p>
    <w:p>
      <w:pPr>
        <w:keepLines/>
        <w:spacing w:after="160" w:line="280"/>
      </w:pPr>
      <w:r>
        <w:rPr>
          <w:rFonts w:ascii="Georgia" w:cs="Georgia" w:eastAsia="Georgia" w:hAnsi="Georgia"/>
          <w:sz w:val="24"/>
          <w:szCs w:val="24"/>
        </w:rPr>
        <w:t xml:space="preserve">The fellowship addresses these foundations not through a workshop but through </w:t>
      </w:r>
      <w:r>
        <w:rPr>
          <w:rFonts w:ascii="Georgia" w:cs="Georgia" w:eastAsia="Georgia" w:hAnsi="Georgia"/>
          <w:b/>
          <w:bCs/>
          <w:sz w:val="24"/>
          <w:szCs w:val="24"/>
        </w:rPr>
        <w:t xml:space="preserve">Cajina-facilitated conversations as teachers encounter them in practice</w:t>
      </w:r>
      <w:r>
        <w:rPr>
          <w:rFonts w:ascii="Georgia" w:cs="Georgia" w:eastAsia="Georgia" w:hAnsi="Georgia"/>
          <w:sz w:val="24"/>
          <w:szCs w:val="24"/>
        </w:rPr>
        <w:t xml:space="preserve">. When a teacher audits a task and notices that AI produces fluent analysis without genuine disciplinary reasoning, that is the moment to examine the stochastic parrot problem. When a teacher asks why AI confidently produced an incorrect claim, that is the moment to examine the black box. Understanding builds from disciplinary contact with the technology — the goal is teachers who can name both what AI can do and why its limits are genuinely irreducible.</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5.6  Mr. Cajina’s Role: Year 1 Facilitation</w:t>
      </w:r>
    </w:p>
    <w:p>
      <w:pPr>
        <w:keepLines/>
        <w:spacing w:after="160" w:line="280"/>
      </w:pPr>
      <w:r>
        <w:rPr>
          <w:rFonts w:ascii="Georgia" w:cs="Georgia" w:eastAsia="Georgia" w:hAnsi="Georgia"/>
          <w:sz w:val="24"/>
          <w:szCs w:val="24"/>
        </w:rPr>
        <w:t xml:space="preserve">In Year 1, Mr. Cajina holds the facilitation role across three functions: </w:t>
      </w:r>
      <w:r>
        <w:rPr>
          <w:rFonts w:ascii="Georgia" w:cs="Georgia" w:eastAsia="Georgia" w:hAnsi="Georgia"/>
          <w:b/>
          <w:bCs/>
          <w:sz w:val="24"/>
          <w:szCs w:val="24"/>
        </w:rPr>
        <w:t xml:space="preserve">iteration feedback</w:t>
      </w:r>
      <w:r>
        <w:rPr>
          <w:rFonts w:ascii="Georgia" w:cs="Georgia" w:eastAsia="Georgia" w:hAnsi="Georgia"/>
          <w:sz w:val="24"/>
          <w:szCs w:val="24"/>
        </w:rPr>
        <w:t xml:space="preserve"> (written feedback on each redesign before enactment), </w:t>
      </w:r>
      <w:r>
        <w:rPr>
          <w:rFonts w:ascii="Georgia" w:cs="Georgia" w:eastAsia="Georgia" w:hAnsi="Georgia"/>
          <w:b/>
          <w:bCs/>
          <w:sz w:val="24"/>
          <w:szCs w:val="24"/>
        </w:rPr>
        <w:t xml:space="preserve">epistemological tension facilitation</w:t>
      </w:r>
      <w:r>
        <w:rPr>
          <w:rFonts w:ascii="Georgia" w:cs="Georgia" w:eastAsia="Georgia" w:hAnsi="Georgia"/>
          <w:sz w:val="24"/>
          <w:szCs w:val="24"/>
        </w:rPr>
        <w:t xml:space="preserve"> (surfacing the hard questions AI raises in each discipline — not to resolve them, but to make them discussable), and </w:t>
      </w:r>
      <w:r>
        <w:rPr>
          <w:rFonts w:ascii="Georgia" w:cs="Georgia" w:eastAsia="Georgia" w:hAnsi="Georgia"/>
          <w:b/>
          <w:bCs/>
          <w:sz w:val="24"/>
          <w:szCs w:val="24"/>
        </w:rPr>
        <w:t xml:space="preserve">ethical tension modeling</w:t>
      </w:r>
      <w:r>
        <w:rPr>
          <w:rFonts w:ascii="Georgia" w:cs="Georgia" w:eastAsia="Georgia" w:hAnsi="Georgia"/>
          <w:sz w:val="24"/>
          <w:szCs w:val="24"/>
        </w:rPr>
        <w:t xml:space="preserve"> (reasoning through bias, privacy, and epistemic vigilance through disciplinary cases, not policy recitation).</w:t>
      </w:r>
    </w:p>
    <w:p>
      <w:pPr>
        <w:keepLines/>
        <w:spacing w:after="160" w:line="280"/>
      </w:pPr>
      <w:r>
        <w:rPr>
          <w:rFonts w:ascii="Georgia" w:cs="Georgia" w:eastAsia="Georgia" w:hAnsi="Georgia"/>
          <w:sz w:val="24"/>
          <w:szCs w:val="24"/>
        </w:rPr>
        <w:t xml:space="preserve">From Year 2 onward, the </w:t>
      </w:r>
      <w:r>
        <w:rPr>
          <w:rFonts w:ascii="Georgia" w:cs="Georgia" w:eastAsia="Georgia" w:hAnsi="Georgia"/>
          <w:b/>
          <w:bCs/>
          <w:sz w:val="24"/>
          <w:szCs w:val="24"/>
        </w:rPr>
        <w:t xml:space="preserve">CNG AI Task Force</w:t>
      </w:r>
      <w:r>
        <w:rPr>
          <w:rFonts w:ascii="Georgia" w:cs="Georgia" w:eastAsia="Georgia" w:hAnsi="Georgia"/>
          <w:sz w:val="24"/>
          <w:szCs w:val="24"/>
        </w:rPr>
        <w:t xml:space="preserve"> assumes the facilitation role. The fellowship produces an AI Task Force Handoff Package (Appendix H) — ensuring the model is replicable without dependency on any single person. Year 1 participants who wish to contribute may do so; no assumption of volunteer co-facilitation is made.</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6. Research Base</w:t>
      </w:r>
    </w:p>
    <w:p>
      <w:pPr>
        <w:pStyle w:val="Heading2"/>
        <w:keepNext/>
        <w:spacing w:after="120" w:before="280"/>
      </w:pPr>
      <w:r>
        <w:rPr>
          <w:rFonts w:ascii="Arial" w:cs="Arial" w:eastAsia="Arial" w:hAnsi="Arial"/>
          <w:b/>
          <w:bCs/>
          <w:color w:val="2E7D8C"/>
          <w:sz w:val="26"/>
          <w:szCs w:val="26"/>
        </w:rPr>
        <w:t xml:space="preserve">6.1  Assessment Design and Validity</w:t>
      </w:r>
    </w:p>
    <w:p>
      <w:pPr>
        <w:keepLines/>
        <w:spacing w:after="160" w:line="280"/>
      </w:pPr>
      <w:r>
        <w:rPr>
          <w:rFonts w:ascii="Georgia" w:cs="Georgia" w:eastAsia="Georgia" w:hAnsi="Georgia"/>
          <w:sz w:val="24"/>
          <w:szCs w:val="24"/>
        </w:rPr>
        <w:t xml:space="preserve">Constructive alignment (Biggs, 2003) requires coherence among learning objectives, instructional activities, and assessment tasks. In AI-rich environments this breaks when assessments evaluate products AI can generate rather than the reasoning they were designed to elicit. Black and Wiliam (1998) established that formative assessment requires access to evidence of student thinking. Wiggins (1998) argued for authentic assessments requiring performance of actual disciplinary work. Pellegrino et al. (2001) articulated the assessment triangle — cognition, observation, interpretation. The VISTA Protocol operationalizes the observation vertex.</w:t>
      </w:r>
    </w:p>
    <w:p>
      <w:pPr>
        <w:keepLines/>
        <w:spacing w:after="160" w:line="280"/>
      </w:pPr>
      <w:r>
        <w:rPr>
          <w:rFonts w:ascii="Georgia" w:cs="Georgia" w:eastAsia="Georgia" w:hAnsi="Georgia"/>
          <w:sz w:val="24"/>
          <w:szCs w:val="24"/>
        </w:rPr>
        <w:t xml:space="preserve">The fellowship’s VSR component is grounded in documented research on the </w:t>
      </w:r>
      <w:r>
        <w:rPr>
          <w:rFonts w:ascii="Georgia" w:cs="Georgia" w:eastAsia="Georgia" w:hAnsi="Georgia"/>
          <w:b/>
          <w:bCs/>
          <w:sz w:val="24"/>
          <w:szCs w:val="24"/>
        </w:rPr>
        <w:t xml:space="preserve">know-do gap</w:t>
      </w:r>
      <w:r>
        <w:rPr>
          <w:rFonts w:ascii="Georgia" w:cs="Georgia" w:eastAsia="Georgia" w:hAnsi="Georgia"/>
          <w:sz w:val="24"/>
          <w:szCs w:val="24"/>
        </w:rPr>
        <w:t xml:space="preserve"> — the persistent discrepancy between teachers’ planned technology integration (Intended TPACK) and their actual classroom performance (Enacted TPACK). Hanifah et al. (2026) propose a triadic framework — Intended, Enacted, and Reflected TPACK — and find that 65% of planned technology-rich activities are shortened or abandoned during live enactment. Video analysis reveals that the dual cognitive load of managing technical tools while facilitating student inquiry frequently exceeds teachers’ capacity, causing regression to safer, teacher-centered methods. VSR functions as a </w:t>
      </w:r>
      <w:r>
        <w:rPr>
          <w:rFonts w:ascii="Georgia" w:cs="Georgia" w:eastAsia="Georgia" w:hAnsi="Georgia"/>
          <w:b/>
          <w:bCs/>
          <w:sz w:val="24"/>
          <w:szCs w:val="24"/>
        </w:rPr>
        <w:t xml:space="preserve">metacognitive mirror</w:t>
      </w:r>
      <w:r>
        <w:rPr>
          <w:rFonts w:ascii="Georgia" w:cs="Georgia" w:eastAsia="Georgia" w:hAnsi="Georgia"/>
          <w:sz w:val="24"/>
          <w:szCs w:val="24"/>
        </w:rPr>
        <w:t xml:space="preserve">: teachers reviewing their own lesson recordings move from defensive justifications toward recognizing orchestration rigidity, building the adaptive expertise required for AI-rich classrooms. Triangulating VSR data with audit artifacts and reflections — across Intended, Enacted, and Reflected TPACK — produces the most valid depiction of how AI-TPACK develops in practice.</w:t>
      </w:r>
    </w:p>
    <w:p>
      <w:pPr>
        <w:pStyle w:val="Heading2"/>
        <w:keepNext/>
        <w:spacing w:after="120" w:before="280"/>
      </w:pPr>
      <w:r>
        <w:rPr>
          <w:rFonts w:ascii="Arial" w:cs="Arial" w:eastAsia="Arial" w:hAnsi="Arial"/>
          <w:b/>
          <w:bCs/>
          <w:color w:val="2E7D8C"/>
          <w:sz w:val="26"/>
          <w:szCs w:val="26"/>
        </w:rPr>
        <w:t xml:space="preserve">6.2  Mind, Brain, and Education: The Science of Learning Foundation</w:t>
      </w:r>
    </w:p>
    <w:p>
      <w:pPr>
        <w:keepLines/>
        <w:spacing w:after="160" w:line="280"/>
      </w:pPr>
      <w:r>
        <w:rPr>
          <w:rFonts w:ascii="Georgia" w:cs="Georgia" w:eastAsia="Georgia" w:hAnsi="Georgia"/>
          <w:sz w:val="24"/>
          <w:szCs w:val="24"/>
        </w:rPr>
        <w:t xml:space="preserve">The fellowship’s design is grounded in three bodies of science-of-learning research that translate consistently across the neuroscience, cognitive science, and educational psychology literature: Whitman and Kelleher’s </w:t>
      </w:r>
      <w:r>
        <w:rPr>
          <w:rFonts w:ascii="Georgia" w:cs="Georgia" w:eastAsia="Georgia" w:hAnsi="Georgia"/>
          <w:i/>
          <w:iCs/>
          <w:sz w:val="24"/>
          <w:szCs w:val="24"/>
        </w:rPr>
        <w:t xml:space="preserve">Neuroteach: Brain Science and the Future of Education</w:t>
      </w:r>
      <w:r>
        <w:rPr>
          <w:rFonts w:ascii="Georgia" w:cs="Georgia" w:eastAsia="Georgia" w:hAnsi="Georgia"/>
          <w:sz w:val="24"/>
          <w:szCs w:val="24"/>
        </w:rPr>
        <w:t xml:space="preserve"> (2016); Dehaene’s </w:t>
      </w:r>
      <w:r>
        <w:rPr>
          <w:rFonts w:ascii="Georgia" w:cs="Georgia" w:eastAsia="Georgia" w:hAnsi="Georgia"/>
          <w:i/>
          <w:iCs/>
          <w:sz w:val="24"/>
          <w:szCs w:val="24"/>
        </w:rPr>
        <w:t xml:space="preserve">How We Learn: Why Brains Learn Better Than Any Machine — For Now</w:t>
      </w:r>
      <w:r>
        <w:rPr>
          <w:rFonts w:ascii="Georgia" w:cs="Georgia" w:eastAsia="Georgia" w:hAnsi="Georgia"/>
          <w:sz w:val="24"/>
          <w:szCs w:val="24"/>
        </w:rPr>
        <w:t xml:space="preserve"> (2020); and Carey’s </w:t>
      </w:r>
      <w:r>
        <w:rPr>
          <w:rFonts w:ascii="Georgia" w:cs="Georgia" w:eastAsia="Georgia" w:hAnsi="Georgia"/>
          <w:i/>
          <w:iCs/>
          <w:sz w:val="24"/>
          <w:szCs w:val="24"/>
        </w:rPr>
        <w:t xml:space="preserve">How We Learn: The Surprising Truth About When, Where, and Why It Happens</w:t>
      </w:r>
      <w:r>
        <w:rPr>
          <w:rFonts w:ascii="Georgia" w:cs="Georgia" w:eastAsia="Georgia" w:hAnsi="Georgia"/>
          <w:sz w:val="24"/>
          <w:szCs w:val="24"/>
        </w:rPr>
        <w:t xml:space="preserve"> (2014). Together, these works establish a set of principles that directly shape fellowship design decisions.</w:t>
      </w:r>
    </w:p>
    <w:p>
      <w:pPr>
        <w:keepLines/>
        <w:spacing w:after="160" w:line="280"/>
      </w:pPr>
      <w:r>
        <w:rPr>
          <w:rFonts w:ascii="Georgia" w:cs="Georgia" w:eastAsia="Georgia" w:hAnsi="Georgia"/>
          <w:sz w:val="24"/>
          <w:szCs w:val="24"/>
        </w:rPr>
        <w:t xml:space="preserve">From </w:t>
      </w:r>
      <w:r>
        <w:rPr>
          <w:rFonts w:ascii="Georgia" w:cs="Georgia" w:eastAsia="Georgia" w:hAnsi="Georgia"/>
          <w:b/>
          <w:bCs/>
          <w:sz w:val="24"/>
          <w:szCs w:val="24"/>
        </w:rPr>
        <w:t xml:space="preserve">Neuroteach</w:t>
      </w:r>
      <w:r>
        <w:rPr>
          <w:rFonts w:ascii="Georgia" w:cs="Georgia" w:eastAsia="Georgia" w:hAnsi="Georgia"/>
          <w:sz w:val="24"/>
          <w:szCs w:val="24"/>
        </w:rPr>
        <w:t xml:space="preserve"> (Whitman &amp; Kelleher, 2016): the brain encodes knowledge through active retrieval, not passive reception. Desirable difficulty — tasks that require genuine effortful processing — produces stronger memory encoding than fluent, easy performance. AI-bypassed tasks eliminate the desirable difficulty that the brain needs for learning to occur. The VISTA Protocol is, at a neuroscientific level, asking: </w:t>
      </w:r>
      <w:r>
        <w:rPr>
          <w:rFonts w:ascii="Georgia" w:cs="Georgia" w:eastAsia="Georgia" w:hAnsi="Georgia"/>
          <w:i/>
          <w:iCs/>
          <w:sz w:val="24"/>
          <w:szCs w:val="24"/>
        </w:rPr>
        <w:t xml:space="preserve">does this task require the effortful processing that enables memory consolidation?</w:t>
      </w:r>
      <w:r>
        <w:rPr>
          <w:rFonts w:ascii="Georgia" w:cs="Georgia" w:eastAsia="Georgia" w:hAnsi="Georgia"/>
          <w:sz w:val="24"/>
          <w:szCs w:val="24"/>
        </w:rPr>
        <w:t xml:space="preserve"> The flip side is the spacing effect: revisiting a redesigned assessment across multiple iterations is more powerful than a single well-designed task.</w:t>
      </w:r>
    </w:p>
    <w:p>
      <w:pPr>
        <w:keepLines/>
        <w:spacing w:after="160" w:line="280"/>
      </w:pPr>
      <w:r>
        <w:rPr>
          <w:rFonts w:ascii="Georgia" w:cs="Georgia" w:eastAsia="Georgia" w:hAnsi="Georgia"/>
          <w:sz w:val="24"/>
          <w:szCs w:val="24"/>
        </w:rPr>
        <w:t xml:space="preserve">From </w:t>
      </w:r>
      <w:r>
        <w:rPr>
          <w:rFonts w:ascii="Georgia" w:cs="Georgia" w:eastAsia="Georgia" w:hAnsi="Georgia"/>
          <w:b/>
          <w:bCs/>
          <w:sz w:val="24"/>
          <w:szCs w:val="24"/>
        </w:rPr>
        <w:t xml:space="preserve">How We Learn</w:t>
      </w:r>
      <w:r>
        <w:rPr>
          <w:rFonts w:ascii="Georgia" w:cs="Georgia" w:eastAsia="Georgia" w:hAnsi="Georgia"/>
          <w:sz w:val="24"/>
          <w:szCs w:val="24"/>
        </w:rPr>
        <w:t xml:space="preserve"> (Dehaene, 2020): four pillars of learning are attention, active engagement, error feedback, and consolidation. Dehaene argues explicitly that passive, fluent generation — the mode AI operates in — does not produce learning. Only the student who makes the errors, receives the feedback, and actively corrects their understanding is learning. This is not a metaphor: it is a neural mechanism. AI that completes tasks for students removes all four pillars simultaneously. The fellowship’s redesign pathways — reasoning vlogs, revision narratives, AI rejection logs — are designed to restore attention, active engagement, and error feedback to tasks where AI would otherwise eliminate them.</w:t>
      </w:r>
    </w:p>
    <w:p>
      <w:pPr>
        <w:keepLines/>
        <w:spacing w:after="160" w:line="280"/>
      </w:pPr>
      <w:r>
        <w:rPr>
          <w:rFonts w:ascii="Georgia" w:cs="Georgia" w:eastAsia="Georgia" w:hAnsi="Georgia"/>
          <w:sz w:val="24"/>
          <w:szCs w:val="24"/>
        </w:rPr>
        <w:t xml:space="preserve">A direct connection: Dehaene’s discussion of the </w:t>
      </w:r>
      <w:r>
        <w:rPr>
          <w:rFonts w:ascii="Georgia" w:cs="Georgia" w:eastAsia="Georgia" w:hAnsi="Georgia"/>
          <w:b/>
          <w:bCs/>
          <w:sz w:val="24"/>
          <w:szCs w:val="24"/>
        </w:rPr>
        <w:t xml:space="preserve">consciousness of error</w:t>
      </w:r>
      <w:r>
        <w:rPr>
          <w:rFonts w:ascii="Georgia" w:cs="Georgia" w:eastAsia="Georgia" w:hAnsi="Georgia"/>
          <w:sz w:val="24"/>
          <w:szCs w:val="24"/>
        </w:rPr>
        <w:t xml:space="preserve"> maps precisely onto the fellowship’s emphasis on visible reasoning. When a student documents a moment where they rejected an AI suggestion, they are engaging the very neural mechanism — prediction error — that Dehaene identifies as central to learning. The AI rejection log is not just a transparency protocol. It is a science-of-learning intervention.</w:t>
      </w:r>
    </w:p>
    <w:p>
      <w:pPr>
        <w:keepLines/>
        <w:spacing w:after="160" w:line="280"/>
      </w:pPr>
      <w:r>
        <w:rPr>
          <w:rFonts w:ascii="Georgia" w:cs="Georgia" w:eastAsia="Georgia" w:hAnsi="Georgia"/>
          <w:sz w:val="24"/>
          <w:szCs w:val="24"/>
        </w:rPr>
        <w:t xml:space="preserve">The implications for AI-era assessment design are direct: if a task produces no attention, no active engagement, no error feedback, and no consolidation, it produces no learning — regardless of how polished the output looks. The VISTA Protocol’s central question is, at this level, asking whether a task still produces the conditions under which brains learn.</w:t>
      </w:r>
    </w:p>
    <w:p>
      <w:pPr>
        <w:keepLines/>
        <w:spacing w:after="160" w:line="280"/>
      </w:pPr>
      <w:r>
        <w:rPr>
          <w:rFonts w:ascii="Georgia" w:cs="Georgia" w:eastAsia="Georgia" w:hAnsi="Georgia"/>
          <w:sz w:val="24"/>
          <w:szCs w:val="24"/>
        </w:rPr>
        <w:t xml:space="preserve">The fellowship is explicitly grounded in the </w:t>
      </w:r>
      <w:r>
        <w:rPr>
          <w:rFonts w:ascii="Georgia" w:cs="Georgia" w:eastAsia="Georgia" w:hAnsi="Georgia"/>
          <w:b/>
          <w:bCs/>
          <w:sz w:val="24"/>
          <w:szCs w:val="24"/>
        </w:rPr>
        <w:t xml:space="preserve">Science of Learning (SoL)</w:t>
      </w:r>
      <w:r>
        <w:rPr>
          <w:rFonts w:ascii="Georgia" w:cs="Georgia" w:eastAsia="Georgia" w:hAnsi="Georgia"/>
          <w:sz w:val="24"/>
          <w:szCs w:val="24"/>
        </w:rPr>
        <w:t xml:space="preserve"> literature — specifically Dehaene’s </w:t>
      </w:r>
      <w:r>
        <w:rPr>
          <w:rFonts w:ascii="Georgia" w:cs="Georgia" w:eastAsia="Georgia" w:hAnsi="Georgia"/>
          <w:i/>
          <w:iCs/>
          <w:sz w:val="24"/>
          <w:szCs w:val="24"/>
        </w:rPr>
        <w:t xml:space="preserve">How We Learn</w:t>
      </w:r>
      <w:r>
        <w:rPr>
          <w:rFonts w:ascii="Georgia" w:cs="Georgia" w:eastAsia="Georgia" w:hAnsi="Georgia"/>
          <w:sz w:val="24"/>
          <w:szCs w:val="24"/>
        </w:rPr>
        <w:t xml:space="preserve"> (2020) and Whitman and Kelleher’s </w:t>
      </w:r>
      <w:r>
        <w:rPr>
          <w:rFonts w:ascii="Georgia" w:cs="Georgia" w:eastAsia="Georgia" w:hAnsi="Georgia"/>
          <w:i/>
          <w:iCs/>
          <w:sz w:val="24"/>
          <w:szCs w:val="24"/>
        </w:rPr>
        <w:t xml:space="preserve">Neuroteach</w:t>
      </w:r>
      <w:r>
        <w:rPr>
          <w:rFonts w:ascii="Georgia" w:cs="Georgia" w:eastAsia="Georgia" w:hAnsi="Georgia"/>
          <w:sz w:val="24"/>
          <w:szCs w:val="24"/>
        </w:rPr>
        <w:t xml:space="preserve"> (2016), which translates Mind, Brain, and Education (MBE) research into classroom-applicable principles. These sources are not background context. They are the </w:t>
      </w:r>
      <w:r>
        <w:rPr>
          <w:rFonts w:ascii="Georgia" w:cs="Georgia" w:eastAsia="Georgia" w:hAnsi="Georgia"/>
          <w:i/>
          <w:iCs/>
          <w:sz w:val="24"/>
          <w:szCs w:val="24"/>
        </w:rPr>
        <w:t xml:space="preserve">design rationale</w:t>
      </w:r>
      <w:r>
        <w:rPr>
          <w:rFonts w:ascii="Georgia" w:cs="Georgia" w:eastAsia="Georgia" w:hAnsi="Georgia"/>
          <w:sz w:val="24"/>
          <w:szCs w:val="24"/>
        </w:rPr>
        <w:t xml:space="preserve"> for every protocol, PLC structure, and iteration cycle in the fellowship.</w:t>
      </w:r>
    </w:p>
    <w:p>
      <w:pPr>
        <w:keepLines/>
        <w:spacing w:after="160" w:line="280"/>
      </w:pPr>
      <w:r>
        <w:rPr>
          <w:rFonts w:ascii="Georgia" w:cs="Georgia" w:eastAsia="Georgia" w:hAnsi="Georgia"/>
          <w:sz w:val="24"/>
          <w:szCs w:val="24"/>
        </w:rPr>
        <w:t xml:space="preserve">Whitman and Kelleher (2016) distill the MBE research into twelve principles that the fellowship operationalizes directly. The table below maps each principle to its fellowship mechanism. Critically, </w:t>
      </w:r>
      <w:r>
        <w:rPr>
          <w:rFonts w:ascii="Georgia" w:cs="Georgia" w:eastAsia="Georgia" w:hAnsi="Georgia"/>
          <w:b/>
          <w:bCs/>
          <w:sz w:val="24"/>
          <w:szCs w:val="24"/>
        </w:rPr>
        <w:t xml:space="preserve">TPACK is the theoretical bridge</w:t>
      </w:r>
      <w:r>
        <w:rPr>
          <w:rFonts w:ascii="Georgia" w:cs="Georgia" w:eastAsia="Georgia" w:hAnsi="Georgia"/>
          <w:sz w:val="24"/>
          <w:szCs w:val="24"/>
        </w:rPr>
        <w:t xml:space="preserve"> between these principles and classroom practice: understanding how the brain learns (MBE) tells us what good learning looks like; understanding how to integrate technology purposefully into that learning (TPACK) tells us how to design the assessment and AI-use structures that support it. When the fellowship develops teachers’ AI-TPACK, Ethical TPACK, XK, and HAIC-K, it is building the TPACK infrastructure that makes MBE principles actionable in AI-rich classrooms. TPACK is the foundation of that research — the bridge between learning science and instructional design.</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MBE Principle (Whitman &amp; Kelleher, 2016)</w:t>
            </w:r>
          </w:p>
        </w:tc>
        <w:tc>
          <w:tcPr>
            <w:tcW w:type="dxa" w:w="57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Fellowship Mechanism (TPACK Bridge)</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1. Prior knowledge matters: new learning builds on what learners already know</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The fellowship begins with the VISTA Protocol — which requires teachers to surface their existing disciplinary knowledge (CK and PCK) as the foundation for I-CK development. TPACK builds on prior content knowledge, not around it.</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2. Learning requires attention: focused attention is prerequisite to encoding</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PLC sessions are 30 minutes by design — within the attention bandwidth that produces encoding. VSR cycles focus on one specific hinge point. No session tries to cover everything.</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3. Learning is enhanced by emotion: moderate challenge with safety produces optimal engagement</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The fellowship design creates psychological safety through 1:1 written feedback before public enactment. Teachers encounter challenge (audit, redesign) in low-stakes async contexts before high-stakes classroom enactment.</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4. Spaced practice: distributed practice over time outperforms massed learning</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The year-long iteration arc — multiple design-enact-revise cycles distributed across eleven months — directly operationalizes spaced practice. Professional learning is not a workshop. It is a sustained cycle.</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5. Interleaving: mixing topics or problem types improves long-term retention</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Cross-disciplinary PLC discussions deliberately interleave perspectives from mathematics, science, humanities, and arts. Seeing how the VISTA Protocol works in another discipline strengthens understanding in one’s own.</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6. Retrieval practice: testing oneself on material strengthens memory more than re-reading</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VSR cycles require teachers to retrieve and articulate their own instructional decisions from video evidence — a form of self-testing that produces deeper encoding than reflective journaling alone.</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7. Metacognition: awareness and regulation of one’s own thinking is teachable</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The Metacognition rubric dimension, the Reasoning Vlog protocol, and the Revision Narrative protocol all target metacognitive development explicitly. Teachers develop metacognitive habits; students develop them through visible reasoning protocols.</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8. Feedback: specific, timely feedback accelerates learning</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Cajina provides written feedback on every redesign before enactment — not after. Feedback is specific (design quality, SAIL coherence, intellectual labour visibility) rather than general. The TPACK framework specifies what to give feedback on.</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9. Active engagement: passive reception does not produce durable learning</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Every fellowship touchpoint requires active production: audit, redesign, artifact review, VSR analysis, showcase presentation. There are no lecture sessions. The PLC Protocol culminates in one specific design change, not a discussion conclusion.</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10. Sleep and consolidation: learning consolidates during rest; distributed sessions outperform marathon sessions</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The fellowship’s eleven-month distributed structure directly reflects consolidation research. Monthly touchpoints allow consolidation between active design cycles. No marathon PD days.</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11. Stress and learning: chronic stress impairs learning; moderate challenge supports it</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The Fellowship is designed for the tired teacher in February. Async feedback, voluntary third iterations, and 30-second design questions (the VISTA (Visibility Into Student Thinking and Agency) Protocol) are explicit workload design decisions grounded in stress-learning research.</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12. The learning environment matters: physical and social context shapes what is learned and retained</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The Department Cognitive Agency PLC Protocol is designed for the existing departmental meeting room, existing meeting time, and existing PLC culture — not a new environment. The Knowledge Hub is accessible from wherever teachers already work.</w:t>
            </w:r>
          </w:p>
        </w:tc>
      </w:tr>
    </w:tbl>
    <w:p>
      <w:pPr>
        <w:keepNext/>
        <w:spacing w:after="16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Dehaene (2020) contributes four </w:t>
      </w:r>
      <w:r>
        <w:rPr>
          <w:rFonts w:ascii="Georgia" w:cs="Georgia" w:eastAsia="Georgia" w:hAnsi="Georgia"/>
          <w:b/>
          <w:bCs/>
          <w:sz w:val="24"/>
          <w:szCs w:val="24"/>
        </w:rPr>
        <w:t xml:space="preserve">pillars of learning</w:t>
      </w:r>
      <w:r>
        <w:rPr>
          <w:rFonts w:ascii="Georgia" w:cs="Georgia" w:eastAsia="Georgia" w:hAnsi="Georgia"/>
          <w:sz w:val="24"/>
          <w:szCs w:val="24"/>
        </w:rPr>
        <w:t xml:space="preserve"> that reinforce this design: </w:t>
      </w:r>
      <w:r>
        <w:rPr>
          <w:rFonts w:ascii="Georgia" w:cs="Georgia" w:eastAsia="Georgia" w:hAnsi="Georgia"/>
          <w:b/>
          <w:bCs/>
          <w:sz w:val="24"/>
          <w:szCs w:val="24"/>
        </w:rPr>
        <w:t xml:space="preserve">attention</w:t>
      </w:r>
      <w:r>
        <w:rPr>
          <w:rFonts w:ascii="Georgia" w:cs="Georgia" w:eastAsia="Georgia" w:hAnsi="Georgia"/>
          <w:sz w:val="24"/>
          <w:szCs w:val="24"/>
        </w:rPr>
        <w:t xml:space="preserve"> (the fellowship structures focused, bounded sessions), </w:t>
      </w:r>
      <w:r>
        <w:rPr>
          <w:rFonts w:ascii="Georgia" w:cs="Georgia" w:eastAsia="Georgia" w:hAnsi="Georgia"/>
          <w:b/>
          <w:bCs/>
          <w:sz w:val="24"/>
          <w:szCs w:val="24"/>
        </w:rPr>
        <w:t xml:space="preserve">active engagement</w:t>
      </w:r>
      <w:r>
        <w:rPr>
          <w:rFonts w:ascii="Georgia" w:cs="Georgia" w:eastAsia="Georgia" w:hAnsi="Georgia"/>
          <w:sz w:val="24"/>
          <w:szCs w:val="24"/>
        </w:rPr>
        <w:t xml:space="preserve"> (every touchpoint requires production), </w:t>
      </w:r>
      <w:r>
        <w:rPr>
          <w:rFonts w:ascii="Georgia" w:cs="Georgia" w:eastAsia="Georgia" w:hAnsi="Georgia"/>
          <w:b/>
          <w:bCs/>
          <w:sz w:val="24"/>
          <w:szCs w:val="24"/>
        </w:rPr>
        <w:t xml:space="preserve">error feedback</w:t>
      </w:r>
      <w:r>
        <w:rPr>
          <w:rFonts w:ascii="Georgia" w:cs="Georgia" w:eastAsia="Georgia" w:hAnsi="Georgia"/>
          <w:sz w:val="24"/>
          <w:szCs w:val="24"/>
        </w:rPr>
        <w:t xml:space="preserve"> (iteration cycles are designed around encountering and revising based on what student artifacts reveal), and </w:t>
      </w:r>
      <w:r>
        <w:rPr>
          <w:rFonts w:ascii="Georgia" w:cs="Georgia" w:eastAsia="Georgia" w:hAnsi="Georgia"/>
          <w:b/>
          <w:bCs/>
          <w:sz w:val="24"/>
          <w:szCs w:val="24"/>
        </w:rPr>
        <w:t xml:space="preserve">consolidation</w:t>
      </w:r>
      <w:r>
        <w:rPr>
          <w:rFonts w:ascii="Georgia" w:cs="Georgia" w:eastAsia="Georgia" w:hAnsi="Georgia"/>
          <w:sz w:val="24"/>
          <w:szCs w:val="24"/>
        </w:rPr>
        <w:t xml:space="preserve"> (the distributed eleven-month arc). When teachers develop AI-TPACK and HAIC-K through this fellowship, they are not just learning new knowledge — they are learning in the way the brain learns best: through distributed, active, feedback-rich, metacognitive practice. The PD design </w:t>
      </w:r>
      <w:r>
        <w:rPr>
          <w:rFonts w:ascii="Georgia" w:cs="Georgia" w:eastAsia="Georgia" w:hAnsi="Georgia"/>
          <w:i/>
          <w:iCs/>
          <w:sz w:val="24"/>
          <w:szCs w:val="24"/>
        </w:rPr>
        <w:t xml:space="preserve">enacts</w:t>
      </w:r>
      <w:r>
        <w:rPr>
          <w:rFonts w:ascii="Georgia" w:cs="Georgia" w:eastAsia="Georgia" w:hAnsi="Georgia"/>
          <w:sz w:val="24"/>
          <w:szCs w:val="24"/>
        </w:rPr>
        <w:t xml:space="preserve"> the same principles it asks teachers to apply.</w:t>
      </w:r>
    </w:p>
    <w:p>
      <w:pPr>
        <w:pStyle w:val="Heading2"/>
        <w:keepNext/>
        <w:spacing w:after="120" w:before="280"/>
      </w:pPr>
      <w:r>
        <w:rPr>
          <w:rFonts w:ascii="Arial" w:cs="Arial" w:eastAsia="Arial" w:hAnsi="Arial"/>
          <w:b/>
          <w:bCs/>
          <w:color w:val="2E7D8C"/>
          <w:sz w:val="26"/>
          <w:szCs w:val="26"/>
        </w:rPr>
        <w:t xml:space="preserve">6.3  Validity Argument and Measurement</w:t>
      </w:r>
    </w:p>
    <w:p>
      <w:pPr>
        <w:keepLines/>
        <w:spacing w:after="160" w:line="280"/>
      </w:pPr>
      <w:r>
        <w:rPr>
          <w:rFonts w:ascii="Georgia" w:cs="Georgia" w:eastAsia="Georgia" w:hAnsi="Georgia"/>
          <w:sz w:val="24"/>
          <w:szCs w:val="24"/>
        </w:rPr>
        <w:t xml:space="preserve">This fellowship adopts a </w:t>
      </w:r>
      <w:r>
        <w:rPr>
          <w:rFonts w:ascii="Georgia" w:cs="Georgia" w:eastAsia="Georgia" w:hAnsi="Georgia"/>
          <w:b/>
          <w:bCs/>
          <w:sz w:val="24"/>
          <w:szCs w:val="24"/>
        </w:rPr>
        <w:t xml:space="preserve">validity argument approach</w:t>
      </w:r>
      <w:r>
        <w:rPr>
          <w:rFonts w:ascii="Georgia" w:cs="Georgia" w:eastAsia="Georgia" w:hAnsi="Georgia"/>
          <w:sz w:val="24"/>
          <w:szCs w:val="24"/>
        </w:rPr>
        <w:t xml:space="preserve"> (Messick, 1989; Kane, 2006): claims about learning are supported through the convergence of multiple evidence sources, not any single artifact. The strength of an interpretation increases when evidence converges across assessment design, interaction traces, student artifacts, teacher observations, and reflective accounts.</w:t>
      </w:r>
    </w:p>
    <w:p>
      <w:pPr>
        <w:keepLines/>
        <w:spacing w:after="160" w:line="280"/>
      </w:pPr>
      <w:r>
        <w:rPr>
          <w:rFonts w:ascii="Georgia" w:cs="Georgia" w:eastAsia="Georgia" w:hAnsi="Georgia"/>
          <w:sz w:val="24"/>
          <w:szCs w:val="24"/>
        </w:rPr>
        <w:t xml:space="preserve">The fellowship is informed by Modern Measurement Theory (MMT) and construct-map thinking (Saubern et al.), emphasizing developmental progressions rather than binary proficiency judgments. While Year 1 will not generate sufficient data for formal Rasch modeling, the framework adopts the underlying principle of developmental continua.</w:t>
      </w:r>
    </w:p>
    <w:p>
      <w:pPr>
        <w:keepLines/>
        <w:spacing w:after="160" w:line="280"/>
      </w:pPr>
      <w:r>
        <w:rPr>
          <w:rFonts w:ascii="Georgia" w:cs="Georgia" w:eastAsia="Georgia" w:hAnsi="Georgia"/>
          <w:sz w:val="24"/>
          <w:szCs w:val="24"/>
        </w:rPr>
        <w:t xml:space="preserve">A key methodological distinction runs through all measurement in this fellowship: </w:t>
      </w:r>
      <w:r>
        <w:rPr>
          <w:rFonts w:ascii="Georgia" w:cs="Georgia" w:eastAsia="Georgia" w:hAnsi="Georgia"/>
          <w:b/>
          <w:bCs/>
          <w:sz w:val="24"/>
          <w:szCs w:val="24"/>
        </w:rPr>
        <w:t xml:space="preserve">confidence is not competence</w:t>
      </w:r>
      <w:r>
        <w:rPr>
          <w:rFonts w:ascii="Georgia" w:cs="Georgia" w:eastAsia="Georgia" w:hAnsi="Georgia"/>
          <w:sz w:val="24"/>
          <w:szCs w:val="24"/>
        </w:rPr>
        <w:t xml:space="preserve">. Self-report surveys measure what teachers believe they can do; the Technology Integration Assessment Instrument (TIAI) measures what they actually design. The TIAI scores the ‘fit’ and alignment of technology, pedagogy, and content in observed lesson plans and assessment designs, producing a pre/post comparison that shows how AI-TPACK manifests in teachers’ actual instructional decisions across iterations. The VISTA audit artifact provides the primary evidence source for this comparison, while VSR transcripts provide the Enacted and Reflected TPACK dimensions.</w:t>
      </w:r>
    </w:p>
    <w:p>
      <w:pPr>
        <w:keepLines/>
        <w:spacing w:after="160" w:line="280"/>
      </w:pPr>
      <w:r>
        <w:rPr>
          <w:rFonts w:ascii="Georgia" w:cs="Georgia" w:eastAsia="Georgia" w:hAnsi="Georgia"/>
          <w:b/>
          <w:bCs/>
          <w:sz w:val="24"/>
          <w:szCs w:val="24"/>
        </w:rPr>
        <w:t xml:space="preserve">On verbal fluency: </w:t>
      </w:r>
      <w:r>
        <w:rPr>
          <w:rFonts w:ascii="Georgia" w:cs="Georgia" w:eastAsia="Georgia" w:hAnsi="Georgia"/>
          <w:sz w:val="24"/>
          <w:szCs w:val="24"/>
        </w:rPr>
        <w:t xml:space="preserve">The fellowship mitigates verbal fluency bias through UDL safeguards and action-based evidence. Interaction traces — revision narratives, prompt logs, creation artifacts, embodied demonstrations — demonstrate the human moves in a project regardless of verbal fluency. The score is assigned to the demonstrated decision-making arc, not the polish of the explanation.</w:t>
      </w:r>
    </w:p>
    <w:p>
      <w:pPr>
        <w:pStyle w:val="Heading2"/>
        <w:keepNext/>
        <w:spacing w:after="120" w:before="280"/>
      </w:pPr>
      <w:r>
        <w:rPr>
          <w:rFonts w:ascii="Arial" w:cs="Arial" w:eastAsia="Arial" w:hAnsi="Arial"/>
          <w:b/>
          <w:bCs/>
          <w:color w:val="2E7D8C"/>
          <w:sz w:val="26"/>
          <w:szCs w:val="26"/>
        </w:rPr>
        <w:t xml:space="preserve">6.4  Departmental PLCs as the Long-Term Unit</w:t>
      </w:r>
    </w:p>
    <w:p>
      <w:pPr>
        <w:keepLines/>
        <w:spacing w:after="160" w:line="280"/>
      </w:pPr>
      <w:r>
        <w:rPr>
          <w:rFonts w:ascii="Georgia" w:cs="Georgia" w:eastAsia="Georgia" w:hAnsi="Georgia"/>
          <w:sz w:val="24"/>
          <w:szCs w:val="24"/>
        </w:rPr>
        <w:t xml:space="preserve">Fullan (2016) demonstrates that deep learning requires embedding new practices in collaborative professional structures. DuFour and Eaker (1998) establish that PLCs built around shared inquiry into student learning are the most powerful professional development model available. Coburn (2003) argues that sustainable reform requires </w:t>
      </w:r>
      <w:r>
        <w:rPr>
          <w:rFonts w:ascii="Georgia" w:cs="Georgia" w:eastAsia="Georgia" w:hAnsi="Georgia"/>
          <w:i/>
          <w:iCs/>
          <w:sz w:val="24"/>
          <w:szCs w:val="24"/>
        </w:rPr>
        <w:t xml:space="preserve">deep</w:t>
      </w:r>
      <w:r>
        <w:rPr>
          <w:rFonts w:ascii="Georgia" w:cs="Georgia" w:eastAsia="Georgia" w:hAnsi="Georgia"/>
          <w:sz w:val="24"/>
          <w:szCs w:val="24"/>
        </w:rPr>
        <w:t xml:space="preserve"> change — shifting underlying beliefs and practices — most reliably produced through communities of practice. Bryk et al. (2015) demonstrate that reliable change builds on existing organizational structures. Hargreaves and Fullan (2012) identify </w:t>
      </w:r>
      <w:r>
        <w:rPr>
          <w:rFonts w:ascii="Georgia" w:cs="Georgia" w:eastAsia="Georgia" w:hAnsi="Georgia"/>
          <w:i/>
          <w:iCs/>
          <w:sz w:val="24"/>
          <w:szCs w:val="24"/>
        </w:rPr>
        <w:t xml:space="preserve">professional capital</w:t>
      </w:r>
      <w:r>
        <w:rPr>
          <w:rFonts w:ascii="Georgia" w:cs="Georgia" w:eastAsia="Georgia" w:hAnsi="Georgia"/>
          <w:sz w:val="24"/>
          <w:szCs w:val="24"/>
        </w:rPr>
        <w:t xml:space="preserve"> — the collective knowledge, skill, and decisiveness of a teaching community — as the key variable in educational improvement.</w:t>
      </w:r>
    </w:p>
    <w:p>
      <w:pPr>
        <w:keepLines/>
        <w:spacing w:after="160" w:line="280"/>
      </w:pPr>
      <w:r>
        <w:rPr>
          <w:rFonts w:ascii="Georgia" w:cs="Georgia" w:eastAsia="Georgia" w:hAnsi="Georgia"/>
          <w:sz w:val="24"/>
          <w:szCs w:val="24"/>
        </w:rPr>
        <w:t xml:space="preserve">Departments are the right unit because they already share </w:t>
      </w:r>
      <w:r>
        <w:rPr>
          <w:rFonts w:ascii="Georgia" w:cs="Georgia" w:eastAsia="Georgia" w:hAnsi="Georgia"/>
          <w:b/>
          <w:bCs/>
          <w:sz w:val="24"/>
          <w:szCs w:val="24"/>
        </w:rPr>
        <w:t xml:space="preserve">CK, PK, and PCK</w:t>
      </w:r>
      <w:r>
        <w:rPr>
          <w:rFonts w:ascii="Georgia" w:cs="Georgia" w:eastAsia="Georgia" w:hAnsi="Georgia"/>
          <w:sz w:val="24"/>
          <w:szCs w:val="24"/>
        </w:rPr>
        <w:t xml:space="preserve"> — the foundational domains that make AI-specific knowledge meaningful. A science department that shares a commitment to evidence-based reasoning already has the PCK that makes Ethical TPACK concrete. The fellowship does not build new PLCs. It enriches existing ones with the AI-specific knowledge layers their shared CK and PK need in order to navigate AI-rich classrooms.</w:t>
      </w:r>
    </w:p>
    <w:p>
      <w:pPr>
        <w:keepLines/>
        <w:spacing w:after="160" w:line="280"/>
      </w:pPr>
      <w:r>
        <w:rPr>
          <w:rFonts w:ascii="Georgia" w:cs="Georgia" w:eastAsia="Georgia" w:hAnsi="Georgia"/>
          <w:sz w:val="24"/>
          <w:szCs w:val="24"/>
        </w:rPr>
        <w:t xml:space="preserve">Research on AI-era professional development adds a further argument: AI-TPACK development is </w:t>
      </w:r>
      <w:r>
        <w:rPr>
          <w:rFonts w:ascii="Georgia" w:cs="Georgia" w:eastAsia="Georgia" w:hAnsi="Georgia"/>
          <w:i/>
          <w:iCs/>
          <w:sz w:val="24"/>
          <w:szCs w:val="24"/>
        </w:rPr>
        <w:t xml:space="preserve">inherently social</w:t>
      </w:r>
      <w:r>
        <w:rPr>
          <w:rFonts w:ascii="Georgia" w:cs="Georgia" w:eastAsia="Georgia" w:hAnsi="Georgia"/>
          <w:sz w:val="24"/>
          <w:szCs w:val="24"/>
        </w:rPr>
        <w:t xml:space="preserve">. Studies propose the concept of </w:t>
      </w:r>
      <w:r>
        <w:rPr>
          <w:rFonts w:ascii="Georgia" w:cs="Georgia" w:eastAsia="Georgia" w:hAnsi="Georgia"/>
          <w:b/>
          <w:bCs/>
          <w:sz w:val="24"/>
          <w:szCs w:val="24"/>
        </w:rPr>
        <w:t xml:space="preserve">Collective TPACK</w:t>
      </w:r>
      <w:r>
        <w:rPr>
          <w:rFonts w:ascii="Georgia" w:cs="Georgia" w:eastAsia="Georgia" w:hAnsi="Georgia"/>
          <w:sz w:val="24"/>
          <w:szCs w:val="24"/>
        </w:rPr>
        <w:t xml:space="preserve"> — the shared, distributed AI-pedagogical knowledge that emerges when teachers work together on real disciplinary problems, rather than developing AI knowledge in isolation. Generic training fails because AI’s impact is highly dependent on subject matter: STEM faculty often develop different AI competencies than humanities faculty, and one-size-fits-all workshops cannot provide the discipline-sensitive support that departments naturally offer. PLCs allow teachers to collaboratively create shared norms for specific tools, ensuring AI use is aligned with departmental standards rather than individually improvised.</w:t>
      </w:r>
    </w:p>
    <w:p>
      <w:pPr>
        <w:keepLines/>
        <w:spacing w:after="160" w:line="280"/>
      </w:pPr>
      <w:r>
        <w:rPr>
          <w:rFonts w:ascii="Georgia" w:cs="Georgia" w:eastAsia="Georgia" w:hAnsi="Georgia"/>
          <w:sz w:val="24"/>
          <w:szCs w:val="24"/>
        </w:rPr>
        <w:t xml:space="preserve">A specific risk the departmental structure addresses is what researchers call the </w:t>
      </w:r>
      <w:r>
        <w:rPr>
          <w:rFonts w:ascii="Georgia" w:cs="Georgia" w:eastAsia="Georgia" w:hAnsi="Georgia"/>
          <w:b/>
          <w:bCs/>
          <w:sz w:val="24"/>
          <w:szCs w:val="24"/>
        </w:rPr>
        <w:t xml:space="preserve">XK filter</w:t>
      </w:r>
      <w:r>
        <w:rPr>
          <w:rFonts w:ascii="Georgia" w:cs="Georgia" w:eastAsia="Georgia" w:hAnsi="Georgia"/>
          <w:sz w:val="24"/>
          <w:szCs w:val="24"/>
        </w:rPr>
        <w:t xml:space="preserve">: institutional pressures like exam pacing, curriculum requirements, and assessment timelines suppress AI innovation even in willing, capable teachers. A classroom teacher working alone cannot negotiate those pressures. A department leader in the room can. This is why the fellowship pairs department leadership with teachers from the outset — not only because department leadership can spread the protocol later, but because their positional authority creates the conditions under which genuine redesign is possible at all.</w:t>
      </w:r>
    </w:p>
    <w:p>
      <w:pPr>
        <w:keepLines/>
        <w:spacing w:after="160" w:line="280"/>
      </w:pPr>
      <w:r>
        <w:rPr>
          <w:rFonts w:ascii="Georgia" w:cs="Georgia" w:eastAsia="Georgia" w:hAnsi="Georgia"/>
          <w:sz w:val="24"/>
          <w:szCs w:val="24"/>
        </w:rPr>
        <w:t xml:space="preserve">Finally, research consistently shows that teachers who engage in job-embedded professional development report higher digital self-efficacy and are more likely to perceive technology as a resource rather than a threat. The fellowship’s design — working with real assessments, real students, and specific written feedback across a sustained year-long cycle — is job-embedded by design. The PLC is not a separate learning activity. It is the site where </w:t>
      </w:r>
      <w:r>
        <w:rPr>
          <w:rFonts w:ascii="Georgia" w:cs="Georgia" w:eastAsia="Georgia" w:hAnsi="Georgia"/>
          <w:b/>
          <w:bCs/>
          <w:sz w:val="24"/>
          <w:szCs w:val="24"/>
        </w:rPr>
        <w:t xml:space="preserve">collective sensemaking</w:t>
      </w:r>
      <w:r>
        <w:rPr>
          <w:rFonts w:ascii="Georgia" w:cs="Georgia" w:eastAsia="Georgia" w:hAnsi="Georgia"/>
          <w:sz w:val="24"/>
          <w:szCs w:val="24"/>
        </w:rPr>
        <w:t xml:space="preserve"> happens: where teachers together negotiate what AI means for their discipline, redefine their roles, and build the shared professional language that makes change durable.</w:t>
      </w:r>
    </w:p>
    <w:p>
      <w:pPr>
        <w:pStyle w:val="Heading2"/>
        <w:keepNext/>
        <w:spacing w:after="120" w:before="280"/>
      </w:pPr>
      <w:r>
        <w:rPr>
          <w:rFonts w:ascii="Arial" w:cs="Arial" w:eastAsia="Arial" w:hAnsi="Arial"/>
          <w:b/>
          <w:bCs/>
          <w:color w:val="2E7D8C"/>
          <w:sz w:val="26"/>
          <w:szCs w:val="26"/>
        </w:rPr>
        <w:t xml:space="preserve">6.5  Disciplinary Sciences of Teaching and I-CK Development</w:t>
      </w:r>
    </w:p>
    <w:p>
      <w:pPr>
        <w:keepLines/>
        <w:spacing w:after="160" w:line="280"/>
      </w:pPr>
      <w:r>
        <w:rPr>
          <w:rFonts w:ascii="Georgia" w:cs="Georgia" w:eastAsia="Georgia" w:hAnsi="Georgia"/>
          <w:sz w:val="24"/>
          <w:szCs w:val="24"/>
        </w:rPr>
        <w:t xml:space="preserve">Every discipline has its own research-validated knowledge base about how students learn that subject. These are not generic pedagogical principles — they are discipline-specific sciences of teaching, accumulated through decades of field-specific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Discipline</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Disciplinary Science of Teaching Foundation</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Mathematics Education</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NCTM Standards; mathematics cognition research (Dehaene, 2011); productive struggle and mathematical mindsets (Boaler, 2016); algebraic reasoning and structural understanding; the Van Hiele levels of geometric thinking; ZDM Mathematics Education literature</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Science Education</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Next Generation Science Standards (NGSS) practices; model-based learning and model revision; Claim-Evidence-Reasoning frameworks; misconceptions research; conceptual change theory (Posner et al., 1982)</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Humanities and Social Studies</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Disciplinary literacy and historical thinking (Wineburg, 2001); sourcing, contextualization, and corroboration as epistemic practices; contested interpretation and evidence standards; reading like a historian</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Arts Education</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Studio Thinking Framework (Hetland et al., 2007); the eight Studio Habits of Mind; craft knowledge and embodied expertise; artistic decision-making as disciplinary reasoning</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Language Arts and ELL</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Genre-based writing; register and pragmatic competence; translanguaging (García &amp; Wei, 2014); academic language development; disciplinary literacy across content areas</w:t>
            </w:r>
          </w:p>
        </w:tc>
      </w:tr>
    </w:tbl>
    <w:p>
      <w:pPr>
        <w:keepNext/>
        <w:spacing w:after="16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matters for the fellowship in a specific way: </w:t>
      </w:r>
      <w:r>
        <w:rPr>
          <w:rFonts w:ascii="Georgia" w:cs="Georgia" w:eastAsia="Georgia" w:hAnsi="Georgia"/>
          <w:b/>
          <w:bCs/>
          <w:sz w:val="24"/>
          <w:szCs w:val="24"/>
        </w:rPr>
        <w:t xml:space="preserve">I-CK is not about knowing what AI does to generic content. It is about knowing what AI does to your discipline’s specific research-validated knowledge structures.</w:t>
      </w:r>
      <w:r>
        <w:rPr>
          <w:rFonts w:ascii="Georgia" w:cs="Georgia" w:eastAsia="Georgia" w:hAnsi="Georgia"/>
          <w:sz w:val="24"/>
          <w:szCs w:val="24"/>
        </w:rPr>
        <w:t xml:space="preserve"> A mathematics teacher developing I-CK needs to recognize when AI produces a plausible-looking proof that violates the structural reasoning NCTM research identifies as foundational. A science teacher developing I-CK needs to recognize when AI generates an explanation that bypasses the model-revision process that NGSS identifies as the core of scientific practice.</w:t>
      </w:r>
    </w:p>
    <w:p>
      <w:pPr>
        <w:keepLines/>
        <w:spacing w:after="160" w:line="280"/>
      </w:pPr>
      <w:r>
        <w:rPr>
          <w:rFonts w:ascii="Georgia" w:cs="Georgia" w:eastAsia="Georgia" w:hAnsi="Georgia"/>
          <w:sz w:val="24"/>
          <w:szCs w:val="24"/>
        </w:rPr>
        <w:t xml:space="preserve">This is also why the </w:t>
      </w:r>
      <w:r>
        <w:rPr>
          <w:rFonts w:ascii="Georgia" w:cs="Georgia" w:eastAsia="Georgia" w:hAnsi="Georgia"/>
          <w:b/>
          <w:bCs/>
          <w:sz w:val="24"/>
          <w:szCs w:val="24"/>
        </w:rPr>
        <w:t xml:space="preserve">departmental PLC is the right long-term unit</w:t>
      </w:r>
      <w:r>
        <w:rPr>
          <w:rFonts w:ascii="Georgia" w:cs="Georgia" w:eastAsia="Georgia" w:hAnsi="Georgia"/>
          <w:sz w:val="24"/>
          <w:szCs w:val="24"/>
        </w:rPr>
        <w:t xml:space="preserve">: departments already share their disciplinary science of teaching. A mathematics department that reads ZDM together and discusses misconceptions research already has the shared disciplinary knowledge base that makes I-CK development meaningful. The fellowship does not ask teachers to develop I-CK in isolation. It asks departments to apply the disciplinary knowledge they already share to a new question: </w:t>
      </w:r>
      <w:r>
        <w:rPr>
          <w:rFonts w:ascii="Georgia" w:cs="Georgia" w:eastAsia="Georgia" w:hAnsi="Georgia"/>
          <w:i/>
          <w:iCs/>
          <w:sz w:val="24"/>
          <w:szCs w:val="24"/>
        </w:rPr>
        <w:t xml:space="preserve">what does AI do to the knowledge structures our discipline’s research says students need to develop?</w:t>
      </w:r>
    </w:p>
    <w:p>
      <w:pPr>
        <w:keepLines/>
        <w:spacing w:after="160" w:line="280"/>
      </w:pPr>
      <w:r>
        <w:rPr>
          <w:rFonts w:ascii="Georgia" w:cs="Georgia" w:eastAsia="Georgia" w:hAnsi="Georgia"/>
          <w:sz w:val="24"/>
          <w:szCs w:val="24"/>
        </w:rPr>
        <w:t xml:space="preserve">The Cognitive Agency Knowledge Hub (NotebookLM) is therefore not only a repository of fellowship artifacts. It is a space where teachers can continuously engage with their discipline’s research literature and interrogate it against AI behavior — the ongoing I-CK development that makes the fellowship’s effects durable rather than one-off.</w:t>
      </w:r>
    </w:p>
    <w:p>
      <w:pPr>
        <w:pStyle w:val="Heading2"/>
        <w:keepNext/>
        <w:spacing w:after="120" w:before="280"/>
      </w:pPr>
      <w:r>
        <w:rPr>
          <w:rFonts w:ascii="Arial" w:cs="Arial" w:eastAsia="Arial" w:hAnsi="Arial"/>
          <w:b/>
          <w:bCs/>
          <w:color w:val="2E7D8C"/>
          <w:sz w:val="26"/>
          <w:szCs w:val="26"/>
        </w:rPr>
        <w:t xml:space="preserve">6.6  Extended TPACK Framework</w:t>
      </w:r>
    </w:p>
    <w:p>
      <w:pPr>
        <w:keepLines/>
        <w:spacing w:after="160" w:line="280"/>
      </w:pPr>
      <w:r>
        <w:rPr>
          <w:rFonts w:ascii="Georgia" w:cs="Georgia" w:eastAsia="Georgia" w:hAnsi="Georgia"/>
          <w:sz w:val="24"/>
          <w:szCs w:val="24"/>
        </w:rPr>
        <w:t xml:space="preserve">From TPACK (Mishra &amp; Koehler, 2006) through AI-TPACK (Celik, 2023), I-TPACK (Chiu, 2025), and the HCAP framework with HAIC-K (Chiu, 2026): in AI-rich classrooms, AI produces content-like outputs that may or may not reflect genuine disciplinary knowledge structures. </w:t>
      </w:r>
      <w:r>
        <w:rPr>
          <w:rFonts w:ascii="Georgia" w:cs="Georgia" w:eastAsia="Georgia" w:hAnsi="Georgia"/>
          <w:b/>
          <w:bCs/>
          <w:sz w:val="24"/>
          <w:szCs w:val="24"/>
        </w:rPr>
        <w:t xml:space="preserve">I-CK</w:t>
      </w:r>
      <w:r>
        <w:rPr>
          <w:rFonts w:ascii="Georgia" w:cs="Georgia" w:eastAsia="Georgia" w:hAnsi="Georgia"/>
          <w:sz w:val="24"/>
          <w:szCs w:val="24"/>
        </w:rPr>
        <w:t xml:space="preserve"> — the knowledge of how AI handles a discipline’s epistemic standards — is what allows teachers to design valid assessments. Relational TPACK (Delanoy-informed) recognizes that teacher knowledge includes relational authority and dialogic feedback. Ethical TPACK positions ethical reasoning as an integrated pedagogical judgment, not a compliance obligation.</w:t>
      </w:r>
    </w:p>
    <w:p>
      <w:pPr>
        <w:pStyle w:val="Heading2"/>
        <w:keepNext/>
        <w:spacing w:after="120" w:before="280"/>
      </w:pPr>
      <w:r>
        <w:rPr>
          <w:rFonts w:ascii="Arial" w:cs="Arial" w:eastAsia="Arial" w:hAnsi="Arial"/>
          <w:b/>
          <w:bCs/>
          <w:color w:val="2E7D8C"/>
          <w:sz w:val="26"/>
          <w:szCs w:val="26"/>
        </w:rPr>
        <w:t xml:space="preserve">6.7  CNG Pilot Evidence</w:t>
      </w:r>
    </w:p>
    <w:p>
      <w:pPr>
        <w:pStyle w:val="Heading3"/>
        <w:keepNext/>
        <w:spacing w:after="100" w:before="200"/>
      </w:pPr>
      <w:r>
        <w:rPr>
          <w:rFonts w:ascii="Arial" w:cs="Arial" w:eastAsia="Arial" w:hAnsi="Arial"/>
          <w:b/>
          <w:bCs/>
          <w:color w:val="1B3A5C"/>
          <w:sz w:val="24"/>
          <w:szCs w:val="24"/>
        </w:rPr>
        <w:t xml:space="preserve">Systems Under Pressure — Algebra 2</w:t>
      </w:r>
    </w:p>
    <w:p>
      <w:pPr>
        <w:keepLines/>
        <w:spacing w:after="160" w:line="280"/>
      </w:pPr>
      <w:r>
        <w:rPr>
          <w:rFonts w:ascii="Georgia" w:cs="Georgia" w:eastAsia="Georgia" w:hAnsi="Georgia"/>
          <w:sz w:val="24"/>
          <w:szCs w:val="24"/>
        </w:rPr>
        <w:t xml:space="preserve">Students investigated complex systems using sequences, exponentials, logarithms, and polynomial models. Without reasoning artifacts, students who used AI superficially were indistinguishable from those who used it deeply. With them, the difference was immediate and actionable for feedback. Creation artifacts — students’ own models and explanations of why their assumptions changed — revealed understanding that verbal summaries never could.</w:t>
      </w:r>
    </w:p>
    <w:p>
      <w:pPr>
        <w:pStyle w:val="Heading3"/>
        <w:keepNext/>
        <w:spacing w:after="100" w:before="200"/>
      </w:pPr>
      <w:r>
        <w:rPr>
          <w:rFonts w:ascii="Arial" w:cs="Arial" w:eastAsia="Arial" w:hAnsi="Arial"/>
          <w:b/>
          <w:bCs/>
          <w:color w:val="1B3A5C"/>
          <w:sz w:val="24"/>
          <w:szCs w:val="24"/>
        </w:rPr>
        <w:t xml:space="preserve">Statistical Conspiracy Project — Accelerated Geometry</w:t>
      </w:r>
    </w:p>
    <w:p>
      <w:pPr>
        <w:keepLines/>
        <w:spacing w:after="160" w:line="280"/>
      </w:pPr>
      <w:r>
        <w:rPr>
          <w:rFonts w:ascii="Georgia" w:cs="Georgia" w:eastAsia="Georgia" w:hAnsi="Georgia"/>
          <w:sz w:val="24"/>
          <w:szCs w:val="24"/>
        </w:rPr>
        <w:t xml:space="preserve">Students investigated how the same dataset supports competing narratives. The most significant learning — students explaining why they rejected an AI-generated causal interpretation, drawing on distributional reasoning and sampling limitations — was completely invisible without reasoning artifacts. That moment of rejection is the template for interpretable evidence of intellectual labour.</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7. Fellowship Design</w:t>
      </w:r>
    </w:p>
    <w:p>
      <w:pPr>
        <w:pStyle w:val="Heading2"/>
        <w:keepNext/>
        <w:spacing w:after="120" w:before="280"/>
      </w:pPr>
      <w:r>
        <w:rPr>
          <w:rFonts w:ascii="Arial" w:cs="Arial" w:eastAsia="Arial" w:hAnsi="Arial"/>
          <w:b/>
          <w:bCs/>
          <w:color w:val="2E7D8C"/>
          <w:sz w:val="26"/>
          <w:szCs w:val="26"/>
        </w:rPr>
        <w:t xml:space="preserve">7.1  Structure</w:t>
      </w:r>
    </w:p>
    <w:p>
      <w:pPr>
        <w:keepLines/>
        <w:spacing w:after="160" w:line="280"/>
      </w:pPr>
      <w:r>
        <w:rPr>
          <w:rFonts w:ascii="Georgia" w:cs="Georgia" w:eastAsia="Georgia" w:hAnsi="Georgia"/>
          <w:sz w:val="24"/>
          <w:szCs w:val="24"/>
        </w:rPr>
        <w:t xml:space="preserve">The fellowship is a year-long iterative design cycle. Each teacher completes two to three full </w:t>
      </w:r>
      <w:r>
        <w:rPr>
          <w:rFonts w:ascii="Georgia" w:cs="Georgia" w:eastAsia="Georgia" w:hAnsi="Georgia"/>
          <w:b/>
          <w:bCs/>
          <w:sz w:val="24"/>
          <w:szCs w:val="24"/>
        </w:rPr>
        <w:t xml:space="preserve">design → enact → evidence → feedback → revise</w:t>
      </w:r>
      <w:r>
        <w:rPr>
          <w:rFonts w:ascii="Georgia" w:cs="Georgia" w:eastAsia="Georgia" w:hAnsi="Georgia"/>
          <w:sz w:val="24"/>
          <w:szCs w:val="24"/>
        </w:rPr>
        <w:t xml:space="preserve"> arcs. The total async commitment outside scheduled touchpoints is approximately 4–5 hours across eleven months — designed for the realistic demands of teaching, not only for ideal conditions.</w:t>
      </w:r>
    </w:p>
    <w:p>
      <w:pPr>
        <w:pStyle w:val="Heading2"/>
        <w:keepNext/>
        <w:spacing w:after="120" w:before="280"/>
      </w:pPr>
      <w:r>
        <w:rPr>
          <w:rFonts w:ascii="Arial" w:cs="Arial" w:eastAsia="Arial" w:hAnsi="Arial"/>
          <w:b/>
          <w:bCs/>
          <w:color w:val="2E7D8C"/>
          <w:sz w:val="26"/>
          <w:szCs w:val="26"/>
        </w:rPr>
        <w:t xml:space="preserve">7.2  Year 1 Participant Profile — High School</w:t>
      </w:r>
    </w:p>
    <w:p>
      <w:pPr>
        <w:keepLines/>
        <w:spacing w:after="160" w:line="280"/>
      </w:pPr>
      <w:r>
        <w:rPr>
          <w:rFonts w:ascii="Georgia" w:cs="Georgia" w:eastAsia="Georgia" w:hAnsi="Georgia"/>
          <w:sz w:val="24"/>
          <w:szCs w:val="24"/>
        </w:rPr>
        <w:t xml:space="preserve">The Year 1 cohort consists of </w:t>
      </w:r>
      <w:r>
        <w:rPr>
          <w:rFonts w:ascii="Georgia" w:cs="Georgia" w:eastAsia="Georgia" w:hAnsi="Georgia"/>
          <w:b/>
          <w:bCs/>
          <w:sz w:val="24"/>
          <w:szCs w:val="24"/>
        </w:rPr>
        <w:t xml:space="preserve">six secondary teachers</w:t>
      </w:r>
      <w:r>
        <w:rPr>
          <w:rFonts w:ascii="Georgia" w:cs="Georgia" w:eastAsia="Georgia" w:hAnsi="Georgia"/>
          <w:sz w:val="24"/>
          <w:szCs w:val="24"/>
        </w:rPr>
        <w:t xml:space="preserve">: two experienced AI integrators, two developing/curious teachers, and two skeptical or resistant teachers. This composition is deliberate — the fellowship must generate evidence across the full range of teacher perspectives likely to be encountered when scaling to departments.</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Cohort Profile (Total: 6 Teachers)</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Role in the Fellowship</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2 Experienced AI Integrators</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Deep AI-TPACK already developing. Test whether the fellowship deepens and documents what they know.</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2 Developing/Curious Teachers</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The most common faculty profile. Test whether structured iteration builds genuine design capacity from a developing baseline.</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2 Skeptical or Resistant Teachers</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The most important scalability test. If the fellowship works for them, it works in any department.</w:t>
            </w:r>
          </w:p>
        </w:tc>
      </w:tr>
    </w:tbl>
    <w:p>
      <w:pPr>
        <w:keepNext/>
        <w:spacing w:after="6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Pairing rationale — mixed pairs, not affinity groups: </w:t>
      </w:r>
      <w:r>
        <w:rPr>
          <w:rFonts w:ascii="Georgia" w:cs="Georgia" w:eastAsia="Georgia" w:hAnsi="Georgia"/>
          <w:sz w:val="24"/>
          <w:szCs w:val="24"/>
        </w:rPr>
        <w:t xml:space="preserve">Each pair is deliberately mixed in experience rather than grouped by similarity. Research on professional learning communities consistently shows that affinity grouping of resistant practitioners produces echo chambers rather than productive challenge (Hargreaves &amp; O’Connor, 2018; Horn &amp; Little, 2010). Each skeptic is paired with a colleague who is actively working through the same questions from a different vantage point.</w:t>
      </w:r>
    </w:p>
    <w:p>
      <w:pPr>
        <w:keepNext/>
        <w:spacing w:after="6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Pair Structure</w:t>
            </w:r>
          </w:p>
        </w:tc>
        <w:tc>
          <w:tcPr>
            <w:tcW w:type="dxa" w:w="57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What Each Pairing Tests</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Pair A: Experienced + Skeptic</w:t>
            </w:r>
          </w:p>
        </w:tc>
        <w:tc>
          <w:tcPr>
            <w:tcW w:type="dxa" w:w="57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The skeptic’s doubts are engaged by a colleague with classroom evidence. The experienced teacher’s assumptions are challenged by genuine uncertainty. Most rigorous test of the fellowship’s tools.</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Pair B: Developing + Skeptic</w:t>
            </w:r>
          </w:p>
        </w:tc>
        <w:tc>
          <w:tcPr>
            <w:tcW w:type="dxa" w:w="57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The skeptic models critical questioning. The developing teacher’s genuine curiosity can shift a skeptic’s stance. Mutual accountability without power asymmetry.</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Pair C: Experienced + Developing</w:t>
            </w:r>
          </w:p>
        </w:tc>
        <w:tc>
          <w:tcPr>
            <w:tcW w:type="dxa" w:w="57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Deep practice meets emerging practice. The experienced teacher articulates tacit knowledge; the developing teacher asks questions that make it explicit.</w:t>
            </w:r>
          </w:p>
        </w:tc>
      </w:tr>
    </w:tbl>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Additional selection criteria: diverse disciplines (including non-STEM), at least one Learning Center specialist, and a mix of local Colombian and international faculty — ensuring the fellowship’s tools are tested across disciplinary and cultural contexts from the outset.</w:t>
      </w:r>
    </w:p>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Department Leadership is a Year 2 goal, not a Year 1 deliverable</w:t>
            </w:r>
          </w:p>
          <w:p>
            <w:pPr>
              <w:spacing w:after="0"/>
            </w:pPr>
            <w:r>
              <w:rPr>
                <w:rFonts w:ascii="Georgia" w:cs="Georgia" w:eastAsia="Georgia" w:hAnsi="Georgia"/>
                <w:sz w:val="24"/>
                <w:szCs w:val="24"/>
              </w:rPr>
              <w:t xml:space="preserve">Year 1 tests and refines the tools across diverse teacher perspectives and generates documented evidence of what works. The AI Task Force then brings the proven framework to department leadership in Year 2 as a ready, evidence-based structure rather than a prototype. Year 1 builds the case. Year 2 builds the system.</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Where possible, AI Task Force members who teach in the HS are prioritized across these dimensions — their participation deepens the Task Force’s capacity to facilitate future iterations from a position of direct practice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Year 1 Scope</w:t>
            </w:r>
          </w:p>
          <w:p>
            <w:pPr>
              <w:spacing w:after="0"/>
            </w:pPr>
            <w:r>
              <w:rPr>
                <w:rFonts w:ascii="Georgia" w:cs="Georgia" w:eastAsia="Georgia" w:hAnsi="Georgia"/>
                <w:sz w:val="24"/>
                <w:szCs w:val="24"/>
              </w:rPr>
              <w:t xml:space="preserve">6 High School teachers  ·  Deliberately diverse: AI literacy spectrum, discipline, LC specialist, local and international faculty  ·  One existing assessment audited and iteratively redesigned  ·  Two PLC sessions  ·  One VSR cycle per teacher  ·  Individual written feedback at each iteration  ·  June Showcase and AI Task Force Handoff Package</w:t>
            </w:r>
          </w:p>
        </w:tc>
      </w:tr>
    </w:tbl>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7.3  Two-Cycle Structure</w:t>
      </w:r>
    </w:p>
    <w:p>
      <w:pPr>
        <w:keepLines/>
        <w:spacing w:after="160" w:line="280"/>
      </w:pPr>
      <w:r>
        <w:rPr>
          <w:rFonts w:ascii="Georgia" w:cs="Georgia" w:eastAsia="Georgia" w:hAnsi="Georgia"/>
          <w:sz w:val="24"/>
          <w:szCs w:val="24"/>
        </w:rPr>
        <w:t xml:space="preserve">The fellowship is organised around two iteration cycles, each reducing Cajina's structural role as teacher capacity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Cycle</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Structure and Cajina's Role</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Cycle 1 — Redesign with Support (Aug–Feb)</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Teacher selects one existing assessment and completes an initial VISTA audit alone. Cajina provides written feedback before enactment on AI-related design decisions. Content and pedagogy remain the teacher's domain. Teacher and Cajina co-plan: Cajina contributes AI-TPACK knowledge; teacher leads on content and students. Where appropriate, Cajina co-teaches or co-observes. After enactment, teacher reviews student reasoning artifacts. VSR Session 1: teacher and Cajina examine a classroom clip. Central question: What did I think would happen here, and what actually happened? Revision follows.</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Cycle 2 — Supported Independence (Feb–Jun)</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Teacher redesigns and plans independently — no co-planning, no co-teaching. Before enactment, Cajina provides one structured written feedback pass on the redesign: specifically on AI-related design decisions and visible reasoning strategy (content and pedagogy remain the teacher's domain). Teacher enacts independently. VSR Session 2: peer-facilitated by the pair partner — Cajina attends as a silent moderator, intervening only if a significant gap is being missed. No co-facilitation. Student artifacts reviewed. In June, each teacher brings their two-cycle arc to their own department.</w:t>
            </w:r>
          </w:p>
        </w:tc>
      </w:tr>
    </w:tbl>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Why Two Cycles Matter</w:t>
            </w:r>
          </w:p>
          <w:p>
            <w:pPr>
              <w:spacing w:after="0"/>
            </w:pPr>
            <w:r>
              <w:rPr>
                <w:rFonts w:ascii="Georgia" w:cs="Georgia" w:eastAsia="Georgia" w:hAnsi="Georgia"/>
                <w:sz w:val="24"/>
                <w:szCs w:val="24"/>
              </w:rPr>
              <w:t xml:space="preserve">Cycle 1 tests whether the tools work with support. Cycle 2 tests whether the learning can be transferred to independent practice — with structured written feedback before enactment and Cajina present as a moderator (not a leader) in VSR Session 2. The gap between Cycle 1 and Cycle 2 practice is the fellowship's most important measurement point.</w:t>
            </w:r>
          </w:p>
        </w:tc>
      </w:tr>
    </w:tbl>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7.4  Video-Stimulated Recall — The Central Reflection Mechanism</w:t>
      </w:r>
    </w:p>
    <w:p>
      <w:pPr>
        <w:keepLines/>
        <w:spacing w:after="160" w:line="280"/>
      </w:pPr>
      <w:r>
        <w:rPr>
          <w:rFonts w:ascii="Georgia" w:cs="Georgia" w:eastAsia="Georgia" w:hAnsi="Georgia"/>
          <w:sz w:val="24"/>
          <w:szCs w:val="24"/>
        </w:rPr>
        <w:t xml:space="preserve">VSR is the fellowship's primary mechanism for examining the gap between what a teacher intended and what actually happened in the classroom — the most productive site for professional learning in the design. It is used once per cycle — twice per year — after every assessment redesign, not as a one-time event.</w:t>
      </w:r>
    </w:p>
    <w:p>
      <w:pPr>
        <w:keepLines/>
        <w:spacing w:after="160" w:line="280"/>
      </w:pPr>
      <w:r>
        <w:rPr>
          <w:rFonts w:ascii="Georgia" w:cs="Georgia" w:eastAsia="Georgia" w:hAnsi="Georgia"/>
          <w:b/>
          <w:bCs/>
          <w:sz w:val="24"/>
          <w:szCs w:val="24"/>
        </w:rPr>
        <w:t xml:space="preserve">Intended vs. Enacted TPACK: </w:t>
      </w:r>
      <w:r>
        <w:rPr>
          <w:rFonts w:ascii="Georgia" w:cs="Georgia" w:eastAsia="Georgia" w:hAnsi="Georgia"/>
          <w:sz w:val="24"/>
          <w:szCs w:val="24"/>
        </w:rPr>
        <w:t xml:space="preserve">When a teacher designs a task, they carry assumptions about how students will engage with AI. When they enact it, something different happens. VSR asks: what did I think would happen here? What actually happened? What does the gap reveal about how AI actually behaved in this discipline and task? Tiernan (2016) establishes that this gap is where the most significant professional learning occurs. The fellowship uses VSR in both cycles: Cajina-facilitated in Cycle 1, peer-facilitated in Cycle 2.</w:t>
      </w:r>
    </w:p>
    <w:p>
      <w:pPr>
        <w:keepLines/>
        <w:spacing w:after="160" w:line="280"/>
      </w:pPr>
      <w:r>
        <w:rPr>
          <w:rFonts w:ascii="Georgia" w:cs="Georgia" w:eastAsia="Georgia" w:hAnsi="Georgia"/>
          <w:sz w:val="24"/>
          <w:szCs w:val="24"/>
        </w:rPr>
        <w:t xml:space="preserve">The department transfer session is where individual AI-TPACK becomes </w:t>
      </w:r>
      <w:r>
        <w:rPr>
          <w:rFonts w:ascii="Georgia" w:cs="Georgia" w:eastAsia="Georgia" w:hAnsi="Georgia"/>
          <w:b/>
          <w:bCs/>
          <w:sz w:val="24"/>
          <w:szCs w:val="24"/>
        </w:rPr>
        <w:t xml:space="preserve">collective knowledge</w:t>
      </w:r>
      <w:r>
        <w:rPr>
          <w:rFonts w:ascii="Georgia" w:cs="Georgia" w:eastAsia="Georgia" w:hAnsi="Georgia"/>
          <w:sz w:val="24"/>
          <w:szCs w:val="24"/>
        </w:rPr>
        <w:t xml:space="preserve"> — or fails to. Documenting what happens when a teacher brings sustained disciplinary work back to colleagues who received none of the scaffolding is the bridge to Year 2 scaling.</w:t>
      </w:r>
    </w:p>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7.5  The AI Stress-Test — Digitising the Coaching Conversation</w:t>
      </w:r>
    </w:p>
    <w:p>
      <w:pPr>
        <w:keepLines/>
        <w:spacing w:after="160" w:line="280"/>
      </w:pPr>
      <w:r>
        <w:rPr>
          <w:rFonts w:ascii="Georgia" w:cs="Georgia" w:eastAsia="Georgia" w:hAnsi="Georgia"/>
          <w:sz w:val="24"/>
          <w:szCs w:val="24"/>
        </w:rPr>
        <w:t xml:space="preserve">The fellowship's central capacity-building mechanism is a digital coaching walkthrough built into the VISTA website, called the </w:t>
      </w:r>
      <w:r>
        <w:rPr>
          <w:rFonts w:ascii="Georgia" w:cs="Georgia" w:eastAsia="Georgia" w:hAnsi="Georgia"/>
          <w:b/>
          <w:bCs/>
          <w:sz w:val="24"/>
          <w:szCs w:val="24"/>
        </w:rPr>
        <w:t xml:space="preserve">AI Stress-Test</w:t>
      </w:r>
      <w:r>
        <w:rPr>
          <w:rFonts w:ascii="Georgia" w:cs="Georgia" w:eastAsia="Georgia" w:hAnsi="Georgia"/>
          <w:sz w:val="24"/>
          <w:szCs w:val="24"/>
        </w:rPr>
        <w:t xml:space="preserve">. It is designed to do, independently and on the teacher's own schedule, what Mr. Cajina would otherwise do in person: sit beside a teacher, run their assessment against a language model, and coach them through critiquing the result. This matters because the fellowship cannot scale on one facilitator's time — the judgment has to become the teacher's own.</w:t>
      </w:r>
    </w:p>
    <w:p>
      <w:pPr>
        <w:keepLines/>
        <w:spacing w:after="160" w:line="280"/>
      </w:pPr>
      <w:r>
        <w:rPr>
          <w:rFonts w:ascii="Georgia" w:cs="Georgia" w:eastAsia="Georgia" w:hAnsi="Georgia"/>
          <w:b/>
          <w:bCs/>
          <w:sz w:val="24"/>
          <w:szCs w:val="24"/>
        </w:rPr>
        <w:t xml:space="preserve">It builds the four AI-TPACK layers experientially. </w:t>
      </w:r>
      <w:r>
        <w:rPr>
          <w:rFonts w:ascii="Georgia" w:cs="Georgia" w:eastAsia="Georgia" w:hAnsi="Georgia"/>
          <w:sz w:val="24"/>
          <w:szCs w:val="24"/>
        </w:rPr>
        <w:t xml:space="preserve">Rather than explaining the Section 5 framework abstractly, the Stress-Test walks teachers through it as four concrete moves on their own task: (1) </w:t>
      </w:r>
      <w:r>
        <w:rPr>
          <w:rFonts w:ascii="Georgia" w:cs="Georgia" w:eastAsia="Georgia" w:hAnsi="Georgia"/>
          <w:b/>
          <w:bCs/>
          <w:sz w:val="24"/>
          <w:szCs w:val="24"/>
        </w:rPr>
        <w:t xml:space="preserve">Can AI do this?</w:t>
      </w:r>
      <w:r>
        <w:rPr>
          <w:rFonts w:ascii="Georgia" w:cs="Georgia" w:eastAsia="Georgia" w:hAnsi="Georgia"/>
          <w:sz w:val="24"/>
          <w:szCs w:val="24"/>
        </w:rPr>
        <w:t xml:space="preserve"> — the teacher runs their task through an AI and observes how it handles their discipline's specific knowledge structures, building I-CK. (2) </w:t>
      </w:r>
      <w:r>
        <w:rPr>
          <w:rFonts w:ascii="Georgia" w:cs="Georgia" w:eastAsia="Georgia" w:hAnsi="Georgia"/>
          <w:b/>
          <w:bCs/>
          <w:sz w:val="24"/>
          <w:szCs w:val="24"/>
        </w:rPr>
        <w:t xml:space="preserve">Should I use AI here?</w:t>
      </w:r>
      <w:r>
        <w:rPr>
          <w:rFonts w:ascii="Georgia" w:cs="Georgia" w:eastAsia="Georgia" w:hAnsi="Georgia"/>
          <w:sz w:val="24"/>
          <w:szCs w:val="24"/>
        </w:rPr>
        <w:t xml:space="preserve"> — the teacher critiques the output for accuracy, bias, honesty, and hollowness, building Ethical TPACK. (3) </w:t>
      </w:r>
      <w:r>
        <w:rPr>
          <w:rFonts w:ascii="Georgia" w:cs="Georgia" w:eastAsia="Georgia" w:hAnsi="Georgia"/>
          <w:b/>
          <w:bCs/>
          <w:sz w:val="24"/>
          <w:szCs w:val="24"/>
        </w:rPr>
        <w:t xml:space="preserve">Will this work in my room?</w:t>
      </w:r>
      <w:r>
        <w:rPr>
          <w:rFonts w:ascii="Georgia" w:cs="Georgia" w:eastAsia="Georgia" w:hAnsi="Georgia"/>
          <w:sz w:val="24"/>
          <w:szCs w:val="24"/>
        </w:rPr>
        <w:t xml:space="preserve"> — the teacher translates what they saw to their real students and curriculum, building Contextual Knowledge (XK). (4) </w:t>
      </w:r>
      <w:r>
        <w:rPr>
          <w:rFonts w:ascii="Georgia" w:cs="Georgia" w:eastAsia="Georgia" w:hAnsi="Georgia"/>
          <w:b/>
          <w:bCs/>
          <w:sz w:val="24"/>
          <w:szCs w:val="24"/>
        </w:rPr>
        <w:t xml:space="preserve">How should human and AI share the work?</w:t>
      </w:r>
      <w:r>
        <w:rPr>
          <w:rFonts w:ascii="Georgia" w:cs="Georgia" w:eastAsia="Georgia" w:hAnsi="Georgia"/>
          <w:sz w:val="24"/>
          <w:szCs w:val="24"/>
        </w:rPr>
        <w:t xml:space="preserve"> — the teacher decides role allocation and what keeps the student the primary agent, building HAIC-K.</w:t>
      </w:r>
    </w:p>
    <w:p>
      <w:pPr>
        <w:keepLines/>
        <w:spacing w:after="160" w:line="280"/>
      </w:pPr>
      <w:r>
        <w:rPr>
          <w:rFonts w:ascii="Georgia" w:cs="Georgia" w:eastAsia="Georgia" w:hAnsi="Georgia"/>
          <w:sz w:val="24"/>
          <w:szCs w:val="24"/>
        </w:rPr>
        <w:t xml:space="preserve">Each move produces a written artifact and ends in a concrete redesign decision. The sequence mirrors a strong coaching conversation — but because the teacher runs it themselves, repeatedly, across both cycles, it develops the independent professional judgment that is the fellowship's core outcome. By Cycle 2, teachers run the Stress-Test on a second assessment with no facilitator involvement. This is how the fellowship turns a coaching relationship into a transferable capacity.</w:t>
      </w:r>
    </w:p>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7.6  The Fellowship as a Learning Arc — Key Moments and Milestones</w:t>
      </w:r>
    </w:p>
    <w:p>
      <w:pPr>
        <w:keepLines/>
        <w:spacing w:after="160" w:line="280"/>
      </w:pPr>
      <w:r>
        <w:rPr>
          <w:rFonts w:ascii="Georgia" w:cs="Georgia" w:eastAsia="Georgia" w:hAnsi="Georgia"/>
          <w:sz w:val="24"/>
          <w:szCs w:val="24"/>
        </w:rPr>
        <w:t xml:space="preserve">Every scheduled touchpoint, format, duration, and output:</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760"/>
        <w:gridCol w:w="1760"/>
        <w:gridCol w:w="1440"/>
        <w:gridCol w:w="2960"/>
      </w:tblGrid>
      <w:tr>
        <w:trPr>
          <w:cantSplit/>
        </w:trPr>
        <w:tc>
          <w:tcPr>
            <w:tcW w:type="dxa" w:w="144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Month</w:t>
            </w:r>
          </w:p>
        </w:tc>
        <w:tc>
          <w:tcPr>
            <w:tcW w:type="dxa" w:w="176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Event</w:t>
            </w:r>
          </w:p>
        </w:tc>
        <w:tc>
          <w:tcPr>
            <w:tcW w:type="dxa" w:w="176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Format</w:t>
            </w:r>
          </w:p>
        </w:tc>
        <w:tc>
          <w:tcPr>
            <w:tcW w:type="dxa" w:w="144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Duration</w:t>
            </w:r>
          </w:p>
        </w:tc>
        <w:tc>
          <w:tcPr>
            <w:tcW w:type="dxa" w:w="296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Role &amp; Output</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August Wk 1</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Launch + Audit 1</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Full cohort</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60 min</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Cajina introduces Disappearing Learning Protocol and AI-TPACK. Live audit model. Teachers select first assessment. Output: first assessment identified.</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Aug Wks 2–4</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Redesign 1 (Async)</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Individual + written</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~1 hr</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redesigns assessment. Cajina provides written feedback: Does this make disciplinary thinking visible? Is the SAIL level a pedagogical decision?</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Sep Wks 1–3</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Enactment 1</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Classroom</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 time</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enacts with students. Student reasoning artifacts collected.</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Sep Wk 4</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Artifact Submission</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Async</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30 min</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uploads 2–3 student artifacts with brief reflection. Cajina reviews before PLC.</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Oct Wk 2</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PLC Cycle 1</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Full cohort</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30 min</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Cajina facilitates artifact-centered inquiry. First epistemological tension surfaced. Output: each teacher names one redesign priority.</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Oct–Nov</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Redesign 2</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Async + written</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~1 hr</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revises based on PLC and Cajina feedback. Second iteration designed.</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Nov Wks 2–4</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Enactment 2</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Classroom</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 time</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Second round enacted. Artifacts collected for iteration comparison.</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Dec Wk 1</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Midpoint 1:1s</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Individual</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20 min each</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Cajina meets each teacher. Reviews iteration arc. Names ethical tensions in their discipline. Output: adjusted plan for second half.</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Dec Wk 2</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Midpoint Survey</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Async</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15 min</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survey on AI-TPACK growth, design confidence, intellectual labour visibility.</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Jan Wks 1–3</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Audit 2 (Independent)</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Individual</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~1 hr</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audits second assessment independently. Tests transfer. Cajina reviews. Output: independent I-CK application documented.</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Feb Wks 1–3</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VSR Cycles</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Individual</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30 min each</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Each teacher shares a video clip. Cajina co-analyzes. Names hinge point, instructional regression, one actionable change.</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Mar Wk 2</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PLC Cycle 2</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Full cohort</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30 min</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Cross-disciplinary noticing. Second epistemological tension. Output: Knowledge Hub exemplar nominations.</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Mar–Apr</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Enactment 3 (Optional)</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Classroom</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 time</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Teachers with capacity implement third iteration. Voluntary, workload-dependent. Cajina available for async feedback.</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Apr Wks 2–4</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Knowledge Hub</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Async</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~1 hr</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uploads 2–4 exemplars with full documentation to Cognitive Agency Knowledge Hub (NotebookLM).</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May Wks 1–2</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Year 2 Planning + 1:1s</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Individual</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20 min each</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Each teacher identifies one improvement. Cajina documents cross-cohort patterns for AI Task Force Handoff.</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Jun Wk 1</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Showcase + Handoff</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Full cohort + CNG community</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∼90 min</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Each teacher presents iteration arc, hinge point, redesign. Cajina presents cross-cohort findings and AI Task Force Handoff Package. Output: public record; handoff complete.</w:t>
            </w:r>
          </w:p>
        </w:tc>
      </w:tr>
    </w:tbl>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7.4a  Communication Check-In Schedule</w:t>
      </w:r>
    </w:p>
    <w:p>
      <w:pPr>
        <w:keepLines/>
        <w:spacing w:after="160" w:line="280"/>
      </w:pPr>
      <w:r>
        <w:rPr>
          <w:rFonts w:ascii="Georgia" w:cs="Georgia" w:eastAsia="Georgia" w:hAnsi="Georgia"/>
          <w:sz w:val="24"/>
          <w:szCs w:val="24"/>
        </w:rPr>
        <w:t xml:space="preserve">Beyond scheduled touchpoints, the fellowship includes structured </w:t>
      </w:r>
      <w:r>
        <w:rPr>
          <w:rFonts w:ascii="Georgia" w:cs="Georgia" w:eastAsia="Georgia" w:hAnsi="Georgia"/>
          <w:b/>
          <w:bCs/>
          <w:sz w:val="24"/>
          <w:szCs w:val="24"/>
        </w:rPr>
        <w:t xml:space="preserve">async check-in moments</w:t>
      </w:r>
      <w:r>
        <w:rPr>
          <w:rFonts w:ascii="Georgia" w:cs="Georgia" w:eastAsia="Georgia" w:hAnsi="Georgia"/>
          <w:sz w:val="24"/>
          <w:szCs w:val="24"/>
        </w:rPr>
        <w:t xml:space="preserve"> at specific points in the year. These are brief — a short message or voice note, not a meeting — and serve two purposes: checking workload and wellbeing, and catching confusion or resistance before it compounds. They reflect Principle 11 from Whitman and Kelleher (2016): chronic stress impairs learning, and this fellowship is designed for real teachers in real schools.</w:t>
      </w:r>
    </w:p>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Check-In Moment</w:t>
            </w:r>
          </w:p>
        </w:tc>
        <w:tc>
          <w:tcPr>
            <w:tcW w:type="dxa" w:w="65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Purpose and Method</w:t>
            </w:r>
          </w:p>
        </w:tc>
      </w:tr>
      <w:tr>
        <w:trPr>
          <w:cantSplit/>
        </w:trPr>
        <w:tc>
          <w:tcPr>
            <w:tcW w:type="dxa" w:w="28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After Enactment 1
(late September)</w:t>
            </w:r>
          </w:p>
        </w:tc>
        <w:tc>
          <w:tcPr>
            <w:tcW w:type="dxa" w:w="65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Cajina sends brief async message: How did it go? What surprised you? What would you do differently? No formal response required — teachers may reply with a voice note, a few lines, or simply note it in their reflection. Purpose: catch early friction before Redesign 2.</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After Redesign 2
(mid-November)</w:t>
            </w:r>
          </w:p>
        </w:tc>
        <w:tc>
          <w:tcPr>
            <w:tcW w:type="dxa" w:w="65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Cajina checks in on workload: Is the pace sustainable? Are the feedback cycles useful? Any support needed before PLC Cycle 2? Purpose: explicit permission to flag problems rather than persist silently.</w:t>
            </w:r>
          </w:p>
        </w:tc>
      </w:tr>
      <w:tr>
        <w:trPr>
          <w:cantSplit/>
        </w:trPr>
        <w:tc>
          <w:tcPr>
            <w:tcW w:type="dxa" w:w="28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After VSR Cycle
(late February)</w:t>
            </w:r>
          </w:p>
        </w:tc>
        <w:tc>
          <w:tcPr>
            <w:tcW w:type="dxa" w:w="65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Cajina checks in on the VSR experience: Was reviewing your own video useful or uncomfortable? What did you notice about yourself as a teacher? Purpose: VSR can surface unexpected feelings about one’s own practice — this check-in normalizes that.</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Before Knowledge Hub Contribution
(early April)</w:t>
            </w:r>
          </w:p>
        </w:tc>
        <w:tc>
          <w:tcPr>
            <w:tcW w:type="dxa" w:w="65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Cajina checks in on exemplar selection: Are you confident choosing your best work? Any exemplars you’re unsure about? Purpose: teachers with the most growth often undervalue their best artifacts.</w:t>
            </w:r>
          </w:p>
        </w:tc>
      </w:tr>
      <w:tr>
        <w:trPr>
          <w:cantSplit/>
        </w:trPr>
        <w:tc>
          <w:tcPr>
            <w:tcW w:type="dxa" w:w="28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Before Showcase
(late May)</w:t>
            </w:r>
          </w:p>
        </w:tc>
        <w:tc>
          <w:tcPr>
            <w:tcW w:type="dxa" w:w="65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Cajina checks in on presentation readiness: What’s the one thing you most want the CNG community to understand from your year? Purpose: narrative preparation, not slide preparation — grounded in what the teacher actually learned.</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7.5  Decision Rules for Visible Reasoning</w:t>
      </w:r>
    </w:p>
    <w:p>
      <w:pPr>
        <w:keepLines/>
        <w:spacing w:after="160" w:line="280"/>
      </w:pPr>
      <w:r>
        <w:rPr>
          <w:rFonts w:ascii="Georgia" w:cs="Georgia" w:eastAsia="Georgia" w:hAnsi="Georgia"/>
          <w:sz w:val="24"/>
          <w:szCs w:val="24"/>
        </w:rPr>
        <w:t xml:space="preserve">Visible reasoning is strategic, not universal. </w:t>
      </w:r>
      <w:r>
        <w:rPr>
          <w:rFonts w:ascii="Georgia" w:cs="Georgia" w:eastAsia="Georgia" w:hAnsi="Georgia"/>
          <w:i/>
          <w:iCs/>
          <w:sz w:val="24"/>
          <w:szCs w:val="24"/>
        </w:rPr>
        <w:t xml:space="preserve">No AI and Full AI are not moral opposites.</w:t>
      </w:r>
      <w:r>
        <w:rPr>
          <w:rFonts w:ascii="Georgia" w:cs="Georgia" w:eastAsia="Georgia" w:hAnsi="Georgia"/>
          <w:sz w:val="24"/>
          <w:szCs w:val="24"/>
        </w:rPr>
        <w:t xml:space="preserve"> The question is whether the task design still captures the intended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Condition</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Guidance</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Use VR when…</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AI can bypass threshold concept learning; reasoning quality matters more than product quality; misconceptions are likely hidden in polished outputs; transfer is a key outcome</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Do not require VR when…</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Task focuses on routine fluency; reflection adds workload without learning benefit; thinking is already visible through another evidence form; students would experience reflection fatigue</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7.6  No-AI Alternatives, Student Choice, and UDL</w:t>
      </w:r>
    </w:p>
    <w:p>
      <w:pPr>
        <w:keepLines/>
        <w:spacing w:after="160" w:line="280"/>
      </w:pPr>
      <w:r>
        <w:rPr>
          <w:rFonts w:ascii="Georgia" w:cs="Georgia" w:eastAsia="Georgia" w:hAnsi="Georgia"/>
          <w:sz w:val="24"/>
          <w:szCs w:val="24"/>
        </w:rPr>
        <w:t xml:space="preserve">Some students will choose not to use AI for reasons of personal conviction, family values, religious belief, or simply preference. Under Universal Design for Learning principles (CAST, 2018), </w:t>
      </w:r>
      <w:r>
        <w:rPr>
          <w:rFonts w:ascii="Georgia" w:cs="Georgia" w:eastAsia="Georgia" w:hAnsi="Georgia"/>
          <w:b/>
          <w:bCs/>
          <w:sz w:val="24"/>
          <w:szCs w:val="24"/>
        </w:rPr>
        <w:t xml:space="preserve">this is not an exception to manage — it is a design requirement</w:t>
      </w:r>
      <w:r>
        <w:rPr>
          <w:rFonts w:ascii="Georgia" w:cs="Georgia" w:eastAsia="Georgia" w:hAnsi="Georgia"/>
          <w:sz w:val="24"/>
          <w:szCs w:val="24"/>
        </w:rPr>
        <w:t xml:space="preserve">. Every assessment redesigned through the fellowship must include a viable non-AI pathway that meets the same learning goal.</w:t>
      </w:r>
    </w:p>
    <w:p>
      <w:pPr>
        <w:keepLines/>
        <w:spacing w:after="160" w:line="280"/>
      </w:pPr>
      <w:r>
        <w:rPr>
          <w:rFonts w:ascii="Georgia" w:cs="Georgia" w:eastAsia="Georgia" w:hAnsi="Georgia"/>
          <w:sz w:val="24"/>
          <w:szCs w:val="24"/>
        </w:rPr>
        <w:t xml:space="preserve">This is not about creating a two-tier system. A student who completes a task without AI and a student who completes it with AI and documents their reasoning should both be demonstrating the same disciplinary capacity. If the task has been reviewed through VISTA, the task without AI is not harder or easier — it is the original. The task should require genuine thinking whether or not AI is available. If the non-AI version is significantly harder, the AI-assisted version has a design problem.</w:t>
      </w:r>
    </w:p>
    <w:p>
      <w:pPr>
        <w:keepLines/>
        <w:spacing w:after="160" w:line="280"/>
      </w:pPr>
      <w:r>
        <w:rPr>
          <w:rFonts w:ascii="Georgia" w:cs="Georgia" w:eastAsia="Georgia" w:hAnsi="Georgia"/>
          <w:sz w:val="24"/>
          <w:szCs w:val="24"/>
        </w:rPr>
        <w:t xml:space="preserve">AI literacy itself can be taught without requiring students to use AI. Teachers can model AI use, share AI outputs for analysis, engage students in evaluating AI-generated work, and discuss the nature and limits of generative AI — all without requiring students to generate AI outputs themselves. UDL principles support multiple means of engagement with the same learning goals. </w:t>
      </w:r>
      <w:r>
        <w:rPr>
          <w:rFonts w:ascii="Georgia" w:cs="Georgia" w:eastAsia="Georgia" w:hAnsi="Georgia"/>
          <w:b/>
          <w:bCs/>
          <w:sz w:val="24"/>
          <w:szCs w:val="24"/>
        </w:rPr>
        <w:t xml:space="preserve">Respecting student choice about AI is not a compromise of the fellowship’s goals. It is the fellowship’s commitment to human-centered learning made concrete.</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7.7  Multiple Ways of Knowing</w:t>
      </w:r>
    </w:p>
    <w:p>
      <w:pPr>
        <w:keepLines/>
        <w:spacing w:after="160" w:line="280"/>
      </w:pPr>
      <w:r>
        <w:rPr>
          <w:rFonts w:ascii="Georgia" w:cs="Georgia" w:eastAsia="Georgia" w:hAnsi="Georgia"/>
          <w:sz w:val="24"/>
          <w:szCs w:val="24"/>
        </w:rPr>
        <w:t xml:space="preserve">The fellowship applies Universal Design for Learning (CAST, 2018) as its accessibility framework. Interpretable evidence is accepted in multiple modes: verbal, written, visual, computational, </w:t>
      </w:r>
      <w:r>
        <w:rPr>
          <w:rFonts w:ascii="Georgia" w:cs="Georgia" w:eastAsia="Georgia" w:hAnsi="Georgia"/>
          <w:b/>
          <w:bCs/>
          <w:sz w:val="24"/>
          <w:szCs w:val="24"/>
        </w:rPr>
        <w:t xml:space="preserve">embodied, artistic, and creative</w:t>
      </w:r>
      <w:r>
        <w:rPr>
          <w:rFonts w:ascii="Georgia" w:cs="Georgia" w:eastAsia="Georgia" w:hAnsi="Georgia"/>
          <w:sz w:val="24"/>
          <w:szCs w:val="24"/>
        </w:rPr>
        <w:t xml:space="preserve">. Interaction traces — revision histories, making logs, prompt sequences — are explicitly valued alongside verbal explanation. The quality of reasoning is assessed, not the mode of expression.</w:t>
      </w:r>
    </w:p>
    <w:p>
      <w:pPr>
        <w:pStyle w:val="Heading2"/>
        <w:keepNext/>
        <w:spacing w:after="120" w:before="280"/>
      </w:pPr>
      <w:r>
        <w:rPr>
          <w:rFonts w:ascii="Arial" w:cs="Arial" w:eastAsia="Arial" w:hAnsi="Arial"/>
          <w:b/>
          <w:bCs/>
          <w:color w:val="2E7D8C"/>
          <w:sz w:val="26"/>
          <w:szCs w:val="26"/>
        </w:rPr>
        <w:t xml:space="preserve">7.8  Teacher-Friendly Language</w:t>
      </w:r>
    </w:p>
    <w:p>
      <w:pPr>
        <w:keepLines/>
        <w:spacing w:after="160" w:line="280"/>
      </w:pPr>
      <w:r>
        <w:rPr>
          <w:rFonts w:ascii="Georgia" w:cs="Georgia" w:eastAsia="Georgia" w:hAnsi="Georgia"/>
          <w:sz w:val="24"/>
          <w:szCs w:val="24"/>
        </w:rPr>
        <w:t xml:space="preserve">The theoretical constructs in this proposal are the academic framing for design and research. In practice, during PLC sessions and everyday teacher conversation, accessible language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cantSplit/>
        </w:trPr>
        <w:tc>
          <w:tcPr>
            <w:tcW w:type="dxa" w:w="432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Academic Term</w:t>
            </w:r>
          </w:p>
        </w:tc>
        <w:tc>
          <w:tcPr>
            <w:tcW w:type="dxa" w:w="504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Teacher-Facing Language</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AI-TPACK</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Does AI handle my subject’s knowledge structures the way I do?</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Ethical TPACK</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Should I use AI here — and what could go wrong?</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Contextual Knowledge (XK)</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Will this work with my students, at CNG, right now?</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HAIC-K</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How do I set up the task so students stay in charge of the thinking?</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VISTA Protocol</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If AI did this perfectly, what learning would disappear?</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Interpretable Evidence</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What would I see that tells me the student actually understood?</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Visible Reasoning</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How can I make thinking visible — not just the answer?</w:t>
            </w:r>
          </w:p>
        </w:tc>
      </w:tr>
    </w:tbl>
    <w:p>
      <w:pPr>
        <w:keepNext/>
        <w:spacing w:after="16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8. CNG Tool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Guiding Principle</w:t>
            </w:r>
          </w:p>
          <w:p>
            <w:pPr>
              <w:spacing w:after="0"/>
            </w:pPr>
            <w:r>
              <w:rPr>
                <w:rFonts w:ascii="Georgia" w:cs="Georgia" w:eastAsia="Georgia" w:hAnsi="Georgia"/>
                <w:sz w:val="24"/>
                <w:szCs w:val="24"/>
              </w:rPr>
              <w:t xml:space="preserve">Tools should be selected according to the thinking being developed. Not vice versa.</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Three institutionally supported tools serve distinct pedagogical roles — described here as functions rather than platforms, because the function is what matters:</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2400"/>
        <w:gridCol w:w="3360"/>
      </w:tblGrid>
      <w:tr>
        <w:trPr>
          <w:cantSplit/>
        </w:trPr>
        <w:tc>
          <w:tcPr>
            <w:tcW w:type="dxa" w:w="168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Tool</w:t>
            </w:r>
          </w:p>
        </w:tc>
        <w:tc>
          <w:tcPr>
            <w:tcW w:type="dxa" w:w="192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Pedagogical Role</w:t>
            </w:r>
          </w:p>
        </w:tc>
        <w:tc>
          <w:tcPr>
            <w:tcW w:type="dxa" w:w="24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Use When</w:t>
            </w:r>
          </w:p>
        </w:tc>
        <w:tc>
          <w:tcPr>
            <w:tcW w:type="dxa" w:w="336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Risks: Fluency, Bias, Privacy</w:t>
            </w:r>
          </w:p>
        </w:tc>
      </w:tr>
      <w:tr>
        <w:trPr>
          <w:cantSplit/>
        </w:trPr>
        <w:tc>
          <w:tcPr>
            <w:tcW w:type="dxa" w:w="168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b/>
                <w:bCs/>
                <w:sz w:val="22"/>
                <w:szCs w:val="22"/>
              </w:rPr>
              <w:t xml:space="preserve">Gemini Education
(ChatGPT / Claude as alternatives)</w:t>
            </w:r>
          </w:p>
        </w:tc>
        <w:tc>
          <w:tcPr>
            <w:tcW w:type="dxa" w:w="192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i/>
                <w:iCs/>
                <w:sz w:val="22"/>
                <w:szCs w:val="22"/>
              </w:rPr>
              <w:t xml:space="preserve">Divergent Thinking Partner
Brainstorming, perspective-taking, critique generation</w:t>
            </w:r>
          </w:p>
        </w:tc>
        <w:tc>
          <w:tcPr>
            <w:tcW w:type="dxa" w:w="240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sz w:val="22"/>
                <w:szCs w:val="22"/>
              </w:rPr>
              <w:t xml:space="preserve">Generating alternatives; exploring perspectives; producing material for student critique</w:t>
            </w:r>
          </w:p>
        </w:tc>
        <w:tc>
          <w:tcPr>
            <w:tcW w:type="dxa" w:w="336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sz w:val="22"/>
                <w:szCs w:val="22"/>
              </w:rPr>
              <w:t xml:space="preserve">Fluency illusion; premature closure; bias reproduction (training data reflects dominant perspectives); privacy (no PII in prompts)</w:t>
            </w:r>
          </w:p>
        </w:tc>
      </w:tr>
      <w:tr>
        <w:trPr>
          <w:cantSplit/>
        </w:trPr>
        <w:tc>
          <w:tcPr>
            <w:tcW w:type="dxa" w:w="1680"/>
            <w:tcBorders>
              <w:top w:val="single" w:color="C5DCE4" w:sz="4"/>
              <w:left w:val="single" w:color="C5DCE4" w:sz="4"/>
              <w:bottom w:val="single" w:color="C5DCE4" w:sz="4"/>
              <w:right w:val="single" w:color="C5DCE4" w:sz="4"/>
            </w:tcBorders>
            <w:shd w:fill="FFFFFF" w:val="clear"/>
            <w:tcMar>
              <w:top w:type="dxa" w:w="80"/>
              <w:left w:type="dxa" w:w="120"/>
              <w:bottom w:type="dxa" w:w="80"/>
              <w:right w:type="dxa" w:w="120"/>
            </w:tcMar>
          </w:tcPr>
          <w:p>
            <w:pPr>
              <w:spacing w:after="0"/>
            </w:pPr>
            <w:r>
              <w:rPr>
                <w:rFonts w:ascii="Georgia" w:cs="Georgia" w:eastAsia="Georgia" w:hAnsi="Georgia"/>
                <w:b/>
                <w:bCs/>
                <w:sz w:val="22"/>
                <w:szCs w:val="22"/>
              </w:rPr>
              <w:t xml:space="preserve">NotebookLM</w:t>
            </w:r>
          </w:p>
        </w:tc>
        <w:tc>
          <w:tcPr>
            <w:tcW w:type="dxa" w:w="1920"/>
            <w:tcBorders>
              <w:top w:val="single" w:color="C5DCE4" w:sz="4"/>
              <w:left w:val="single" w:color="C5DCE4" w:sz="4"/>
              <w:bottom w:val="single" w:color="C5DCE4" w:sz="4"/>
              <w:right w:val="single" w:color="C5DCE4" w:sz="4"/>
            </w:tcBorders>
            <w:shd w:fill="FFFFFF" w:val="clear"/>
            <w:tcMar>
              <w:top w:type="dxa" w:w="80"/>
              <w:left w:type="dxa" w:w="120"/>
              <w:bottom w:type="dxa" w:w="80"/>
              <w:right w:type="dxa" w:w="120"/>
            </w:tcMar>
          </w:tcPr>
          <w:p>
            <w:pPr>
              <w:spacing w:after="0"/>
            </w:pPr>
            <w:r>
              <w:rPr>
                <w:rFonts w:ascii="Georgia" w:cs="Georgia" w:eastAsia="Georgia" w:hAnsi="Georgia"/>
                <w:i/>
                <w:iCs/>
                <w:sz w:val="22"/>
                <w:szCs w:val="22"/>
              </w:rPr>
              <w:t xml:space="preserve">Knowledge Hub &amp; Evidence Grounding Partner
Source triangulation, institutional memory</w:t>
            </w:r>
          </w:p>
        </w:tc>
        <w:tc>
          <w:tcPr>
            <w:tcW w:type="dxa" w:w="2400"/>
            <w:tcBorders>
              <w:top w:val="single" w:color="C5DCE4" w:sz="4"/>
              <w:left w:val="single" w:color="C5DCE4" w:sz="4"/>
              <w:bottom w:val="single" w:color="C5DCE4" w:sz="4"/>
              <w:right w:val="single" w:color="C5DCE4" w:sz="4"/>
            </w:tcBorders>
            <w:shd w:fill="FFFFFF" w:val="clear"/>
            <w:tcMar>
              <w:top w:type="dxa" w:w="80"/>
              <w:left w:type="dxa" w:w="120"/>
              <w:bottom w:type="dxa" w:w="80"/>
              <w:right w:type="dxa" w:w="120"/>
            </w:tcMar>
          </w:tcPr>
          <w:p>
            <w:pPr>
              <w:spacing w:after="0"/>
            </w:pPr>
            <w:r>
              <w:rPr>
                <w:rFonts w:ascii="Georgia" w:cs="Georgia" w:eastAsia="Georgia" w:hAnsi="Georgia"/>
                <w:sz w:val="22"/>
                <w:szCs w:val="22"/>
              </w:rPr>
              <w:t xml:space="preserve">Grounding claims in specified sources; source triangulation; evidence synthesis; SRP research preparation; PLC knowledge archiving</w:t>
            </w:r>
          </w:p>
        </w:tc>
        <w:tc>
          <w:tcPr>
            <w:tcW w:type="dxa" w:w="3360"/>
            <w:tcBorders>
              <w:top w:val="single" w:color="C5DCE4" w:sz="4"/>
              <w:left w:val="single" w:color="C5DCE4" w:sz="4"/>
              <w:bottom w:val="single" w:color="C5DCE4" w:sz="4"/>
              <w:right w:val="single" w:color="C5DCE4" w:sz="4"/>
            </w:tcBorders>
            <w:shd w:fill="FFFFFF" w:val="clear"/>
            <w:tcMar>
              <w:top w:type="dxa" w:w="80"/>
              <w:left w:type="dxa" w:w="120"/>
              <w:bottom w:type="dxa" w:w="80"/>
              <w:right w:type="dxa" w:w="120"/>
            </w:tcMar>
          </w:tcPr>
          <w:p>
            <w:pPr>
              <w:spacing w:after="0"/>
            </w:pPr>
            <w:r>
              <w:rPr>
                <w:rFonts w:ascii="Georgia" w:cs="Georgia" w:eastAsia="Georgia" w:hAnsi="Georgia"/>
                <w:sz w:val="22"/>
                <w:szCs w:val="22"/>
              </w:rPr>
              <w:t xml:space="preserve">Source overreliance; false confidence; equity gap (source diversity shapes analysis quality)</w:t>
            </w:r>
          </w:p>
        </w:tc>
      </w:tr>
      <w:tr>
        <w:trPr>
          <w:cantSplit/>
        </w:trPr>
        <w:tc>
          <w:tcPr>
            <w:tcW w:type="dxa" w:w="168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b/>
                <w:bCs/>
                <w:sz w:val="22"/>
                <w:szCs w:val="22"/>
              </w:rPr>
              <w:t xml:space="preserve">Flint (teacher-discretion tool)</w:t>
            </w:r>
          </w:p>
        </w:tc>
        <w:tc>
          <w:tcPr>
            <w:tcW w:type="dxa" w:w="192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i/>
                <w:iCs/>
                <w:sz w:val="22"/>
                <w:szCs w:val="22"/>
              </w:rPr>
              <w:t xml:space="preserve">Structured Inquiry Partner
Guided questioning, visible reasoning</w:t>
            </w:r>
          </w:p>
        </w:tc>
        <w:tc>
          <w:tcPr>
            <w:tcW w:type="dxa" w:w="240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sz w:val="22"/>
                <w:szCs w:val="22"/>
              </w:rPr>
              <w:t xml:space="preserve">Structured inquiry and Socratic coaching; teacher-designed learning experiences; assessment contexts with teacher-set parameters</w:t>
            </w:r>
          </w:p>
        </w:tc>
        <w:tc>
          <w:tcPr>
            <w:tcW w:type="dxa" w:w="336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sz w:val="22"/>
                <w:szCs w:val="22"/>
              </w:rPr>
              <w:t xml:space="preserve">Over-scaffolding; compliance orientation; design bias (teacher parameters shape what thinking is valued)</w:t>
            </w:r>
          </w:p>
        </w:tc>
      </w:tr>
    </w:tbl>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8.1  Technology Position Statement</w:t>
      </w:r>
    </w:p>
    <w:p>
      <w:pPr>
        <w:keepLines/>
        <w:spacing w:after="160" w:line="280"/>
      </w:pPr>
      <w:r>
        <w:rPr>
          <w:rFonts w:ascii="Georgia" w:cs="Georgia" w:eastAsia="Georgia" w:hAnsi="Georgia"/>
          <w:sz w:val="24"/>
          <w:szCs w:val="24"/>
        </w:rPr>
        <w:t xml:space="preserve">This fellowship is intentionally </w:t>
      </w:r>
      <w:r>
        <w:rPr>
          <w:rFonts w:ascii="Georgia" w:cs="Georgia" w:eastAsia="Georgia" w:hAnsi="Georgia"/>
          <w:b/>
          <w:bCs/>
          <w:sz w:val="24"/>
          <w:szCs w:val="24"/>
        </w:rPr>
        <w:t xml:space="preserve">tool-agnostic</w:t>
      </w:r>
      <w:r>
        <w:rPr>
          <w:rFonts w:ascii="Georgia" w:cs="Georgia" w:eastAsia="Georgia" w:hAnsi="Georgia"/>
          <w:sz w:val="24"/>
          <w:szCs w:val="24"/>
        </w:rPr>
        <w:t xml:space="preserve">. Assessment routines are designed to remain valid regardless of future technological changes. When better tools become available, the HCAP question provides the evaluation criterion: does this serve human learning, or does it substitute for it?</w:t>
      </w:r>
    </w:p>
    <w:p>
      <w:pPr>
        <w:keepLines/>
        <w:spacing w:after="160" w:line="280"/>
      </w:pPr>
      <w:r>
        <w:rPr>
          <w:rFonts w:ascii="Georgia" w:cs="Georgia" w:eastAsia="Georgia" w:hAnsi="Georgia"/>
          <w:b/>
          <w:bCs/>
          <w:sz w:val="24"/>
          <w:szCs w:val="24"/>
        </w:rPr>
        <w:t xml:space="preserve">Embedded ethics is not a separate step.</w:t>
      </w:r>
      <w:r>
        <w:rPr>
          <w:rFonts w:ascii="Georgia" w:cs="Georgia" w:eastAsia="Georgia" w:hAnsi="Georgia"/>
          <w:sz w:val="24"/>
          <w:szCs w:val="24"/>
        </w:rPr>
        <w:t xml:space="preserve"> Every tool integration is evaluated for bias in outputs, data privacy implications, and equitable design — embedded in the Assessment Audit, the Disclosure Protocol, and every PLC.</w:t>
      </w:r>
    </w:p>
    <w:p>
      <w:pPr>
        <w:pStyle w:val="Heading2"/>
        <w:keepNext/>
        <w:spacing w:after="120" w:before="280"/>
      </w:pPr>
      <w:r>
        <w:rPr>
          <w:rFonts w:ascii="Arial" w:cs="Arial" w:eastAsia="Arial" w:hAnsi="Arial"/>
          <w:b/>
          <w:bCs/>
          <w:color w:val="2E7D8C"/>
          <w:sz w:val="26"/>
          <w:szCs w:val="26"/>
        </w:rPr>
        <w:t xml:space="preserve">8.2  Backwards Design as the Iteration Logic</w:t>
      </w:r>
    </w:p>
    <w:p>
      <w:pPr>
        <w:keepLines/>
        <w:spacing w:after="160" w:line="280"/>
      </w:pPr>
      <w:r>
        <w:rPr>
          <w:rFonts w:ascii="Georgia" w:cs="Georgia" w:eastAsia="Georgia" w:hAnsi="Georgia"/>
          <w:sz w:val="24"/>
          <w:szCs w:val="24"/>
        </w:rPr>
        <w:t xml:space="preserve">Every iteration in the fellowship is structured around backwards design (Wiggins &amp; McTighe, 1998, 2005): teachers begin by identifying the specific disciplinary capacity the task is designed to develop, define what interpretable evidence of that capacity would look like in student work, and only then examine whether the current task design actually requires students to demonstrate it. The VISTA audit operationalizes this sequence explicitly: Step 1 asks teachers to name the learning and describe the evidence </w:t>
      </w:r>
      <w:r>
        <w:rPr>
          <w:rFonts w:ascii="Georgia" w:cs="Georgia" w:eastAsia="Georgia" w:hAnsi="Georgia"/>
          <w:i/>
          <w:iCs/>
          <w:sz w:val="24"/>
          <w:szCs w:val="24"/>
        </w:rPr>
        <w:t xml:space="preserve">before</w:t>
      </w:r>
      <w:r>
        <w:rPr>
          <w:rFonts w:ascii="Georgia" w:cs="Georgia" w:eastAsia="Georgia" w:hAnsi="Georgia"/>
          <w:sz w:val="24"/>
          <w:szCs w:val="24"/>
        </w:rPr>
        <w:t xml:space="preserve"> asking anything about AI.</w:t>
      </w:r>
    </w:p>
    <w:p>
      <w:pPr>
        <w:keepLines/>
        <w:spacing w:after="160" w:line="280"/>
      </w:pPr>
      <w:r>
        <w:rPr>
          <w:rFonts w:ascii="Georgia" w:cs="Georgia" w:eastAsia="Georgia" w:hAnsi="Georgia"/>
          <w:sz w:val="24"/>
          <w:szCs w:val="24"/>
        </w:rPr>
        <w:t xml:space="preserve">Backwards design reveals a structural problem in AI-rich environments: many tasks were originally designed for a pre-AI context and were often not rigorously evidence-first to begin with. AI does not create the problem of tasks that don’t require the thinking they claim to require — it makes the problem impossible to ignore. The fellowship uses that visibility as a pedagogical opportunity. Every redesign is also a backwards design exercise. Every teacher who completes an iteration cycle is developing the professional habit of starting from the question: </w:t>
      </w:r>
      <w:r>
        <w:rPr>
          <w:rFonts w:ascii="Georgia" w:cs="Georgia" w:eastAsia="Georgia" w:hAnsi="Georgia"/>
          <w:i/>
          <w:iCs/>
          <w:sz w:val="24"/>
          <w:szCs w:val="24"/>
        </w:rPr>
        <w:t xml:space="preserve">What would I see in student work that tells me this learning actually happened?</w:t>
      </w:r>
    </w:p>
    <w:p>
      <w:pPr>
        <w:keepNext/>
        <w:spacing w:after="8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9. Cognitive Agency Knowledge Hub</w:t>
      </w:r>
    </w:p>
    <w:p>
      <w:pPr>
        <w:keepLines/>
        <w:spacing w:after="160" w:line="280"/>
      </w:pPr>
      <w:r>
        <w:rPr>
          <w:rFonts w:ascii="Georgia" w:cs="Georgia" w:eastAsia="Georgia" w:hAnsi="Georgia"/>
          <w:sz w:val="24"/>
          <w:szCs w:val="24"/>
        </w:rPr>
        <w:t xml:space="preserve">The primary long-term knowledge infrastructure is the </w:t>
      </w:r>
      <w:r>
        <w:rPr>
          <w:rFonts w:ascii="Georgia" w:cs="Georgia" w:eastAsia="Georgia" w:hAnsi="Georgia"/>
          <w:b/>
          <w:bCs/>
          <w:sz w:val="24"/>
          <w:szCs w:val="24"/>
        </w:rPr>
        <w:t xml:space="preserve">Cognitive Agency Knowledge Hub</w:t>
      </w:r>
      <w:r>
        <w:rPr>
          <w:rFonts w:ascii="Georgia" w:cs="Georgia" w:eastAsia="Georgia" w:hAnsi="Georgia"/>
          <w:sz w:val="24"/>
          <w:szCs w:val="24"/>
        </w:rPr>
        <w:t xml:space="preserve"> — a shared NotebookLM workspace that evolves continuously. A document becomes outdated. A knowledge hub grows with each iteration, each new exemplar, each PLC discussion archived.</w:t>
      </w:r>
    </w:p>
    <w:p>
      <w:pPr>
        <w:keepLines/>
        <w:spacing w:after="160" w:line="280"/>
      </w:pPr>
      <w:r>
        <w:rPr>
          <w:rFonts w:ascii="Georgia" w:cs="Georgia" w:eastAsia="Georgia" w:hAnsi="Georgia"/>
          <w:sz w:val="24"/>
          <w:szCs w:val="24"/>
        </w:rPr>
        <w:t xml:space="preserve">The Hub contains:</w:t>
      </w:r>
    </w:p>
    <w:p>
      <w:pPr>
        <w:pStyle w:val="ListParagraph"/>
        <w:numPr>
          <w:ilvl w:val="0"/>
          <w:numId w:val="2"/>
        </w:numPr>
        <w:spacing w:after="100"/>
      </w:pPr>
      <w:r>
        <w:rPr>
          <w:rFonts w:ascii="Georgia" w:cs="Georgia" w:eastAsia="Georgia" w:hAnsi="Georgia"/>
          <w:sz w:val="24"/>
          <w:szCs w:val="24"/>
        </w:rPr>
        <w:t xml:space="preserve">Research library: foundational and current literature on AI-TPACK, visible reasoning, assessment design, and PLC sustainability</w:t>
      </w:r>
    </w:p>
    <w:p>
      <w:pPr>
        <w:pStyle w:val="ListParagraph"/>
        <w:numPr>
          <w:ilvl w:val="0"/>
          <w:numId w:val="2"/>
        </w:numPr>
        <w:spacing w:after="100"/>
      </w:pPr>
      <w:r>
        <w:rPr>
          <w:rFonts w:ascii="Georgia" w:cs="Georgia" w:eastAsia="Georgia" w:hAnsi="Georgia"/>
          <w:sz w:val="24"/>
          <w:szCs w:val="24"/>
        </w:rPr>
        <w:t xml:space="preserve">Annotated exemplars: student reasoning artifacts organized by discipline and evidence mode</w:t>
      </w:r>
    </w:p>
    <w:p>
      <w:pPr>
        <w:pStyle w:val="ListParagraph"/>
        <w:numPr>
          <w:ilvl w:val="0"/>
          <w:numId w:val="2"/>
        </w:numPr>
        <w:spacing w:after="100"/>
      </w:pPr>
      <w:r>
        <w:rPr>
          <w:rFonts w:ascii="Georgia" w:cs="Georgia" w:eastAsia="Georgia" w:hAnsi="Georgia"/>
          <w:sz w:val="24"/>
          <w:szCs w:val="24"/>
        </w:rPr>
        <w:t xml:space="preserve">Assessment audits: documented VISTA Protocol applications across disciplines</w:t>
      </w:r>
    </w:p>
    <w:p>
      <w:pPr>
        <w:pStyle w:val="ListParagraph"/>
        <w:numPr>
          <w:ilvl w:val="0"/>
          <w:numId w:val="2"/>
        </w:numPr>
        <w:spacing w:after="100"/>
      </w:pPr>
      <w:r>
        <w:rPr>
          <w:rFonts w:ascii="Georgia" w:cs="Georgia" w:eastAsia="Georgia" w:hAnsi="Georgia"/>
          <w:sz w:val="24"/>
          <w:szCs w:val="24"/>
        </w:rPr>
        <w:t xml:space="preserve">Visible reasoning protocols: nine protocols with purpose, use cases, and sample prompts</w:t>
      </w:r>
    </w:p>
    <w:p>
      <w:pPr>
        <w:pStyle w:val="ListParagraph"/>
        <w:numPr>
          <w:ilvl w:val="0"/>
          <w:numId w:val="2"/>
        </w:numPr>
        <w:spacing w:after="100"/>
      </w:pPr>
      <w:r>
        <w:rPr>
          <w:rFonts w:ascii="Georgia" w:cs="Georgia" w:eastAsia="Georgia" w:hAnsi="Georgia"/>
          <w:sz w:val="24"/>
          <w:szCs w:val="24"/>
        </w:rPr>
        <w:t xml:space="preserve">AI reflection and disclosure examples: authentic, avoids performative compliance</w:t>
      </w:r>
    </w:p>
    <w:p>
      <w:pPr>
        <w:pStyle w:val="ListParagraph"/>
        <w:numPr>
          <w:ilvl w:val="0"/>
          <w:numId w:val="2"/>
        </w:numPr>
        <w:spacing w:after="100"/>
      </w:pPr>
      <w:r>
        <w:rPr>
          <w:rFonts w:ascii="Georgia" w:cs="Georgia" w:eastAsia="Georgia" w:hAnsi="Georgia"/>
          <w:sz w:val="24"/>
          <w:szCs w:val="24"/>
        </w:rPr>
        <w:t xml:space="preserve">VSR examples: hinge point analysis with teacher commentary</w:t>
      </w:r>
    </w:p>
    <w:p>
      <w:pPr>
        <w:pStyle w:val="ListParagraph"/>
        <w:numPr>
          <w:ilvl w:val="0"/>
          <w:numId w:val="2"/>
        </w:numPr>
        <w:spacing w:after="100"/>
      </w:pPr>
      <w:r>
        <w:rPr>
          <w:rFonts w:ascii="Georgia" w:cs="Georgia" w:eastAsia="Georgia" w:hAnsi="Georgia"/>
          <w:sz w:val="24"/>
          <w:szCs w:val="24"/>
        </w:rPr>
        <w:t xml:space="preserve">PLC discussion archives: epistemological tension discussions and cross-disciplinary patterns</w:t>
      </w:r>
    </w:p>
    <w:p>
      <w:pPr>
        <w:pStyle w:val="ListParagraph"/>
        <w:numPr>
          <w:ilvl w:val="0"/>
          <w:numId w:val="2"/>
        </w:numPr>
        <w:spacing w:after="100"/>
      </w:pPr>
      <w:r>
        <w:rPr>
          <w:rFonts w:ascii="Georgia" w:cs="Georgia" w:eastAsia="Georgia" w:hAnsi="Georgia"/>
          <w:sz w:val="24"/>
          <w:szCs w:val="24"/>
        </w:rPr>
        <w:t xml:space="preserve">Implementation resources: AI Task Force Handoff Package, Department PLC Protocol, Curriculum Review Integration guide</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Why NotebookLM specifically: </w:t>
      </w:r>
      <w:r>
        <w:rPr>
          <w:rFonts w:ascii="Georgia" w:cs="Georgia" w:eastAsia="Georgia" w:hAnsi="Georgia"/>
          <w:sz w:val="24"/>
          <w:szCs w:val="24"/>
        </w:rPr>
        <w:t xml:space="preserve">NotebookLM enables source-grounded inquiry — teachers and Task Force members can ask questions of the Hub’s content and receive evidence-grounded responses. This models the same epistemic practices the fellowship promotes in students: ground your claims, triangulate across sources, interrogate outputs critically. The Hub does not replace teacher judgment. It supports it.</w:t>
      </w:r>
    </w:p>
    <w:p>
      <w:pPr>
        <w:pStyle w:val="Heading3"/>
        <w:keepNext/>
        <w:spacing w:after="100" w:before="200"/>
      </w:pPr>
      <w:r>
        <w:rPr>
          <w:rFonts w:ascii="Arial" w:cs="Arial" w:eastAsia="Arial" w:hAnsi="Arial"/>
          <w:b/>
          <w:bCs/>
          <w:color w:val="1B3A5C"/>
          <w:sz w:val="24"/>
          <w:szCs w:val="24"/>
        </w:rPr>
        <w:t xml:space="preserve">The Long-Term Trajectory: From Hub to Institutional Chatbot</w:t>
      </w:r>
    </w:p>
    <w:p>
      <w:pPr>
        <w:keepLines/>
        <w:spacing w:after="160" w:line="280"/>
      </w:pPr>
      <w:r>
        <w:rPr>
          <w:rFonts w:ascii="Georgia" w:cs="Georgia" w:eastAsia="Georgia" w:hAnsi="Georgia"/>
          <w:sz w:val="24"/>
          <w:szCs w:val="24"/>
        </w:rPr>
        <w:t xml:space="preserve">The Cognitive Agency Knowledge Hub is designed with a long-term trajectory in mind. In its early form it is a shared NotebookLM workspace. Over time, as it accumulates research, exemplars, audits, PLC archives, and implementation experience, it develops into something more powerful: a </w:t>
      </w:r>
      <w:r>
        <w:rPr>
          <w:rFonts w:ascii="Georgia" w:cs="Georgia" w:eastAsia="Georgia" w:hAnsi="Georgia"/>
          <w:b/>
          <w:bCs/>
          <w:sz w:val="24"/>
          <w:szCs w:val="24"/>
        </w:rPr>
        <w:t xml:space="preserve">CNG institutional AI chatbot</w:t>
      </w:r>
      <w:r>
        <w:rPr>
          <w:rFonts w:ascii="Georgia" w:cs="Georgia" w:eastAsia="Georgia" w:hAnsi="Georgia"/>
          <w:sz w:val="24"/>
          <w:szCs w:val="24"/>
        </w:rPr>
        <w:t xml:space="preserve"> — a queryable knowledge base that any teacher, department chair, or administrator can interrogate to get evidence-grounded guidance on assessment design in AI-rich classrooms.</w:t>
      </w:r>
    </w:p>
    <w:p>
      <w:pPr>
        <w:keepLines/>
        <w:spacing w:after="160" w:line="280"/>
      </w:pPr>
      <w:r>
        <w:rPr>
          <w:rFonts w:ascii="Georgia" w:cs="Georgia" w:eastAsia="Georgia" w:hAnsi="Georgia"/>
          <w:sz w:val="24"/>
          <w:szCs w:val="24"/>
        </w:rPr>
        <w:t xml:space="preserve">The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Stage</w:t>
            </w:r>
          </w:p>
        </w:tc>
        <w:tc>
          <w:tcPr>
            <w:tcW w:type="dxa" w:w="69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Hub Capacity</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1</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Shared NotebookLM workspace. Five teachers contributing. Research library and first exemplars. AI Task Force members as co-stewards.</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2</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Growing repository across divisions. Department PLC archives added. Cross-disciplinary patterns documented. Task Force queries the Hub to prepare facilitation.</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3</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LC, Makerspace, and support faculty contributions. Multimodal and UDL-adapted exemplars. Hub begins to serve as onboarding resource for new teachers.</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4</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Institutional integration. The Hub is embedded in departmental curriculum review. Any teacher at CNG can query it: What does the evidence say about visible reasoning in mathematics? What exemplars exist for science CER tasks? What does the research say about AI and embodied learning?</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Beyond Year 4</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The Hub evolves toward a fully queryable CNG institutional chatbot — trained on CNG’s own professional learning, assessment research, exemplars, and disciplinary science of teaching literature. It becomes a living institutional memory that grows smarter with every cohort, every PLC discussion, every redesign decision documented.</w:t>
            </w:r>
          </w:p>
        </w:tc>
      </w:tr>
    </w:tbl>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trajectory is not a technology ambition. It is a </w:t>
      </w:r>
      <w:r>
        <w:rPr>
          <w:rFonts w:ascii="Georgia" w:cs="Georgia" w:eastAsia="Georgia" w:hAnsi="Georgia"/>
          <w:b/>
          <w:bCs/>
          <w:sz w:val="24"/>
          <w:szCs w:val="24"/>
        </w:rPr>
        <w:t xml:space="preserve">learning organization ambition</w:t>
      </w:r>
      <w:r>
        <w:rPr>
          <w:rFonts w:ascii="Georgia" w:cs="Georgia" w:eastAsia="Georgia" w:hAnsi="Georgia"/>
          <w:sz w:val="24"/>
          <w:szCs w:val="24"/>
        </w:rPr>
        <w:t xml:space="preserve"> — the vision of a school that captures its own professional wisdom, makes it queryable, and uses it to continuously improve. The fellowship is the first step in building that infrastructure, starting with the specific domain where CNG needs it most right now: assessment design in AI-rich classrooms.</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10. Departmental PLC and Curriculum Integration</w:t>
      </w:r>
    </w:p>
    <w:p>
      <w:pPr>
        <w:pStyle w:val="Heading2"/>
        <w:keepNext/>
        <w:spacing w:after="120" w:before="280"/>
      </w:pPr>
      <w:r>
        <w:rPr>
          <w:rFonts w:ascii="Arial" w:cs="Arial" w:eastAsia="Arial" w:hAnsi="Arial"/>
          <w:b/>
          <w:bCs/>
          <w:color w:val="2E7D8C"/>
          <w:sz w:val="26"/>
          <w:szCs w:val="26"/>
        </w:rPr>
        <w:t xml:space="preserve">10.1  Why Departments Are the Right Unit</w:t>
      </w:r>
    </w:p>
    <w:p>
      <w:pPr>
        <w:keepLines/>
        <w:spacing w:after="160" w:line="280"/>
      </w:pPr>
      <w:r>
        <w:rPr>
          <w:rFonts w:ascii="Georgia" w:cs="Georgia" w:eastAsia="Georgia" w:hAnsi="Georgia"/>
          <w:sz w:val="24"/>
          <w:szCs w:val="24"/>
        </w:rPr>
        <w:t xml:space="preserve">Sustainable educational change does not happen through individuals. Fullan (2016) demonstrates that deep change requires embedding new practices in collaborative professional structures. DuFour and Eaker (1998) establish that PLCs are the most powerful professional development model available. Coburn (2003) argues that sustainable reform requires </w:t>
      </w:r>
      <w:r>
        <w:rPr>
          <w:rFonts w:ascii="Georgia" w:cs="Georgia" w:eastAsia="Georgia" w:hAnsi="Georgia"/>
          <w:i/>
          <w:iCs/>
          <w:sz w:val="24"/>
          <w:szCs w:val="24"/>
        </w:rPr>
        <w:t xml:space="preserve">depth</w:t>
      </w:r>
      <w:r>
        <w:rPr>
          <w:rFonts w:ascii="Georgia" w:cs="Georgia" w:eastAsia="Georgia" w:hAnsi="Georgia"/>
          <w:sz w:val="24"/>
          <w:szCs w:val="24"/>
        </w:rPr>
        <w:t xml:space="preserve"> — shifting underlying beliefs and practices. Bryk et al. (2015) demonstrate that reliable change builds on existing organizational structures. Hargreaves and Fullan (2012) identify </w:t>
      </w:r>
      <w:r>
        <w:rPr>
          <w:rFonts w:ascii="Georgia" w:cs="Georgia" w:eastAsia="Georgia" w:hAnsi="Georgia"/>
          <w:i/>
          <w:iCs/>
          <w:sz w:val="24"/>
          <w:szCs w:val="24"/>
        </w:rPr>
        <w:t xml:space="preserve">professional capital</w:t>
      </w:r>
      <w:r>
        <w:rPr>
          <w:rFonts w:ascii="Georgia" w:cs="Georgia" w:eastAsia="Georgia" w:hAnsi="Georgia"/>
          <w:sz w:val="24"/>
          <w:szCs w:val="24"/>
        </w:rPr>
        <w:t xml:space="preserve"> — collective knowledge, skill, and decisiveness — as the key variable in educational improvement.</w:t>
      </w:r>
    </w:p>
    <w:p>
      <w:pPr>
        <w:keepLines/>
        <w:spacing w:after="160" w:line="280"/>
      </w:pPr>
      <w:r>
        <w:rPr>
          <w:rFonts w:ascii="Georgia" w:cs="Georgia" w:eastAsia="Georgia" w:hAnsi="Georgia"/>
          <w:sz w:val="24"/>
          <w:szCs w:val="24"/>
        </w:rPr>
        <w:t xml:space="preserve">Departments already share </w:t>
      </w:r>
      <w:r>
        <w:rPr>
          <w:rFonts w:ascii="Georgia" w:cs="Georgia" w:eastAsia="Georgia" w:hAnsi="Georgia"/>
          <w:b/>
          <w:bCs/>
          <w:sz w:val="24"/>
          <w:szCs w:val="24"/>
        </w:rPr>
        <w:t xml:space="preserve">CK, PK, and PCK</w:t>
      </w:r>
      <w:r>
        <w:rPr>
          <w:rFonts w:ascii="Georgia" w:cs="Georgia" w:eastAsia="Georgia" w:hAnsi="Georgia"/>
          <w:sz w:val="24"/>
          <w:szCs w:val="24"/>
        </w:rPr>
        <w:t xml:space="preserve"> — the foundational knowledge that makes AI-specific layers meaningful. A mathematics department that shares a commitment to proof and justification already knows what it means for AI to mishandle a proof. A humanities department that shares a commitment to evidence and interpretation already knows what a good historical argument looks like. The fellowship builds the AI-specific knowledge layers — AI-TPACK, Ethical TPACK, XK, and HAIC-K — on top of this shared foundation. This is not about replacing what teachers know. It is about extending it.</w:t>
      </w:r>
    </w:p>
    <w:p>
      <w:pPr>
        <w:pStyle w:val="Heading2"/>
        <w:keepNext/>
        <w:spacing w:after="120" w:before="280"/>
      </w:pPr>
      <w:r>
        <w:rPr>
          <w:rFonts w:ascii="Arial" w:cs="Arial" w:eastAsia="Arial" w:hAnsi="Arial"/>
          <w:b/>
          <w:bCs/>
          <w:color w:val="2E7D8C"/>
          <w:sz w:val="26"/>
          <w:szCs w:val="26"/>
        </w:rPr>
        <w:t xml:space="preserve">10.2  Department Cognitive Agency PLC Protocol</w:t>
      </w:r>
    </w:p>
    <w:p>
      <w:pPr>
        <w:keepLines/>
        <w:spacing w:after="160" w:line="280"/>
      </w:pPr>
      <w:r>
        <w:rPr>
          <w:rFonts w:ascii="Georgia" w:cs="Georgia" w:eastAsia="Georgia" w:hAnsi="Georgia"/>
          <w:sz w:val="24"/>
          <w:szCs w:val="24"/>
        </w:rPr>
        <w:t xml:space="preserve">The most scalable output is a </w:t>
      </w:r>
      <w:r>
        <w:rPr>
          <w:rFonts w:ascii="Georgia" w:cs="Georgia" w:eastAsia="Georgia" w:hAnsi="Georgia"/>
          <w:b/>
          <w:bCs/>
          <w:sz w:val="24"/>
          <w:szCs w:val="24"/>
        </w:rPr>
        <w:t xml:space="preserve">repeatable 30-minute routine</w:t>
      </w:r>
      <w:r>
        <w:rPr>
          <w:rFonts w:ascii="Georgia" w:cs="Georgia" w:eastAsia="Georgia" w:hAnsi="Georgia"/>
          <w:sz w:val="24"/>
          <w:szCs w:val="24"/>
        </w:rPr>
        <w:t xml:space="preserve"> any department can use independently:</w:t>
      </w:r>
    </w:p>
    <w:p>
      <w:pPr>
        <w:pStyle w:val="ListParagraph"/>
        <w:numPr>
          <w:ilvl w:val="0"/>
          <w:numId w:val="3"/>
        </w:numPr>
        <w:spacing w:after="100"/>
      </w:pPr>
      <w:r>
        <w:rPr>
          <w:rFonts w:ascii="Georgia" w:cs="Georgia" w:eastAsia="Georgia" w:hAnsi="Georgia"/>
          <w:sz w:val="24"/>
          <w:szCs w:val="24"/>
        </w:rPr>
        <w:t xml:space="preserve">Select one recent or upcoming assessment.</w:t>
      </w:r>
    </w:p>
    <w:p>
      <w:pPr>
        <w:pStyle w:val="ListParagraph"/>
        <w:numPr>
          <w:ilvl w:val="0"/>
          <w:numId w:val="3"/>
        </w:numPr>
        <w:spacing w:after="100"/>
      </w:pPr>
      <w:r>
        <w:rPr>
          <w:rFonts w:ascii="Georgia" w:cs="Georgia" w:eastAsia="Georgia" w:hAnsi="Georgia"/>
          <w:sz w:val="24"/>
          <w:szCs w:val="24"/>
        </w:rPr>
        <w:t xml:space="preserve">Ask: </w:t>
      </w:r>
      <w:r>
        <w:rPr>
          <w:rFonts w:ascii="Georgia" w:cs="Georgia" w:eastAsia="Georgia" w:hAnsi="Georgia"/>
          <w:b/>
          <w:bCs/>
          <w:sz w:val="24"/>
          <w:szCs w:val="24"/>
        </w:rPr>
        <w:t xml:space="preserve">If AI completed this task perfectly, what learning would disappear?</w:t>
      </w:r>
    </w:p>
    <w:p>
      <w:pPr>
        <w:pStyle w:val="ListParagraph"/>
        <w:numPr>
          <w:ilvl w:val="0"/>
          <w:numId w:val="3"/>
        </w:numPr>
        <w:spacing w:after="100"/>
      </w:pPr>
      <w:r>
        <w:rPr>
          <w:rFonts w:ascii="Georgia" w:cs="Georgia" w:eastAsia="Georgia" w:hAnsi="Georgia"/>
          <w:sz w:val="24"/>
          <w:szCs w:val="24"/>
        </w:rPr>
        <w:t xml:space="preserve">Identify the thinking most at risk of becoming invisible with AI assistance.</w:t>
      </w:r>
    </w:p>
    <w:p>
      <w:pPr>
        <w:pStyle w:val="ListParagraph"/>
        <w:numPr>
          <w:ilvl w:val="0"/>
          <w:numId w:val="3"/>
        </w:numPr>
        <w:spacing w:after="100"/>
      </w:pPr>
      <w:r>
        <w:rPr>
          <w:rFonts w:ascii="Georgia" w:cs="Georgia" w:eastAsia="Georgia" w:hAnsi="Georgia"/>
          <w:sz w:val="24"/>
          <w:szCs w:val="24"/>
        </w:rPr>
        <w:t xml:space="preserve">Identify the evidence that would demonstrate that thinking is genuine.</w:t>
      </w:r>
    </w:p>
    <w:p>
      <w:pPr>
        <w:pStyle w:val="ListParagraph"/>
        <w:numPr>
          <w:ilvl w:val="0"/>
          <w:numId w:val="3"/>
        </w:numPr>
        <w:spacing w:after="100"/>
      </w:pPr>
      <w:r>
        <w:rPr>
          <w:rFonts w:ascii="Georgia" w:cs="Georgia" w:eastAsia="Georgia" w:hAnsi="Georgia"/>
          <w:sz w:val="24"/>
          <w:szCs w:val="24"/>
        </w:rPr>
        <w:t xml:space="preserve">Identify the appropriate SAIL positioning for this task.</w:t>
      </w:r>
    </w:p>
    <w:p>
      <w:pPr>
        <w:pStyle w:val="ListParagraph"/>
        <w:numPr>
          <w:ilvl w:val="0"/>
          <w:numId w:val="3"/>
        </w:numPr>
        <w:spacing w:after="100"/>
      </w:pPr>
      <w:r>
        <w:rPr>
          <w:rFonts w:ascii="Georgia" w:cs="Georgia" w:eastAsia="Georgia" w:hAnsi="Georgia"/>
          <w:sz w:val="24"/>
          <w:szCs w:val="24"/>
        </w:rPr>
        <w:t xml:space="preserve">Make one specific change to the assessment design.</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The protocol requires no new curriculum, no new technology, and no external facilitator once established. Its power comes from repeated use — each iteration building shared departmental language, shared exemplars, and shared judgment. Research identifies three mechanisms that make this routine durable: artifact analysis (teachers reviewing student work together develops shared disciplinary standards faster than any training), collaborative co-design (teachers who design assessments together own them and use them consistently), and collective sensemaking (teachers negotiating together what AI means for their discipline rather than resolving it individually). Sustainable change comes from these routines embedded in existing structures, not from isolated professional development events.</w:t>
      </w:r>
    </w:p>
    <w:p>
      <w:pPr>
        <w:pStyle w:val="Heading2"/>
        <w:keepNext/>
        <w:spacing w:after="120" w:before="280"/>
      </w:pPr>
      <w:r>
        <w:rPr>
          <w:rFonts w:ascii="Arial" w:cs="Arial" w:eastAsia="Arial" w:hAnsi="Arial"/>
          <w:b/>
          <w:bCs/>
          <w:color w:val="2E7D8C"/>
          <w:sz w:val="26"/>
          <w:szCs w:val="26"/>
        </w:rPr>
        <w:t xml:space="preserve">10.3  Curriculum Review Integration</w:t>
      </w:r>
    </w:p>
    <w:p>
      <w:pPr>
        <w:keepLines/>
        <w:spacing w:after="160" w:line="280"/>
      </w:pPr>
      <w:r>
        <w:rPr>
          <w:rFonts w:ascii="Georgia" w:cs="Georgia" w:eastAsia="Georgia" w:hAnsi="Georgia"/>
          <w:sz w:val="24"/>
          <w:szCs w:val="24"/>
        </w:rPr>
        <w:t xml:space="preserve">The most durable innovations become embedded in existing systems. The fellowship’s assessment audit question can be incorporated into curriculum review through a single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Curriculum Review Integration Question</w:t>
            </w:r>
          </w:p>
          <w:p>
            <w:pPr>
              <w:spacing w:after="0"/>
            </w:pPr>
            <w:r>
              <w:rPr>
                <w:rFonts w:ascii="Georgia" w:cs="Georgia" w:eastAsia="Georgia" w:hAnsi="Georgia"/>
                <w:sz w:val="24"/>
                <w:szCs w:val="24"/>
              </w:rPr>
              <w:t xml:space="preserve">What evidence will demonstrate learning if AI can generate the product? This moves the work from an AI initiative to a curriculum and assessment initiative — the reframe needed for long-term sustainability.</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question requires no new training and no new meeting. By Year 4, it is embedded in CNG’s departmental planning as standard practice.</w:t>
      </w:r>
    </w:p>
    <w:p>
      <w:pPr>
        <w:pStyle w:val="Heading2"/>
        <w:keepNext/>
        <w:spacing w:after="120" w:before="280"/>
      </w:pPr>
      <w:r>
        <w:rPr>
          <w:rFonts w:ascii="Arial" w:cs="Arial" w:eastAsia="Arial" w:hAnsi="Arial"/>
          <w:b/>
          <w:bCs/>
          <w:color w:val="2E7D8C"/>
          <w:sz w:val="26"/>
          <w:szCs w:val="26"/>
        </w:rPr>
        <w:t xml:space="preserve">10.4  Emerging Shared Language — Co-Constructed Through Inquiry</w:t>
      </w:r>
    </w:p>
    <w:p>
      <w:pPr>
        <w:keepLines/>
        <w:spacing w:after="160" w:line="280"/>
      </w:pPr>
      <w:r>
        <w:rPr>
          <w:rFonts w:ascii="Georgia" w:cs="Georgia" w:eastAsia="Georgia" w:hAnsi="Georgia"/>
          <w:sz w:val="24"/>
          <w:szCs w:val="24"/>
        </w:rPr>
        <w:t xml:space="preserve">A key outcome of the departmental PLC work is the gradual co-construction of shared professional language — ways of talking about assessment, evidence, and student reasoning that travel across disciplinary boundaries. This language is not pre-designed and is not presented as a framework. It emerges from sustained collaborative inquiry. The June transfer sessions are one site where this language is observed: what terms prove transportable? What concepts require translation? That data becomes part of the fellowship’s contribution to the CNG professional community — the beginning of a vocabulary, not the announcement of one.</w:t>
      </w:r>
    </w:p>
    <w:p>
      <w:pPr>
        <w:keepNext/>
        <w:spacing w:after="12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11. Deliverables</w:t>
      </w:r>
    </w:p>
    <w:p>
      <w:pPr>
        <w:keepLines/>
        <w:spacing w:after="160" w:line="280"/>
      </w:pPr>
      <w:r>
        <w:rPr>
          <w:rFonts w:ascii="Georgia" w:cs="Georgia" w:eastAsia="Georgia" w:hAnsi="Georgia"/>
          <w:sz w:val="24"/>
          <w:szCs w:val="24"/>
        </w:rPr>
        <w:t xml:space="preserve">Full documentation for each deliverable appears in the </w:t>
      </w:r>
      <w:r>
        <w:rPr>
          <w:rFonts w:ascii="Georgia" w:cs="Georgia" w:eastAsia="Georgia" w:hAnsi="Georgia"/>
          <w:b/>
          <w:bCs/>
          <w:sz w:val="24"/>
          <w:szCs w:val="24"/>
        </w:rPr>
        <w:t xml:space="preserve">Appendices</w:t>
      </w:r>
      <w:r>
        <w:rPr>
          <w:rFonts w:ascii="Georgia" w:cs="Georgia" w:eastAsia="Georgia" w:hAnsi="Georgia"/>
          <w:sz w:val="24"/>
          <w:szCs w:val="24"/>
        </w:rPr>
        <w:t xml:space="preserve">. The following is a summary.</w:t>
      </w:r>
    </w:p>
    <w:p>
      <w:pPr>
        <w:pStyle w:val="Heading2"/>
        <w:keepNext/>
        <w:spacing w:after="120" w:before="280"/>
      </w:pPr>
      <w:r>
        <w:rPr>
          <w:rFonts w:ascii="Arial" w:cs="Arial" w:eastAsia="Arial" w:hAnsi="Arial"/>
          <w:b/>
          <w:bCs/>
          <w:color w:val="2E7D8C"/>
          <w:sz w:val="26"/>
          <w:szCs w:val="26"/>
        </w:rPr>
        <w:t xml:space="preserve">11.1  Per Teacher</w:t>
      </w:r>
    </w:p>
    <w:p>
      <w:pPr>
        <w:pStyle w:val="ListParagraph"/>
        <w:numPr>
          <w:ilvl w:val="0"/>
          <w:numId w:val="2"/>
        </w:numPr>
        <w:spacing w:after="100"/>
      </w:pPr>
      <w:r>
        <w:rPr>
          <w:rFonts w:ascii="Georgia" w:cs="Georgia" w:eastAsia="Georgia" w:hAnsi="Georgia"/>
          <w:sz w:val="24"/>
          <w:szCs w:val="24"/>
        </w:rPr>
        <w:t xml:space="preserve">Two to three documented assessment iteration arcs</w:t>
      </w:r>
    </w:p>
    <w:p>
      <w:pPr>
        <w:pStyle w:val="ListParagraph"/>
        <w:numPr>
          <w:ilvl w:val="0"/>
          <w:numId w:val="2"/>
        </w:numPr>
        <w:spacing w:after="100"/>
      </w:pPr>
      <w:r>
        <w:rPr>
          <w:rFonts w:ascii="Georgia" w:cs="Georgia" w:eastAsia="Georgia" w:hAnsi="Georgia"/>
          <w:sz w:val="24"/>
          <w:szCs w:val="24"/>
        </w:rPr>
        <w:t xml:space="preserve">Written feedback correspondence documenting I-CK development</w:t>
      </w:r>
    </w:p>
    <w:p>
      <w:pPr>
        <w:pStyle w:val="ListParagraph"/>
        <w:numPr>
          <w:ilvl w:val="0"/>
          <w:numId w:val="2"/>
        </w:numPr>
        <w:spacing w:after="100"/>
      </w:pPr>
      <w:r>
        <w:rPr>
          <w:rFonts w:ascii="Georgia" w:cs="Georgia" w:eastAsia="Georgia" w:hAnsi="Georgia"/>
          <w:sz w:val="24"/>
          <w:szCs w:val="24"/>
        </w:rPr>
        <w:t xml:space="preserve">One VSR cycle with hinge point identification</w:t>
      </w:r>
    </w:p>
    <w:p>
      <w:pPr>
        <w:pStyle w:val="ListParagraph"/>
        <w:numPr>
          <w:ilvl w:val="0"/>
          <w:numId w:val="2"/>
        </w:numPr>
        <w:spacing w:after="100"/>
      </w:pPr>
      <w:r>
        <w:rPr>
          <w:rFonts w:ascii="Georgia" w:cs="Georgia" w:eastAsia="Georgia" w:hAnsi="Georgia"/>
          <w:sz w:val="24"/>
          <w:szCs w:val="24"/>
        </w:rPr>
        <w:t xml:space="preserve">AI Reflection and Disclosure Protocol enacted with students</w:t>
      </w:r>
    </w:p>
    <w:p>
      <w:pPr>
        <w:pStyle w:val="ListParagraph"/>
        <w:numPr>
          <w:ilvl w:val="0"/>
          <w:numId w:val="2"/>
        </w:numPr>
        <w:spacing w:after="100"/>
      </w:pPr>
      <w:r>
        <w:rPr>
          <w:rFonts w:ascii="Georgia" w:cs="Georgia" w:eastAsia="Georgia" w:hAnsi="Georgia"/>
          <w:sz w:val="24"/>
          <w:szCs w:val="24"/>
        </w:rPr>
        <w:t xml:space="preserve">Contributions to Cognitive Agency Knowledge Hub: two to four exemplars with documentation</w:t>
      </w:r>
    </w:p>
    <w:p>
      <w:pPr>
        <w:pStyle w:val="ListParagraph"/>
        <w:numPr>
          <w:ilvl w:val="0"/>
          <w:numId w:val="2"/>
        </w:numPr>
        <w:spacing w:after="100"/>
      </w:pPr>
      <w:r>
        <w:rPr>
          <w:rFonts w:ascii="Georgia" w:cs="Georgia" w:eastAsia="Georgia" w:hAnsi="Georgia"/>
          <w:sz w:val="24"/>
          <w:szCs w:val="24"/>
        </w:rPr>
        <w:t xml:space="preserve">June showcase presentation: 10 minutes</w:t>
      </w:r>
    </w:p>
    <w:p>
      <w:pPr>
        <w:pStyle w:val="Heading2"/>
        <w:keepNext/>
        <w:spacing w:after="120" w:before="280"/>
      </w:pPr>
      <w:r>
        <w:rPr>
          <w:rFonts w:ascii="Arial" w:cs="Arial" w:eastAsia="Arial" w:hAnsi="Arial"/>
          <w:b/>
          <w:bCs/>
          <w:color w:val="2E7D8C"/>
          <w:sz w:val="26"/>
          <w:szCs w:val="26"/>
        </w:rPr>
        <w:t xml:space="preserve">11.2  Fellowship Cohort Products</w:t>
      </w:r>
    </w:p>
    <w:p>
      <w:pPr>
        <w:pStyle w:val="ListParagraph"/>
        <w:numPr>
          <w:ilvl w:val="0"/>
          <w:numId w:val="2"/>
        </w:numPr>
        <w:spacing w:after="100"/>
      </w:pPr>
      <w:r>
        <w:rPr>
          <w:rFonts w:ascii="Georgia" w:cs="Georgia" w:eastAsia="Georgia" w:hAnsi="Georgia"/>
          <w:sz w:val="24"/>
          <w:szCs w:val="24"/>
        </w:rPr>
        <w:t xml:space="preserve">Assessment Audit Toolkit: VISTA Protocol, facilitation guide, discipline-specific examples (</w:t>
      </w:r>
      <w:r>
        <w:rPr>
          <w:rFonts w:ascii="Georgia" w:cs="Georgia" w:eastAsia="Georgia" w:hAnsi="Georgia"/>
          <w:b/>
          <w:bCs/>
          <w:sz w:val="24"/>
          <w:szCs w:val="24"/>
        </w:rPr>
        <w:t xml:space="preserve">Appendix A</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Visible Reasoning Protocol Suite: nine protocols (</w:t>
      </w:r>
      <w:r>
        <w:rPr>
          <w:rFonts w:ascii="Georgia" w:cs="Georgia" w:eastAsia="Georgia" w:hAnsi="Georgia"/>
          <w:b/>
          <w:bCs/>
          <w:sz w:val="24"/>
          <w:szCs w:val="24"/>
        </w:rPr>
        <w:t xml:space="preserve">Appendix B</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Cross-Disciplinary Rubric: five dimensions, four levels, developmental progressions (</w:t>
      </w:r>
      <w:r>
        <w:rPr>
          <w:rFonts w:ascii="Georgia" w:cs="Georgia" w:eastAsia="Georgia" w:hAnsi="Georgia"/>
          <w:b/>
          <w:bCs/>
          <w:sz w:val="24"/>
          <w:szCs w:val="24"/>
        </w:rPr>
        <w:t xml:space="preserve">Appendix C</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Triangulated Evidence Framework: validity argument structure (</w:t>
      </w:r>
      <w:r>
        <w:rPr>
          <w:rFonts w:ascii="Georgia" w:cs="Georgia" w:eastAsia="Georgia" w:hAnsi="Georgia"/>
          <w:b/>
          <w:bCs/>
          <w:sz w:val="24"/>
          <w:szCs w:val="24"/>
        </w:rPr>
        <w:t xml:space="preserve">Appendix D</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AI Reflection and Disclosure Protocol (</w:t>
      </w:r>
      <w:r>
        <w:rPr>
          <w:rFonts w:ascii="Georgia" w:cs="Georgia" w:eastAsia="Georgia" w:hAnsi="Georgia"/>
          <w:b/>
          <w:bCs/>
          <w:sz w:val="24"/>
          <w:szCs w:val="24"/>
        </w:rPr>
        <w:t xml:space="preserve">Appendix E</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Department Cognitive Agency PLC Protocol (</w:t>
      </w:r>
      <w:r>
        <w:rPr>
          <w:rFonts w:ascii="Georgia" w:cs="Georgia" w:eastAsia="Georgia" w:hAnsi="Georgia"/>
          <w:b/>
          <w:bCs/>
          <w:sz w:val="24"/>
          <w:szCs w:val="24"/>
        </w:rPr>
        <w:t xml:space="preserve">Appendix F</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Emerging shared language documentation (</w:t>
      </w:r>
      <w:r>
        <w:rPr>
          <w:rFonts w:ascii="Georgia" w:cs="Georgia" w:eastAsia="Georgia" w:hAnsi="Georgia"/>
          <w:b/>
          <w:bCs/>
          <w:sz w:val="24"/>
          <w:szCs w:val="24"/>
        </w:rPr>
        <w:t xml:space="preserve">Appendix G</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AI Task Force Handoff Package (</w:t>
      </w:r>
      <w:r>
        <w:rPr>
          <w:rFonts w:ascii="Georgia" w:cs="Georgia" w:eastAsia="Georgia" w:hAnsi="Georgia"/>
          <w:b/>
          <w:bCs/>
          <w:sz w:val="24"/>
          <w:szCs w:val="24"/>
        </w:rPr>
        <w:t xml:space="preserve">Appendix H</w:t>
      </w:r>
      <w:r>
        <w:rPr>
          <w:rFonts w:ascii="Georgia" w:cs="Georgia" w:eastAsia="Georgia" w:hAnsi="Georgia"/>
          <w:sz w:val="24"/>
          <w:szCs w:val="24"/>
        </w:rPr>
        <w:t xml:space="preserve">)</w:t>
      </w:r>
    </w:p>
    <w:p>
      <w:pPr>
        <w:pStyle w:val="Heading2"/>
        <w:keepNext/>
        <w:spacing w:after="120" w:before="280"/>
      </w:pPr>
      <w:r>
        <w:rPr>
          <w:rFonts w:ascii="Arial" w:cs="Arial" w:eastAsia="Arial" w:hAnsi="Arial"/>
          <w:b/>
          <w:bCs/>
          <w:color w:val="2E7D8C"/>
          <w:sz w:val="26"/>
          <w:szCs w:val="26"/>
        </w:rPr>
        <w:t xml:space="preserve">11.3  Institutional Products</w:t>
      </w:r>
    </w:p>
    <w:p>
      <w:pPr>
        <w:pStyle w:val="ListParagraph"/>
        <w:numPr>
          <w:ilvl w:val="0"/>
          <w:numId w:val="2"/>
        </w:numPr>
        <w:spacing w:after="100"/>
      </w:pPr>
      <w:r>
        <w:rPr>
          <w:rFonts w:ascii="Georgia" w:cs="Georgia" w:eastAsia="Georgia" w:hAnsi="Georgia"/>
          <w:sz w:val="24"/>
          <w:szCs w:val="24"/>
        </w:rPr>
        <w:t xml:space="preserve">Cognitive Agency Knowledge Hub (NotebookLM): living repository — research library, annotated exemplars, audits, protocols, PLC archives</w:t>
      </w:r>
    </w:p>
    <w:p>
      <w:pPr>
        <w:pStyle w:val="ListParagraph"/>
        <w:numPr>
          <w:ilvl w:val="0"/>
          <w:numId w:val="2"/>
        </w:numPr>
        <w:spacing w:after="100"/>
      </w:pPr>
      <w:r>
        <w:rPr>
          <w:rFonts w:ascii="Georgia" w:cs="Georgia" w:eastAsia="Georgia" w:hAnsi="Georgia"/>
          <w:sz w:val="24"/>
          <w:szCs w:val="24"/>
        </w:rPr>
        <w:t xml:space="preserve">Curriculum Review Integration Question: single addition to existing departmental planning structures</w:t>
      </w:r>
    </w:p>
    <w:p>
      <w:pPr>
        <w:pStyle w:val="ListParagraph"/>
        <w:numPr>
          <w:ilvl w:val="0"/>
          <w:numId w:val="2"/>
        </w:numPr>
        <w:spacing w:after="100"/>
      </w:pPr>
      <w:r>
        <w:rPr>
          <w:rFonts w:ascii="Georgia" w:cs="Georgia" w:eastAsia="Georgia" w:hAnsi="Georgia"/>
          <w:sz w:val="24"/>
          <w:szCs w:val="24"/>
        </w:rPr>
        <w:t xml:space="preserve">Year 1 Research Report: AI-TPACK development, I-CK growth, student intellectual labour evidence quality, iteration analysis</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12. Evaluation and Research Design</w:t>
      </w:r>
    </w:p>
    <w:p>
      <w:pPr>
        <w:pStyle w:val="Heading2"/>
        <w:keepNext/>
        <w:spacing w:after="120" w:before="280"/>
      </w:pPr>
      <w:r>
        <w:rPr>
          <w:rFonts w:ascii="Arial" w:cs="Arial" w:eastAsia="Arial" w:hAnsi="Arial"/>
          <w:b/>
          <w:bCs/>
          <w:color w:val="2E7D8C"/>
          <w:sz w:val="26"/>
          <w:szCs w:val="26"/>
        </w:rPr>
        <w:t xml:space="preserve">12.1  Primary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Primary Research Question</w:t>
            </w:r>
          </w:p>
          <w:p>
            <w:pPr>
              <w:spacing w:after="0"/>
            </w:pPr>
            <w:r>
              <w:rPr>
                <w:rFonts w:ascii="Georgia" w:cs="Georgia" w:eastAsia="Georgia" w:hAnsi="Georgia"/>
                <w:sz w:val="24"/>
                <w:szCs w:val="24"/>
              </w:rPr>
              <w:t xml:space="preserve">What does it actually look like, in real classrooms with real teachers, when AI-TPACK develops through sustained disciplinary inquiry rather than through training?</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Sub-question: </w:t>
      </w:r>
      <w:r>
        <w:rPr>
          <w:rFonts w:ascii="Georgia" w:cs="Georgia" w:eastAsia="Georgia" w:hAnsi="Georgia"/>
          <w:sz w:val="24"/>
          <w:szCs w:val="24"/>
        </w:rPr>
        <w:t xml:space="preserve">Does the development of AI-TPACK through disciplinary inquiry change the quality of assessment design in ways that generate more interpretable evidence of student learning?</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sub-question allows the fellowship to use performance-based tools — specifically the Technology Integration Assessment Instrument (TIAI) — to score the “fit” of redesigned assessments before and after the iteration cycle. This produces defensible, triangulated evidence of Intended TPACK growth by comparing assessment design artifacts across iterations, directly addressing the know-do gap documented in classroom implementation research. Self-report surveys measure confidence (what teachers believe they know); the TIAI and artifact comparison measure competence (what teachers actually design and enact).</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Additional sub-questions:</w:t>
      </w:r>
    </w:p>
    <w:p>
      <w:pPr>
        <w:pStyle w:val="ListParagraph"/>
        <w:numPr>
          <w:ilvl w:val="0"/>
          <w:numId w:val="3"/>
        </w:numPr>
        <w:spacing w:after="100"/>
      </w:pPr>
      <w:r>
        <w:rPr>
          <w:rFonts w:ascii="Georgia" w:cs="Georgia" w:eastAsia="Georgia" w:hAnsi="Georgia"/>
          <w:sz w:val="24"/>
          <w:szCs w:val="24"/>
        </w:rPr>
        <w:t xml:space="preserve">How do iterative assessment redesigns with structured feedback develop AI-TPACK and I-CK across diverse professional perspectives (experienced, developing, and resistant teachers)?</w:t>
      </w:r>
    </w:p>
    <w:p>
      <w:pPr>
        <w:pStyle w:val="ListParagraph"/>
        <w:numPr>
          <w:ilvl w:val="0"/>
          <w:numId w:val="3"/>
        </w:numPr>
        <w:spacing w:after="100"/>
      </w:pPr>
      <w:r>
        <w:rPr>
          <w:rFonts w:ascii="Georgia" w:cs="Georgia" w:eastAsia="Georgia" w:hAnsi="Georgia"/>
          <w:sz w:val="24"/>
          <w:szCs w:val="24"/>
        </w:rPr>
        <w:t xml:space="preserve">How do visible reasoning protocols influence the quality and interpretability of student intellectual labour evidence across iterations?</w:t>
      </w:r>
    </w:p>
    <w:p>
      <w:pPr>
        <w:pStyle w:val="ListParagraph"/>
        <w:numPr>
          <w:ilvl w:val="0"/>
          <w:numId w:val="3"/>
        </w:numPr>
        <w:spacing w:after="100"/>
      </w:pPr>
      <w:r>
        <w:rPr>
          <w:rFonts w:ascii="Georgia" w:cs="Georgia" w:eastAsia="Georgia" w:hAnsi="Georgia"/>
          <w:sz w:val="24"/>
          <w:szCs w:val="24"/>
        </w:rPr>
        <w:t xml:space="preserve">What happens at the </w:t>
      </w:r>
      <w:r>
        <w:rPr>
          <w:rFonts w:ascii="Georgia" w:cs="Georgia" w:eastAsia="Georgia" w:hAnsi="Georgia"/>
          <w:b/>
          <w:bCs/>
          <w:sz w:val="24"/>
          <w:szCs w:val="24"/>
        </w:rPr>
        <w:t xml:space="preserve">transfer moment</w:t>
      </w:r>
      <w:r>
        <w:rPr>
          <w:rFonts w:ascii="Georgia" w:cs="Georgia" w:eastAsia="Georgia" w:hAnsi="Georgia"/>
          <w:sz w:val="24"/>
          <w:szCs w:val="24"/>
        </w:rPr>
        <w:t xml:space="preserve"> — when Year 1 teachers bring their AI-TPACK development back to their departments? What language transfers? What questions emerge? What resistance appears? This is the bridge from individual to Collective TPACK.</w:t>
      </w:r>
    </w:p>
    <w:p>
      <w:pPr>
        <w:pStyle w:val="ListParagraph"/>
        <w:numPr>
          <w:ilvl w:val="0"/>
          <w:numId w:val="3"/>
        </w:numPr>
        <w:spacing w:after="100"/>
      </w:pPr>
      <w:r>
        <w:rPr>
          <w:rFonts w:ascii="Georgia" w:cs="Georgia" w:eastAsia="Georgia" w:hAnsi="Georgia"/>
          <w:sz w:val="24"/>
          <w:szCs w:val="24"/>
        </w:rPr>
        <w:t xml:space="preserve">How do teachers describe shifts in I-CK and perceived behavioral control after sustained disciplinary inquiry?</w:t>
      </w:r>
    </w:p>
    <w:p>
      <w:pPr>
        <w:pStyle w:val="Heading2"/>
        <w:keepNext/>
        <w:spacing w:after="120" w:before="280"/>
      </w:pPr>
      <w:r>
        <w:rPr>
          <w:rFonts w:ascii="Arial" w:cs="Arial" w:eastAsia="Arial" w:hAnsi="Arial"/>
          <w:b/>
          <w:bCs/>
          <w:color w:val="2E7D8C"/>
          <w:sz w:val="26"/>
          <w:szCs w:val="26"/>
        </w:rPr>
        <w:t xml:space="preserve">12.2  Research Design Matrix</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160"/>
        <w:gridCol w:w="1800"/>
      </w:tblGrid>
      <w:tr>
        <w:trPr>
          <w:cantSplit/>
        </w:trPr>
        <w:tc>
          <w:tcPr>
            <w:tcW w:type="dxa" w:w="360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Research Question</w:t>
            </w:r>
          </w:p>
        </w:tc>
        <w:tc>
          <w:tcPr>
            <w:tcW w:type="dxa" w:w="180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Data Source</w:t>
            </w:r>
          </w:p>
        </w:tc>
        <w:tc>
          <w:tcPr>
            <w:tcW w:type="dxa" w:w="216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Collection Method</w:t>
            </w:r>
          </w:p>
        </w:tc>
        <w:tc>
          <w:tcPr>
            <w:tcW w:type="dxa" w:w="180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Analysis</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bCs/>
                <w:sz w:val="22"/>
                <w:szCs w:val="22"/>
              </w:rPr>
              <w:t xml:space="preserve">Primary: How can teachers design assessments that generate interpretable evidence of learning while preserving student cognitive agency in AI-rich classrooms?</w:t>
            </w:r>
          </w:p>
        </w:tc>
        <w:tc>
          <w:tcPr>
            <w:tcW w:type="dxa" w:w="18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Teachers; student artifacts</w:t>
            </w:r>
          </w:p>
        </w:tc>
        <w:tc>
          <w:tcPr>
            <w:tcW w:type="dxa" w:w="216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Assessment audits; artifact collection; reflections</w:t>
            </w:r>
          </w:p>
        </w:tc>
        <w:tc>
          <w:tcPr>
            <w:tcW w:type="dxa" w:w="18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Cross-iteration analysis; TPACK mapping</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bCs/>
                <w:sz w:val="22"/>
                <w:szCs w:val="22"/>
              </w:rPr>
              <w:t xml:space="preserve">SQ1: How do iterative redesigns with structured feedback develop AI-TPACK and HAIC-K?</w:t>
            </w:r>
          </w:p>
        </w:tc>
        <w:tc>
          <w:tcPr>
            <w:tcW w:type="dxa" w:w="18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Teachers</w:t>
            </w:r>
          </w:p>
        </w:tc>
        <w:tc>
          <w:tcPr>
            <w:tcW w:type="dxa" w:w="216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Audit artifacts; feedback logs; reflections</w:t>
            </w:r>
          </w:p>
        </w:tc>
        <w:tc>
          <w:tcPr>
            <w:tcW w:type="dxa" w:w="18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Iteration comparison; knowledge layer mapping</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bCs/>
                <w:sz w:val="22"/>
                <w:szCs w:val="22"/>
              </w:rPr>
              <w:t xml:space="preserve">SQ2: How do visible reasoning protocols influence the quality of student intellectual labour evidence?</w:t>
            </w:r>
          </w:p>
        </w:tc>
        <w:tc>
          <w:tcPr>
            <w:tcW w:type="dxa" w:w="18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Student artifacts; rubric scores</w:t>
            </w:r>
          </w:p>
        </w:tc>
        <w:tc>
          <w:tcPr>
            <w:tcW w:type="dxa" w:w="216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Artifact collection per iteration; rubric annotation</w:t>
            </w:r>
          </w:p>
        </w:tc>
        <w:tc>
          <w:tcPr>
            <w:tcW w:type="dxa" w:w="18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Cross-iteration artifact analysis</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bCs/>
                <w:sz w:val="22"/>
                <w:szCs w:val="22"/>
              </w:rPr>
              <w:t xml:space="preserve">SQ3: How do teachers describe shifts in I-CK after sustained PLC and audit engagement?</w:t>
            </w:r>
          </w:p>
        </w:tc>
        <w:tc>
          <w:tcPr>
            <w:tcW w:type="dxa" w:w="18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Teacher interviews; PLC transcripts</w:t>
            </w:r>
          </w:p>
        </w:tc>
        <w:tc>
          <w:tcPr>
            <w:tcW w:type="dxa" w:w="216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Semi-structured interviews; observation notes</w:t>
            </w:r>
          </w:p>
        </w:tc>
        <w:tc>
          <w:tcPr>
            <w:tcW w:type="dxa" w:w="18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Narrative analysis; I-CK documentation</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12.3  Validity Strategy — Triangulated Evidence</w:t>
      </w:r>
    </w:p>
    <w:p>
      <w:pPr>
        <w:keepLines/>
        <w:spacing w:after="160" w:line="280"/>
      </w:pPr>
      <w:r>
        <w:rPr>
          <w:rFonts w:ascii="Georgia" w:cs="Georgia" w:eastAsia="Georgia" w:hAnsi="Georgia"/>
          <w:sz w:val="24"/>
          <w:szCs w:val="24"/>
        </w:rPr>
        <w:t xml:space="preserve">The fellowship adopts a </w:t>
      </w:r>
      <w:r>
        <w:rPr>
          <w:rFonts w:ascii="Georgia" w:cs="Georgia" w:eastAsia="Georgia" w:hAnsi="Georgia"/>
          <w:b/>
          <w:bCs/>
          <w:sz w:val="24"/>
          <w:szCs w:val="24"/>
        </w:rPr>
        <w:t xml:space="preserve">validity argument approach</w:t>
      </w:r>
      <w:r>
        <w:rPr>
          <w:rFonts w:ascii="Georgia" w:cs="Georgia" w:eastAsia="Georgia" w:hAnsi="Georgia"/>
          <w:sz w:val="24"/>
          <w:szCs w:val="24"/>
        </w:rPr>
        <w:t xml:space="preserve"> (Messick, 1989; Kane, 2006). No single artifact is assumed to reveal learning, agency, judgment, or disciplinary understanding in isolation. Claims are supported through the convergence of multiple evidence sources. The strength of any interpretation increases when evidence converges — and no claim is made beyond what convergence supports.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Source</w:t>
            </w:r>
          </w:p>
        </w:tc>
        <w:tc>
          <w:tcPr>
            <w:tcW w:type="dxa" w:w="57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What It Reveals</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Evidence Source 1 — Assessment Design</w:t>
            </w:r>
          </w:p>
        </w:tc>
        <w:tc>
          <w:tcPr>
            <w:tcW w:type="dxa" w:w="57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What opportunities for agency existed? (Intended TPACK)</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Evidence Source 2 — Student Artifact</w:t>
            </w:r>
          </w:p>
        </w:tc>
        <w:tc>
          <w:tcPr>
            <w:tcW w:type="dxa" w:w="57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What decisions, creations, or reasoning were visible?</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Evidence Source 3 — Interaction Trace</w:t>
            </w:r>
          </w:p>
        </w:tc>
        <w:tc>
          <w:tcPr>
            <w:tcW w:type="dxa" w:w="57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How did thinking evolve? Prompt logs, revision histories, making traces.</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Evidence Source 4 — Teacher Observation / VSR</w:t>
            </w:r>
          </w:p>
        </w:tc>
        <w:tc>
          <w:tcPr>
            <w:tcW w:type="dxa" w:w="57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What was noticed during enactment? Hinge points, instructional regression.</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Evidence Source 5 — Student Reflection</w:t>
            </w:r>
          </w:p>
        </w:tc>
        <w:tc>
          <w:tcPr>
            <w:tcW w:type="dxa" w:w="57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How did the learner interpret their own thinking? Disclosure protocol.</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TPACK triangulation: </w:t>
      </w:r>
      <w:r>
        <w:rPr>
          <w:rFonts w:ascii="Georgia" w:cs="Georgia" w:eastAsia="Georgia" w:hAnsi="Georgia"/>
          <w:b/>
          <w:bCs/>
          <w:sz w:val="24"/>
          <w:szCs w:val="24"/>
        </w:rPr>
        <w:t xml:space="preserve">Intended</w:t>
      </w:r>
      <w:r>
        <w:rPr>
          <w:rFonts w:ascii="Georgia" w:cs="Georgia" w:eastAsia="Georgia" w:hAnsi="Georgia"/>
          <w:sz w:val="24"/>
          <w:szCs w:val="24"/>
        </w:rPr>
        <w:t xml:space="preserve"> (audit documentation), </w:t>
      </w:r>
      <w:r>
        <w:rPr>
          <w:rFonts w:ascii="Georgia" w:cs="Georgia" w:eastAsia="Georgia" w:hAnsi="Georgia"/>
          <w:b/>
          <w:bCs/>
          <w:sz w:val="24"/>
          <w:szCs w:val="24"/>
        </w:rPr>
        <w:t xml:space="preserve">Enacted</w:t>
      </w:r>
      <w:r>
        <w:rPr>
          <w:rFonts w:ascii="Georgia" w:cs="Georgia" w:eastAsia="Georgia" w:hAnsi="Georgia"/>
          <w:sz w:val="24"/>
          <w:szCs w:val="24"/>
        </w:rPr>
        <w:t xml:space="preserve"> (VSR; PLC notes; artifacts), </w:t>
      </w:r>
      <w:r>
        <w:rPr>
          <w:rFonts w:ascii="Georgia" w:cs="Georgia" w:eastAsia="Georgia" w:hAnsi="Georgia"/>
          <w:b/>
          <w:bCs/>
          <w:sz w:val="24"/>
          <w:szCs w:val="24"/>
        </w:rPr>
        <w:t xml:space="preserve">Reflected</w:t>
      </w:r>
      <w:r>
        <w:rPr>
          <w:rFonts w:ascii="Georgia" w:cs="Georgia" w:eastAsia="Georgia" w:hAnsi="Georgia"/>
          <w:sz w:val="24"/>
          <w:szCs w:val="24"/>
        </w:rPr>
        <w:t xml:space="preserve"> (post-interviews; showcase presentations).</w:t>
      </w:r>
    </w:p>
    <w:p>
      <w:pPr>
        <w:pStyle w:val="Heading2"/>
        <w:keepNext/>
        <w:spacing w:after="120" w:before="280"/>
      </w:pPr>
      <w:r>
        <w:rPr>
          <w:rFonts w:ascii="Arial" w:cs="Arial" w:eastAsia="Arial" w:hAnsi="Arial"/>
          <w:b/>
          <w:bCs/>
          <w:color w:val="2E7D8C"/>
          <w:sz w:val="26"/>
          <w:szCs w:val="26"/>
        </w:rPr>
        <w:t xml:space="preserve">12.4  Scope of Year 1</w:t>
      </w:r>
    </w:p>
    <w:p>
      <w:pPr>
        <w:keepLines/>
        <w:spacing w:after="160" w:line="280"/>
      </w:pPr>
      <w:r>
        <w:rPr>
          <w:rFonts w:ascii="Georgia" w:cs="Georgia" w:eastAsia="Georgia" w:hAnsi="Georgia"/>
          <w:sz w:val="24"/>
          <w:szCs w:val="24"/>
        </w:rPr>
        <w:t xml:space="preserve">Year 1 is designed to test feasibility, refine tools, establish exemplars, and build faculty capacity. The fellowship does not seek to establish causal claims regarding student achievement, retention, or transfer. Claims are limited to teacher AI-TPACK and HAIC-K development, assessment design quality across iterations, indicators of student epistemic vigilance and cognitive agency, and quality of student intellectual labour evidence. Future implementation cycles may investigate downstream learning outcomes.</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13. Sustainability and Institutional Rollout</w:t>
      </w:r>
    </w:p>
    <w:p>
      <w:pPr>
        <w:pStyle w:val="Heading2"/>
        <w:keepNext/>
        <w:spacing w:after="120" w:before="280"/>
      </w:pPr>
      <w:r>
        <w:rPr>
          <w:rFonts w:ascii="Arial" w:cs="Arial" w:eastAsia="Arial" w:hAnsi="Arial"/>
          <w:b/>
          <w:bCs/>
          <w:color w:val="2E7D8C"/>
          <w:sz w:val="26"/>
          <w:szCs w:val="26"/>
        </w:rPr>
        <w:t xml:space="preserve">13.1  The Long-Term Vision</w:t>
      </w:r>
    </w:p>
    <w:p>
      <w:pPr>
        <w:keepLines/>
        <w:spacing w:after="160" w:line="280"/>
      </w:pPr>
      <w:r>
        <w:rPr>
          <w:rFonts w:ascii="Georgia" w:cs="Georgia" w:eastAsia="Georgia" w:hAnsi="Georgia"/>
          <w:sz w:val="24"/>
          <w:szCs w:val="24"/>
        </w:rPr>
        <w:t xml:space="preserve">This fellowship is not ultimately about AI. AI is the pressure exposing a broader assessment challenge. The lasting contribution is a framework for designing assessments that generate interpretable evidence of learning — grounded in </w:t>
      </w:r>
      <w:r>
        <w:rPr>
          <w:rFonts w:ascii="Georgia" w:cs="Georgia" w:eastAsia="Georgia" w:hAnsi="Georgia"/>
          <w:b/>
          <w:bCs/>
          <w:sz w:val="24"/>
          <w:szCs w:val="24"/>
        </w:rPr>
        <w:t xml:space="preserve">disciplinary thinking, departmental knowledge, and shared professional routines</w:t>
      </w:r>
      <w:r>
        <w:rPr>
          <w:rFonts w:ascii="Georgia" w:cs="Georgia" w:eastAsia="Georgia" w:hAnsi="Georgia"/>
          <w:sz w:val="24"/>
          <w:szCs w:val="24"/>
        </w:rPr>
        <w:t xml:space="preserve"> rather than in specific platforms.</w:t>
      </w:r>
    </w:p>
    <w:p>
      <w:pPr>
        <w:keepLines/>
        <w:spacing w:after="160" w:line="280"/>
      </w:pPr>
      <w:r>
        <w:rPr>
          <w:rFonts w:ascii="Georgia" w:cs="Georgia" w:eastAsia="Georgia" w:hAnsi="Georgia"/>
          <w:sz w:val="24"/>
          <w:szCs w:val="24"/>
        </w:rPr>
        <w:t xml:space="preserve">Long-term sustainability does not depend on AI expertise becoming widely distributed across the faculty. It depends on departments developing shared content knowledge (CK), pedagogical knowledge (PK), and pedagogical content knowledge (PCK) around assessment, evidence, and learning — professional knowledge structures that already exist within departments and just need the AI-specific dimensions added. The fellowship focuses precisely on those intersections. This is what makes it an </w:t>
      </w:r>
      <w:r>
        <w:rPr>
          <w:rFonts w:ascii="Georgia" w:cs="Georgia" w:eastAsia="Georgia" w:hAnsi="Georgia"/>
          <w:i/>
          <w:iCs/>
          <w:sz w:val="24"/>
          <w:szCs w:val="24"/>
        </w:rPr>
        <w:t xml:space="preserve">instructional improvement initiative that happens to address AI</w:t>
      </w:r>
      <w:r>
        <w:rPr>
          <w:rFonts w:ascii="Georgia" w:cs="Georgia" w:eastAsia="Georgia" w:hAnsi="Georgia"/>
          <w:sz w:val="24"/>
          <w:szCs w:val="24"/>
        </w:rPr>
        <w:t xml:space="preserve">, rather than an AI initiative that happens to touch instruction.</w:t>
      </w:r>
    </w:p>
    <w:p>
      <w:pPr>
        <w:keepLines/>
        <w:spacing w:after="160" w:line="280"/>
      </w:pPr>
      <w:r>
        <w:rPr>
          <w:rFonts w:ascii="Georgia" w:cs="Georgia" w:eastAsia="Georgia" w:hAnsi="Georgia"/>
          <w:sz w:val="24"/>
          <w:szCs w:val="24"/>
        </w:rPr>
        <w:t xml:space="preserve">Over time, the framework should feel less like an AI initiative and more like a curriculum and assessment initiative catalyzed by AI. When departments own the VISTA Protocol as a curriculum review tool, the fellowship’s work lives in institutional structures rather than in individual enthusiasm.</w:t>
      </w:r>
    </w:p>
    <w:p>
      <w:pPr>
        <w:keepLines/>
        <w:spacing w:after="160" w:line="280"/>
      </w:pPr>
      <w:r>
        <w:rPr>
          <w:rFonts w:ascii="Georgia" w:cs="Georgia" w:eastAsia="Georgia" w:hAnsi="Georgia"/>
          <w:sz w:val="24"/>
          <w:szCs w:val="24"/>
        </w:rPr>
        <w:t xml:space="preserve">The Cognitive Agency Knowledge Hub charts a parallel trajectory: from shared workspace to institutional memory to queryable institutional chatbot. By Year 4 and beyond, any CNG teacher can ask the Hub what the evidence says about assessment design in their discipline in an AI-rich classroom — and receive a grounded, sourced, contextually aware response built from CNG’s own accumulated professional learning. That is what a learning organization looks like.</w:t>
      </w:r>
    </w:p>
    <w:p>
      <w:pPr>
        <w:pStyle w:val="Heading2"/>
        <w:keepNext/>
        <w:spacing w:after="120" w:before="280"/>
      </w:pPr>
      <w:r>
        <w:rPr>
          <w:rFonts w:ascii="Arial" w:cs="Arial" w:eastAsia="Arial" w:hAnsi="Arial"/>
          <w:b/>
          <w:bCs/>
          <w:color w:val="2E7D8C"/>
          <w:sz w:val="26"/>
          <w:szCs w:val="26"/>
        </w:rPr>
        <w:t xml:space="preserve">13.2  Year 2 Architecture: From Individual to Collective TPACK</w:t>
      </w:r>
    </w:p>
    <w:p>
      <w:pPr>
        <w:keepLines/>
        <w:spacing w:after="160" w:line="280"/>
      </w:pPr>
      <w:r>
        <w:rPr>
          <w:rFonts w:ascii="Georgia" w:cs="Georgia" w:eastAsia="Georgia" w:hAnsi="Georgia"/>
          <w:sz w:val="24"/>
          <w:szCs w:val="24"/>
        </w:rPr>
        <w:t xml:space="preserve">Year 2 is not a replication of Year 1. It is a structural expansion in which Year 1 participants transition from learners to leaders, and the AI Task Force assumes shared facilitation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Year 2 Component</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What It Accomplishes</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1 Teachers as Mentors</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Year 1 participants are invited to serve as peer mentors for Year 2 cohort members in their discipline. Their role is to share their iteration arc — what they tried, what surprised them, what their student reasoning artifacts revealed. This is the most credible professional learning source: a colleague who did the work, at the same school, with the same students.</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AI Task Force as Co-Facilitators</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Year 2 brings Task Force members into the facilitation structure. Task Force members who completed Year 1 can co-lead PLC sessions, provide feedback on VISTA audits in their departments, and design the curriculum review integration that makes the protocol a standing institutional practice.</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Distributed Leadership</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Facilitation in Year 2 is distributed: Cajina (VISTA instrument and research documentation), Year 1 teacher mentors (disciplinary peer support), Task Force members (institutional coordination). No single person holds the entire model. This is the sustainability condition.</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Knowledge Hub as Shared Resource</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Year 1’s Knowledge Hub — populated with VISTA artifacts, student reasoning exemplars, and VSR reflection notes — becomes the foundational resource for Year 2 participants. Each cohort adds to it.</w:t>
            </w:r>
          </w:p>
        </w:tc>
      </w:tr>
    </w:tbl>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Why This Is a Stronger Sustainability Model</w:t>
            </w:r>
          </w:p>
          <w:p>
            <w:pPr>
              <w:spacing w:after="0"/>
            </w:pPr>
            <w:r>
              <w:rPr>
                <w:rFonts w:ascii="Georgia" w:cs="Georgia" w:eastAsia="Georgia" w:hAnsi="Georgia"/>
                <w:sz w:val="24"/>
                <w:szCs w:val="24"/>
              </w:rPr>
              <w:t xml:space="preserve">When Year 1 teachers become Year 2 mentors, the fellowship knowledge is no longer held by one facilitator. When the Task Force co-facilitates, the model is institutionally owned. When the Hub accumulates cross-disciplinary evidence, the question ‘does this work?’ has documented, school-specific answers.</w:t>
            </w:r>
          </w:p>
        </w:tc>
      </w:tr>
    </w:tbl>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13.3  Scaling Model</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760"/>
      </w:tblGrid>
      <w:tr>
        <w:trPr>
          <w:cantSplit/>
        </w:trPr>
        <w:tc>
          <w:tcPr>
            <w:tcW w:type="dxa" w:w="12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Year</w:t>
            </w:r>
          </w:p>
        </w:tc>
        <w:tc>
          <w:tcPr>
            <w:tcW w:type="dxa" w:w="20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Phase</w:t>
            </w:r>
          </w:p>
        </w:tc>
        <w:tc>
          <w:tcPr>
            <w:tcW w:type="dxa" w:w="24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Locus</w:t>
            </w:r>
          </w:p>
        </w:tc>
        <w:tc>
          <w:tcPr>
            <w:tcW w:type="dxa" w:w="376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Focus</w:t>
            </w:r>
          </w:p>
        </w:tc>
      </w:tr>
      <w:tr>
        <w:trPr>
          <w:cantSplit/>
        </w:trPr>
        <w:tc>
          <w:tcPr>
            <w:tcW w:type="dxa" w:w="12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sz w:val="22"/>
                <w:szCs w:val="22"/>
              </w:rPr>
              <w:t xml:space="preserve">Year 1</w:t>
            </w:r>
          </w:p>
        </w:tc>
        <w:tc>
          <w:tcPr>
            <w:tcW w:type="dxa" w:w="20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sz w:val="22"/>
                <w:szCs w:val="22"/>
              </w:rPr>
              <w:t xml:space="preserve">Pilot Cohort</w:t>
            </w:r>
          </w:p>
        </w:tc>
        <w:tc>
          <w:tcPr>
            <w:tcW w:type="dxa" w:w="24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High School — 5 teachers</w:t>
            </w:r>
          </w:p>
        </w:tc>
        <w:tc>
          <w:tcPr>
            <w:tcW w:type="dxa" w:w="376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Feasibility, tool refinement, exemplar generation, capacity building. Cajina leads facilitation and feedback. AI Task Force observes and co-develops handoff materials.</w:t>
            </w:r>
          </w:p>
        </w:tc>
      </w:tr>
      <w:tr>
        <w:trPr>
          <w:cantSplit/>
        </w:trPr>
        <w:tc>
          <w:tcPr>
            <w:tcW w:type="dxa" w:w="12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sz w:val="22"/>
                <w:szCs w:val="22"/>
              </w:rPr>
              <w:t xml:space="preserve">Year 2</w:t>
            </w:r>
          </w:p>
        </w:tc>
        <w:tc>
          <w:tcPr>
            <w:tcW w:type="dxa" w:w="20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sz w:val="22"/>
                <w:szCs w:val="22"/>
              </w:rPr>
              <w:t xml:space="preserve">Expanded Pilot</w:t>
            </w:r>
          </w:p>
        </w:tc>
        <w:tc>
          <w:tcPr>
            <w:tcW w:type="dxa" w:w="24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All divisions — AI Task Force facilitates</w:t>
            </w:r>
          </w:p>
        </w:tc>
        <w:tc>
          <w:tcPr>
            <w:tcW w:type="dxa" w:w="376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Expanded implementation across additional departments. AI Task Force assumes facilitation role. Knowledge Hub grows. Department PLC protocols introduced.</w:t>
            </w:r>
          </w:p>
        </w:tc>
      </w:tr>
      <w:tr>
        <w:trPr>
          <w:cantSplit/>
        </w:trPr>
        <w:tc>
          <w:tcPr>
            <w:tcW w:type="dxa" w:w="12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sz w:val="22"/>
                <w:szCs w:val="22"/>
              </w:rPr>
              <w:t xml:space="preserve">Year 3</w:t>
            </w:r>
          </w:p>
        </w:tc>
        <w:tc>
          <w:tcPr>
            <w:tcW w:type="dxa" w:w="20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sz w:val="22"/>
                <w:szCs w:val="22"/>
              </w:rPr>
              <w:t xml:space="preserve">LC, Makerspace &amp; Support Faculty</w:t>
            </w:r>
          </w:p>
        </w:tc>
        <w:tc>
          <w:tcPr>
            <w:tcW w:type="dxa" w:w="24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Learning Center + Makerspace + support faculty</w:t>
            </w:r>
          </w:p>
        </w:tc>
        <w:tc>
          <w:tcPr>
            <w:tcW w:type="dxa" w:w="376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UDL adaptation, multimodal evidence pathways, accessibility-first design, intervention support. Specialist-led with AI Task Force support.</w:t>
            </w:r>
          </w:p>
        </w:tc>
      </w:tr>
      <w:tr>
        <w:trPr>
          <w:cantSplit/>
        </w:trPr>
        <w:tc>
          <w:tcPr>
            <w:tcW w:type="dxa" w:w="12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sz w:val="22"/>
                <w:szCs w:val="22"/>
              </w:rPr>
              <w:t xml:space="preserve">Year 4</w:t>
            </w:r>
          </w:p>
        </w:tc>
        <w:tc>
          <w:tcPr>
            <w:tcW w:type="dxa" w:w="20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sz w:val="22"/>
                <w:szCs w:val="22"/>
              </w:rPr>
              <w:t xml:space="preserve">Institutional Integration</w:t>
            </w:r>
          </w:p>
        </w:tc>
        <w:tc>
          <w:tcPr>
            <w:tcW w:type="dxa" w:w="24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Department PLCs — AI Task Force stewards</w:t>
            </w:r>
          </w:p>
        </w:tc>
        <w:tc>
          <w:tcPr>
            <w:tcW w:type="dxa" w:w="376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Assessment audit routines embedded in departmental curriculum review. Knowledge Hub becomes institutional infrastructure. AI Task Force transitions to steward.</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13.4  Change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cantSplit/>
        </w:trPr>
        <w:tc>
          <w:tcPr>
            <w:tcW w:type="dxa" w:w="432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Concern</w:t>
            </w:r>
          </w:p>
        </w:tc>
        <w:tc>
          <w:tcPr>
            <w:tcW w:type="dxa" w:w="504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Response</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This is more work</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The fellowship redesigns existing assessments. One question takes thirty seconds. The PLC Protocol takes thirty minutes. Total async commitment: ~4–5 hours across eleven months.</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This is AI professional development</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This is about learning, assessment validity, and student intellectual labour. AI is the context. By Year 4, this is a curriculum and assessment initiative.</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This doesn’t fit my discipline</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The emerging shared language table shows discipline-specific connections. The protocol suite spans verbal, written, visual, computational, embodied, and artistic evidence.</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SAIL already covers this</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SAIL provides policy architecture. This fellowship provides the AI-TPACK, Ethical TPACK, XK, and HAIC-K mechanism that makes SAIL a pedagogical decision, not a label.</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Departments won’t sustain it</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Sustainable change depends on routines in existing structures, not individual champions (Fullan, 2016; DuFour &amp; Eaker, 1998). The PLC Protocol and Curriculum Review Integration Question are designed for exactly this.</w:t>
            </w:r>
          </w:p>
        </w:tc>
      </w:tr>
    </w:tbl>
    <w:p>
      <w:pPr>
        <w:keepNext/>
        <w:spacing w:after="20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14. Direct Alignment with CNG School Priorities</w:t>
      </w:r>
    </w:p>
    <w:p>
      <w:pPr>
        <w:pStyle w:val="Heading2"/>
        <w:keepNext/>
        <w:spacing w:after="120" w:before="280"/>
      </w:pPr>
      <w:r>
        <w:rPr>
          <w:rFonts w:ascii="Arial" w:cs="Arial" w:eastAsia="Arial" w:hAnsi="Arial"/>
          <w:b/>
          <w:bCs/>
          <w:color w:val="2E7D8C"/>
          <w:sz w:val="26"/>
          <w:szCs w:val="26"/>
        </w:rPr>
        <w:t xml:space="preserve">14.1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none" w:color="FFFFFF" w:sz="0"/>
              <w:left w:val="single" w:color="C9952A" w:sz="20"/>
              <w:bottom w:val="none" w:color="FFFFFF" w:sz="0"/>
              <w:right w:val="none" w:color="FFFFFF" w:sz="0"/>
            </w:tcBorders>
            <w:shd w:fill="FDF3E3" w:val="clear"/>
            <w:tcMar>
              <w:top w:type="dxa" w:w="120"/>
              <w:left w:type="dxa" w:w="240"/>
              <w:bottom w:type="dxa" w:w="120"/>
              <w:right w:type="dxa" w:w="240"/>
            </w:tcMar>
          </w:tcPr>
          <w:p>
            <w:pPr>
              <w:spacing w:after="60"/>
            </w:pPr>
            <w:r>
              <w:rPr>
                <w:rFonts w:ascii="Georgia" w:cs="Georgia" w:eastAsia="Georgia" w:hAnsi="Georgia"/>
                <w:i/>
                <w:iCs/>
                <w:sz w:val="24"/>
                <w:szCs w:val="24"/>
              </w:rPr>
              <w:t xml:space="preserve">“Educating the mind, strengthening the body, and developing character for LEADERSHIP AND SERVICE in the world of today for a better tomorrow.”</w:t>
            </w:r>
          </w:p>
          <w:p>
            <w:pPr>
              <w:spacing w:after="0"/>
            </w:pPr>
            <w:r>
              <w:rPr>
                <w:rFonts w:ascii="Georgia" w:cs="Georgia" w:eastAsia="Georgia" w:hAnsi="Georgia"/>
                <w:b/>
                <w:bCs/>
                <w:color w:val="2E7D8C"/>
                <w:sz w:val="22"/>
                <w:szCs w:val="22"/>
              </w:rPr>
              <w:t xml:space="preserve">— CNG Vision Statement</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The philosophy that grounds this vision states: </w:t>
      </w:r>
      <w:r>
        <w:rPr>
          <w:rFonts w:ascii="Georgia" w:cs="Georgia" w:eastAsia="Georgia" w:hAnsi="Georgia"/>
          <w:i/>
          <w:iCs/>
          <w:sz w:val="24"/>
          <w:szCs w:val="24"/>
        </w:rPr>
        <w:t xml:space="preserve">“Universal moral values such as respect, responsibility, integrity, and caring, are taught through direct instruction, modeling, and experience.”</w:t>
      </w:r>
      <w:r>
        <w:rPr>
          <w:rFonts w:ascii="Georgia" w:cs="Georgia" w:eastAsia="Georgia" w:hAnsi="Georgia"/>
          <w:sz w:val="24"/>
          <w:szCs w:val="24"/>
        </w:rPr>
        <w:t xml:space="preserve"> The fellowship operationalizes this precisely: values are not taught through a policy document but through teachers modeling disciplinary judgment, intellectual honesty, and epistemic care in their own practice.</w:t>
      </w:r>
    </w:p>
    <w:p>
      <w:pPr>
        <w:keepLines/>
        <w:spacing w:after="160" w:line="280"/>
      </w:pPr>
      <w:r>
        <w:rPr>
          <w:rFonts w:ascii="Georgia" w:cs="Georgia" w:eastAsia="Georgia" w:hAnsi="Georgia"/>
          <w:sz w:val="24"/>
          <w:szCs w:val="24"/>
        </w:rPr>
        <w:t xml:space="preserve">The fellowship addresses all three dimensions of the Vision. </w:t>
      </w:r>
      <w:r>
        <w:rPr>
          <w:rFonts w:ascii="Georgia" w:cs="Georgia" w:eastAsia="Georgia" w:hAnsi="Georgia"/>
          <w:b/>
          <w:bCs/>
          <w:sz w:val="24"/>
          <w:szCs w:val="24"/>
        </w:rPr>
        <w:t xml:space="preserve">Educating the mind</w:t>
      </w:r>
      <w:r>
        <w:rPr>
          <w:rFonts w:ascii="Georgia" w:cs="Georgia" w:eastAsia="Georgia" w:hAnsi="Georgia"/>
          <w:sz w:val="24"/>
          <w:szCs w:val="24"/>
        </w:rPr>
        <w:t xml:space="preserve">: visible reasoning protocols develop the metacognitive habits that define a well-educated mind. </w:t>
      </w:r>
      <w:r>
        <w:rPr>
          <w:rFonts w:ascii="Georgia" w:cs="Georgia" w:eastAsia="Georgia" w:hAnsi="Georgia"/>
          <w:b/>
          <w:bCs/>
          <w:sz w:val="24"/>
          <w:szCs w:val="24"/>
        </w:rPr>
        <w:t xml:space="preserve">Developing character</w:t>
      </w:r>
      <w:r>
        <w:rPr>
          <w:rFonts w:ascii="Georgia" w:cs="Georgia" w:eastAsia="Georgia" w:hAnsi="Georgia"/>
          <w:sz w:val="24"/>
          <w:szCs w:val="24"/>
        </w:rPr>
        <w:t xml:space="preserve">: the Disclosure Protocol builds intellectual honesty as practice. </w:t>
      </w:r>
      <w:r>
        <w:rPr>
          <w:rFonts w:ascii="Georgia" w:cs="Georgia" w:eastAsia="Georgia" w:hAnsi="Georgia"/>
          <w:b/>
          <w:bCs/>
          <w:sz w:val="24"/>
          <w:szCs w:val="24"/>
        </w:rPr>
        <w:t xml:space="preserve">Leadership and service</w:t>
      </w:r>
      <w:r>
        <w:rPr>
          <w:rFonts w:ascii="Georgia" w:cs="Georgia" w:eastAsia="Georgia" w:hAnsi="Georgia"/>
          <w:sz w:val="24"/>
          <w:szCs w:val="24"/>
        </w:rPr>
        <w:t xml:space="preserve">: Guerrero-Dib et al. (2020, 2023) demonstrate that ethical habits formed in school predict ethical behavior in professional and civic contexts. Students who develop Human Agency and Judgment at CNG carry that capacity into positions of influence worldwide.</w:t>
      </w:r>
    </w:p>
    <w:p>
      <w:pPr>
        <w:pStyle w:val="Heading2"/>
        <w:keepNext/>
        <w:spacing w:after="120" w:before="280"/>
      </w:pPr>
      <w:r>
        <w:rPr>
          <w:rFonts w:ascii="Arial" w:cs="Arial" w:eastAsia="Arial" w:hAnsi="Arial"/>
          <w:b/>
          <w:bCs/>
          <w:color w:val="2E7D8C"/>
          <w:sz w:val="26"/>
          <w:szCs w:val="26"/>
        </w:rPr>
        <w:t xml:space="preserve">14.2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none" w:color="FFFFFF" w:sz="0"/>
              <w:left w:val="single" w:color="C9952A" w:sz="20"/>
              <w:bottom w:val="none" w:color="FFFFFF" w:sz="0"/>
              <w:right w:val="none" w:color="FFFFFF" w:sz="0"/>
            </w:tcBorders>
            <w:shd w:fill="FDF3E3" w:val="clear"/>
            <w:tcMar>
              <w:top w:type="dxa" w:w="120"/>
              <w:left w:type="dxa" w:w="240"/>
              <w:bottom w:type="dxa" w:w="120"/>
              <w:right w:type="dxa" w:w="240"/>
            </w:tcMar>
          </w:tcPr>
          <w:p>
            <w:pPr>
              <w:spacing w:after="60"/>
            </w:pPr>
            <w:r>
              <w:rPr>
                <w:rFonts w:ascii="Georgia" w:cs="Georgia" w:eastAsia="Georgia" w:hAnsi="Georgia"/>
                <w:i/>
                <w:iCs/>
                <w:sz w:val="24"/>
                <w:szCs w:val="24"/>
              </w:rPr>
              <w:t xml:space="preserve">“CNG is a learning community committed to serving a diverse student population and preparing responsible global citizens through an accredited United States/Colombian college-preparatory program focused on motivating students to achieve their fullest individual potential for excellence.”</w:t>
            </w:r>
          </w:p>
          <w:p>
            <w:pPr>
              <w:spacing w:after="0"/>
            </w:pPr>
            <w:r>
              <w:rPr>
                <w:rFonts w:ascii="Georgia" w:cs="Georgia" w:eastAsia="Georgia" w:hAnsi="Georgia"/>
                <w:b/>
                <w:bCs/>
                <w:color w:val="2E7D8C"/>
                <w:sz w:val="22"/>
                <w:szCs w:val="22"/>
              </w:rPr>
              <w:t xml:space="preserve">— CNG Mission Statement</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Diverse student population</w:t>
      </w:r>
      <w:r>
        <w:rPr>
          <w:rFonts w:ascii="Georgia" w:cs="Georgia" w:eastAsia="Georgia" w:hAnsi="Georgia"/>
          <w:sz w:val="24"/>
          <w:szCs w:val="24"/>
        </w:rPr>
        <w:t xml:space="preserve">: the multimodal evidence framework — accepting verbal, written, visual, computational, embodied, and artistic reasoning — ensures students from 51 nationalities and 87% non-native English speakers can demonstrate intellectual labour authentically. CNG’s philosophy explicitly values this diversity as an educational asset, not merely a demographic fact.</w:t>
      </w:r>
    </w:p>
    <w:p>
      <w:pPr>
        <w:keepLines/>
        <w:spacing w:after="160" w:line="280"/>
      </w:pPr>
      <w:r>
        <w:rPr>
          <w:rFonts w:ascii="Georgia" w:cs="Georgia" w:eastAsia="Georgia" w:hAnsi="Georgia"/>
          <w:b/>
          <w:bCs/>
          <w:sz w:val="24"/>
          <w:szCs w:val="24"/>
        </w:rPr>
        <w:t xml:space="preserve">Responsible global citizens</w:t>
      </w:r>
      <w:r>
        <w:rPr>
          <w:rFonts w:ascii="Georgia" w:cs="Georgia" w:eastAsia="Georgia" w:hAnsi="Georgia"/>
          <w:sz w:val="24"/>
          <w:szCs w:val="24"/>
        </w:rPr>
        <w:t xml:space="preserve">: epistemic vigilance — the capacity to interrogate AI-generated claims, recognize whose knowledge is centered, and take responsibility for the conclusions one reaches — is a foundational citizenship skill. The Disclosure Protocol builds this as practice.</w:t>
      </w:r>
    </w:p>
    <w:p>
      <w:pPr>
        <w:keepLines/>
        <w:spacing w:after="160" w:line="280"/>
      </w:pPr>
      <w:r>
        <w:rPr>
          <w:rFonts w:ascii="Georgia" w:cs="Georgia" w:eastAsia="Georgia" w:hAnsi="Georgia"/>
          <w:b/>
          <w:bCs/>
          <w:sz w:val="24"/>
          <w:szCs w:val="24"/>
        </w:rPr>
        <w:t xml:space="preserve">Fullest individual potential for excellence</w:t>
      </w:r>
      <w:r>
        <w:rPr>
          <w:rFonts w:ascii="Georgia" w:cs="Georgia" w:eastAsia="Georgia" w:hAnsi="Georgia"/>
          <w:sz w:val="24"/>
          <w:szCs w:val="24"/>
        </w:rPr>
        <w:t xml:space="preserve">: assessment designs that capture intellectual labour give every student the opportunity to demonstrate actual capacity. When a student’s final product is indistinguishable from AI’s output, their potential remains invisible. When their reasoning is the evidence, every student has the opportunity to demonstrate who they actually are as a thinker.</w:t>
      </w:r>
    </w:p>
    <w:p>
      <w:pPr>
        <w:pStyle w:val="Heading2"/>
        <w:keepNext/>
        <w:spacing w:after="120" w:before="280"/>
      </w:pPr>
      <w:r>
        <w:rPr>
          <w:rFonts w:ascii="Arial" w:cs="Arial" w:eastAsia="Arial" w:hAnsi="Arial"/>
          <w:b/>
          <w:bCs/>
          <w:color w:val="2E7D8C"/>
          <w:sz w:val="26"/>
          <w:szCs w:val="26"/>
        </w:rPr>
        <w:t xml:space="preserve">14.3  Innovation Learning Initiative and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none" w:color="FFFFFF" w:sz="0"/>
              <w:left w:val="single" w:color="C9952A" w:sz="20"/>
              <w:bottom w:val="none" w:color="FFFFFF" w:sz="0"/>
              <w:right w:val="none" w:color="FFFFFF" w:sz="0"/>
            </w:tcBorders>
            <w:shd w:fill="FDF3E3" w:val="clear"/>
            <w:tcMar>
              <w:top w:type="dxa" w:w="120"/>
              <w:left w:type="dxa" w:w="240"/>
              <w:bottom w:type="dxa" w:w="120"/>
              <w:right w:type="dxa" w:w="240"/>
            </w:tcMar>
          </w:tcPr>
          <w:p>
            <w:pPr>
              <w:spacing w:after="60"/>
            </w:pPr>
            <w:r>
              <w:rPr>
                <w:rFonts w:ascii="Georgia" w:cs="Georgia" w:eastAsia="Georgia" w:hAnsi="Georgia"/>
                <w:i/>
                <w:iCs/>
                <w:sz w:val="24"/>
                <w:szCs w:val="24"/>
              </w:rPr>
              <w:t xml:space="preserve">“Innovation Learning is a schoolwide initiative focused on supporting students to master the competencies listed in our CNG Learner Profile.”</w:t>
            </w:r>
          </w:p>
          <w:p>
            <w:pPr>
              <w:spacing w:after="0"/>
            </w:pPr>
            <w:r>
              <w:rPr>
                <w:rFonts w:ascii="Georgia" w:cs="Georgia" w:eastAsia="Georgia" w:hAnsi="Georgia"/>
                <w:b/>
                <w:bCs/>
                <w:color w:val="2E7D8C"/>
                <w:sz w:val="22"/>
                <w:szCs w:val="22"/>
              </w:rPr>
              <w:t xml:space="preserve">— CNG School Profile, 2025–2026</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The Innovation Learning Initiative is student-facing by design. CNG’s own philosophy states that values are </w:t>
      </w:r>
      <w:r>
        <w:rPr>
          <w:rFonts w:ascii="Georgia" w:cs="Georgia" w:eastAsia="Georgia" w:hAnsi="Georgia"/>
          <w:i/>
          <w:iCs/>
          <w:sz w:val="24"/>
          <w:szCs w:val="24"/>
        </w:rPr>
        <w:t xml:space="preserve">taught through direct instruction, modeling, and experience</w:t>
      </w:r>
      <w:r>
        <w:rPr>
          <w:rFonts w:ascii="Georgia" w:cs="Georgia" w:eastAsia="Georgia" w:hAnsi="Georgia"/>
          <w:sz w:val="24"/>
          <w:szCs w:val="24"/>
        </w:rPr>
        <w:t xml:space="preserve">. Teachers who develop AI-TPACK, Ethical TPACK, and HAIC-K through this fellowship are not just learning to assess differently. They are </w:t>
      </w:r>
      <w:r>
        <w:rPr>
          <w:rFonts w:ascii="Georgia" w:cs="Georgia" w:eastAsia="Georgia" w:hAnsi="Georgia"/>
          <w:i/>
          <w:iCs/>
          <w:sz w:val="24"/>
          <w:szCs w:val="24"/>
        </w:rPr>
        <w:t xml:space="preserve">modeling</w:t>
      </w:r>
      <w:r>
        <w:rPr>
          <w:rFonts w:ascii="Georgia" w:cs="Georgia" w:eastAsia="Georgia" w:hAnsi="Georgia"/>
          <w:sz w:val="24"/>
          <w:szCs w:val="24"/>
        </w:rPr>
        <w:t xml:space="preserve"> what </w:t>
      </w:r>
      <w:r>
        <w:rPr>
          <w:rFonts w:ascii="Georgia" w:cs="Georgia" w:eastAsia="Georgia" w:hAnsi="Georgia"/>
          <w:b/>
          <w:bCs/>
          <w:sz w:val="24"/>
          <w:szCs w:val="24"/>
        </w:rPr>
        <w:t xml:space="preserve">Deep Thinking</w:t>
      </w:r>
      <w:r>
        <w:rPr>
          <w:rFonts w:ascii="Georgia" w:cs="Georgia" w:eastAsia="Georgia" w:hAnsi="Georgia"/>
          <w:sz w:val="24"/>
          <w:szCs w:val="24"/>
        </w:rPr>
        <w:t xml:space="preserve"> looks like when it meets AI — interrogating AI outputs, questioning assumptions, revising conclusions. They are modeling </w:t>
      </w:r>
      <w:r>
        <w:rPr>
          <w:rFonts w:ascii="Georgia" w:cs="Georgia" w:eastAsia="Georgia" w:hAnsi="Georgia"/>
          <w:b/>
          <w:bCs/>
          <w:sz w:val="24"/>
          <w:szCs w:val="24"/>
        </w:rPr>
        <w:t xml:space="preserve">Bold Innovation</w:t>
      </w:r>
      <w:r>
        <w:rPr>
          <w:rFonts w:ascii="Georgia" w:cs="Georgia" w:eastAsia="Georgia" w:hAnsi="Georgia"/>
          <w:sz w:val="24"/>
          <w:szCs w:val="24"/>
        </w:rPr>
        <w:t xml:space="preserve"> by redesigning assessment from within existing practice. They are modeling </w:t>
      </w:r>
      <w:r>
        <w:rPr>
          <w:rFonts w:ascii="Georgia" w:cs="Georgia" w:eastAsia="Georgia" w:hAnsi="Georgia"/>
          <w:b/>
          <w:bCs/>
          <w:sz w:val="24"/>
          <w:szCs w:val="24"/>
        </w:rPr>
        <w:t xml:space="preserve">Change Agency</w:t>
      </w:r>
      <w:r>
        <w:rPr>
          <w:rFonts w:ascii="Georgia" w:cs="Georgia" w:eastAsia="Georgia" w:hAnsi="Georgia"/>
          <w:sz w:val="24"/>
          <w:szCs w:val="24"/>
        </w:rPr>
        <w:t xml:space="preserve"> by taking civic-minded, solution-focused responsibility for the ethical dimensions of AI use in their own classrooms. And they are modeling </w:t>
      </w:r>
      <w:r>
        <w:rPr>
          <w:rFonts w:ascii="Georgia" w:cs="Georgia" w:eastAsia="Georgia" w:hAnsi="Georgia"/>
          <w:b/>
          <w:bCs/>
          <w:sz w:val="24"/>
          <w:szCs w:val="24"/>
        </w:rPr>
        <w:t xml:space="preserve">Community Building</w:t>
      </w:r>
      <w:r>
        <w:rPr>
          <w:rFonts w:ascii="Georgia" w:cs="Georgia" w:eastAsia="Georgia" w:hAnsi="Georgia"/>
          <w:sz w:val="24"/>
          <w:szCs w:val="24"/>
        </w:rPr>
        <w:t xml:space="preserve"> by developing shared departmental language and collaborative assessment practices. </w:t>
      </w:r>
      <w:r>
        <w:rPr>
          <w:rFonts w:ascii="Georgia" w:cs="Georgia" w:eastAsia="Georgia" w:hAnsi="Georgia"/>
          <w:b/>
          <w:bCs/>
          <w:sz w:val="24"/>
          <w:szCs w:val="24"/>
        </w:rPr>
        <w:t xml:space="preserve">The fellowship is the mechanism through which the Innovation Learning Initiative becomes something teachers live, not only something they teach</w:t>
      </w:r>
      <w:r>
        <w:rPr>
          <w:rFonts w:ascii="Georgia" w:cs="Georgia" w:eastAsia="Georgia" w:hAnsi="Georgia"/>
          <w:sz w:val="24"/>
          <w:szCs w:val="24"/>
        </w:rPr>
        <w:t xml:space="preserve">.</w:t>
      </w:r>
    </w:p>
    <w:p>
      <w:pPr>
        <w:pStyle w:val="Heading2"/>
        <w:keepNext/>
        <w:spacing w:after="120" w:before="280"/>
      </w:pPr>
      <w:r>
        <w:rPr>
          <w:rFonts w:ascii="Arial" w:cs="Arial" w:eastAsia="Arial" w:hAnsi="Arial"/>
          <w:b/>
          <w:bCs/>
          <w:color w:val="2E7D8C"/>
          <w:sz w:val="26"/>
          <w:szCs w:val="26"/>
        </w:rPr>
        <w:t xml:space="preserve">14.4  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cantSplit/>
        </w:trPr>
        <w:tc>
          <w:tcPr>
            <w:tcW w:type="dxa" w:w="432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Core Value</w:t>
            </w:r>
          </w:p>
        </w:tc>
        <w:tc>
          <w:tcPr>
            <w:tcW w:type="dxa" w:w="504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Fellowship Connection</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Integrity (Commitment, Honesty, Fair Play, Assertiveness)</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Integrity at CNG means doing what you say you will do and demonstrating academic integrity. The Disclosure Protocol operationalizes this: students document their reasoning, their AI contributions, and their evaluative judgments — building the habit of honest self-accounting that CNG’s definition of integrity requires. The fellowship models this before asking students to practice it.</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Respect (Value Uniqueness, Follow Rules, Care for Property)</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Respect at CNG means valuing and protecting each individual’s worth, rights, dignity, and boundaries. The multimodal evidence framework — accepting verbal, written, visual, computational, embodied, and artistic reasoning — enacts this: it protects the irreducible diversity of how understanding manifests across CNG’s 51 nationalities. No mode of knowing is treated as less valid than another.</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Responsibility (Accountability, Personal Growth, Critical Thinking)</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Responsibility at CNG means taking ownership of behavior and decisions, and using critical thinking to make educated decisions. Students who develop the capacity to interrogate AI-generated claims, recognize bias, and justify their conclusions are exercising exactly this — taking intellectual ownership rather than outsourcing judgment.</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Caring (Empathy, Service, Relationships)</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Caring at CNG means investing in relationships and displaying empathy without expecting anything in return. Teacher feedback built on interpretable evidence of thinking — responding to what the student actually thought, not to a polished product that may not reflect them — is a more genuinely caring assessment practice. The fellowship builds teachers’ capacity to care responsively.</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14.4a  CNG Philosophy</w:t>
      </w:r>
    </w:p>
    <w:p>
      <w:pPr>
        <w:keepLines/>
        <w:spacing w:after="160" w:line="280"/>
      </w:pPr>
      <w:r>
        <w:rPr>
          <w:rFonts w:ascii="Georgia" w:cs="Georgia" w:eastAsia="Georgia" w:hAnsi="Georgia"/>
          <w:sz w:val="24"/>
          <w:szCs w:val="24"/>
        </w:rPr>
        <w:t xml:space="preserve">CNG’s educational philosophy articulates specific beliefs that this fellowship enacts directly. Three are worth naming explicitly:</w:t>
      </w:r>
    </w:p>
    <w:p>
      <w:pPr>
        <w:pStyle w:val="ListParagraph"/>
        <w:numPr>
          <w:ilvl w:val="0"/>
          <w:numId w:val="2"/>
        </w:numPr>
        <w:spacing w:after="100"/>
      </w:pPr>
      <w:r>
        <w:rPr>
          <w:rFonts w:ascii="Georgia" w:cs="Georgia" w:eastAsia="Georgia" w:hAnsi="Georgia"/>
          <w:sz w:val="24"/>
          <w:szCs w:val="24"/>
        </w:rPr>
        <w:t xml:space="preserve"/>
      </w:r>
      <w:r>
        <w:rPr>
          <w:rFonts w:ascii="Georgia" w:cs="Georgia" w:eastAsia="Georgia" w:hAnsi="Georgia"/>
          <w:b/>
          <w:bCs/>
          <w:sz w:val="24"/>
          <w:szCs w:val="24"/>
        </w:rPr>
        <w:t xml:space="preserve">“Universal moral values such as respect, responsibility, integrity, and caring, are taught through direct instruction, modeling, and experience.”</w:t>
      </w:r>
      <w:r>
        <w:rPr>
          <w:rFonts w:ascii="Georgia" w:cs="Georgia" w:eastAsia="Georgia" w:hAnsi="Georgia"/>
          <w:sz w:val="24"/>
          <w:szCs w:val="24"/>
        </w:rPr>
        <w:t xml:space="preserve"> The fellowship models what principled AI use looks like in practice — not through a policy document, but through teachers working through bias, epistemic vigilance, and disclosure in their own assessments. Values taught through modeling, not recitation.</w:t>
      </w:r>
    </w:p>
    <w:p>
      <w:pPr>
        <w:pStyle w:val="ListParagraph"/>
        <w:numPr>
          <w:ilvl w:val="0"/>
          <w:numId w:val="2"/>
        </w:numPr>
        <w:spacing w:after="100"/>
      </w:pPr>
      <w:r>
        <w:rPr>
          <w:rFonts w:ascii="Georgia" w:cs="Georgia" w:eastAsia="Georgia" w:hAnsi="Georgia"/>
          <w:sz w:val="24"/>
          <w:szCs w:val="24"/>
        </w:rPr>
        <w:t xml:space="preserve"/>
      </w:r>
      <w:r>
        <w:rPr>
          <w:rFonts w:ascii="Georgia" w:cs="Georgia" w:eastAsia="Georgia" w:hAnsi="Georgia"/>
          <w:b/>
          <w:bCs/>
          <w:sz w:val="24"/>
          <w:szCs w:val="24"/>
        </w:rPr>
        <w:t xml:space="preserve">“A balance of local and international faculty emphasizes an awareness, appreciation, and inclusion of our multi-cultural demographic.”</w:t>
      </w:r>
      <w:r>
        <w:rPr>
          <w:rFonts w:ascii="Georgia" w:cs="Georgia" w:eastAsia="Georgia" w:hAnsi="Georgia"/>
          <w:sz w:val="24"/>
          <w:szCs w:val="24"/>
        </w:rPr>
        <w:t xml:space="preserve"> The deliberate selection of one local Colombian and one international faculty pair in Year 1 is a direct enactment of this philosophy — both contextual knowledge profiles enrich the fellowship’s tools and make the resulting artifacts more genuinely inclusive.</w:t>
      </w:r>
    </w:p>
    <w:p>
      <w:pPr>
        <w:pStyle w:val="ListParagraph"/>
        <w:numPr>
          <w:ilvl w:val="0"/>
          <w:numId w:val="2"/>
        </w:numPr>
        <w:spacing w:after="100"/>
      </w:pPr>
      <w:r>
        <w:rPr>
          <w:rFonts w:ascii="Georgia" w:cs="Georgia" w:eastAsia="Georgia" w:hAnsi="Georgia"/>
          <w:sz w:val="24"/>
          <w:szCs w:val="24"/>
        </w:rPr>
        <w:t xml:space="preserve"/>
      </w:r>
      <w:r>
        <w:rPr>
          <w:rFonts w:ascii="Georgia" w:cs="Georgia" w:eastAsia="Georgia" w:hAnsi="Georgia"/>
          <w:b/>
          <w:bCs/>
          <w:sz w:val="24"/>
          <w:szCs w:val="24"/>
        </w:rPr>
        <w:t xml:space="preserve">“Students are happy and they experience the joy of learning.”</w:t>
      </w:r>
      <w:r>
        <w:rPr>
          <w:rFonts w:ascii="Georgia" w:cs="Georgia" w:eastAsia="Georgia" w:hAnsi="Georgia"/>
          <w:sz w:val="24"/>
          <w:szCs w:val="24"/>
        </w:rPr>
        <w:t xml:space="preserve"> The fellowship’s workload design — approximately 7–9 hours across eleven months, with async feedback and optional third iterations — reflects this. The VISTA Protocol is designed to be usable on a tired day in February, not only on an energized day in September. A fellowship that burns out its participants is not an ethical professional learning initiative.</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14.5  Senior Research Project</w:t>
      </w:r>
    </w:p>
    <w:p>
      <w:pPr>
        <w:keepLines/>
        <w:spacing w:after="160" w:line="280"/>
      </w:pPr>
      <w:r>
        <w:rPr>
          <w:rFonts w:ascii="Georgia" w:cs="Georgia" w:eastAsia="Georgia" w:hAnsi="Georgia"/>
          <w:sz w:val="24"/>
          <w:szCs w:val="24"/>
        </w:rPr>
        <w:t xml:space="preserve">The SRP’s oral defense requirement is structurally identical to the oral defense visible reasoning protocol the fellowship develops. The fellowship builds the pedagogical scaffold that prepares students for SRP demands years earlier — across every discipline, not only in the SRP year.</w:t>
      </w:r>
    </w:p>
    <w:p>
      <w:pPr>
        <w:pStyle w:val="Heading2"/>
        <w:keepNext/>
        <w:spacing w:after="120" w:before="280"/>
      </w:pPr>
      <w:r>
        <w:rPr>
          <w:rFonts w:ascii="Arial" w:cs="Arial" w:eastAsia="Arial" w:hAnsi="Arial"/>
          <w:b/>
          <w:bCs/>
          <w:color w:val="2E7D8C"/>
          <w:sz w:val="26"/>
          <w:szCs w:val="26"/>
        </w:rPr>
        <w:t xml:space="preserve">14.6  Technology Strategic Direction and AI Framework</w:t>
      </w:r>
    </w:p>
    <w:p>
      <w:pPr>
        <w:keepLines/>
        <w:spacing w:after="160" w:line="280"/>
      </w:pPr>
      <w:r>
        <w:rPr>
          <w:rFonts w:ascii="Georgia" w:cs="Georgia" w:eastAsia="Georgia" w:hAnsi="Georgia"/>
          <w:sz w:val="24"/>
          <w:szCs w:val="24"/>
        </w:rPr>
        <w:t xml:space="preserve">CNG’s technology philosophy states that </w:t>
      </w:r>
      <w:r>
        <w:rPr>
          <w:rFonts w:ascii="Georgia" w:cs="Georgia" w:eastAsia="Georgia" w:hAnsi="Georgia"/>
          <w:i/>
          <w:iCs/>
          <w:sz w:val="24"/>
          <w:szCs w:val="24"/>
        </w:rPr>
        <w:t xml:space="preserve">the thoughtful and intentional use of technology allows each child to fully understand and take charge of their own learning</w:t>
      </w:r>
      <w:r>
        <w:rPr>
          <w:rFonts w:ascii="Georgia" w:cs="Georgia" w:eastAsia="Georgia" w:hAnsi="Georgia"/>
          <w:sz w:val="24"/>
          <w:szCs w:val="24"/>
        </w:rPr>
        <w:t xml:space="preserve">. CNG’s AI Framework for Employees (Draft v4, SY2024–2025) establishes this as institutional expectation: teachers are responsible for making </w:t>
      </w:r>
      <w:r>
        <w:rPr>
          <w:rFonts w:ascii="Georgia" w:cs="Georgia" w:eastAsia="Georgia" w:hAnsi="Georgia"/>
          <w:b/>
          <w:bCs/>
          <w:sz w:val="24"/>
          <w:szCs w:val="24"/>
        </w:rPr>
        <w:t xml:space="preserve">deliberate, ethical, pedagogically-grounded AI integration decisions</w:t>
      </w:r>
      <w:r>
        <w:rPr>
          <w:rFonts w:ascii="Georgia" w:cs="Georgia" w:eastAsia="Georgia" w:hAnsi="Georgia"/>
          <w:sz w:val="24"/>
          <w:szCs w:val="24"/>
        </w:rPr>
        <w:t xml:space="preserve"> rather than default or arbitrary ones.</w:t>
      </w:r>
    </w:p>
    <w:p>
      <w:pPr>
        <w:keepLines/>
        <w:spacing w:after="160" w:line="280"/>
      </w:pPr>
      <w:r>
        <w:rPr>
          <w:rFonts w:ascii="Georgia" w:cs="Georgia" w:eastAsia="Georgia" w:hAnsi="Georgia"/>
          <w:sz w:val="24"/>
          <w:szCs w:val="24"/>
        </w:rPr>
        <w:t xml:space="preserve">The fellowship is the professional learning mechanism the Framework describes but does not yet specify. The Framework requires teachers to determine SAIL levels for assessments, model ethical AI use, teach students to cite AI, and engage in continuous AI literacy development. What it does not yet provide is the pedagogical mechanism for how teachers develop the AI-TPACK needed to do those things well. The fellowship builds exactly that — through sustained disciplinary inquiry, iterative assessment design, and the kind of practice-embedded professional learning the Framework's professional learning section envisions.</w:t>
      </w:r>
    </w:p>
    <w:p>
      <w:pPr>
        <w:keepLines/>
        <w:spacing w:after="160" w:line="280"/>
      </w:pPr>
      <w:r>
        <w:rPr>
          <w:rFonts w:ascii="Georgia" w:cs="Georgia" w:eastAsia="Georgia" w:hAnsi="Georgia"/>
          <w:sz w:val="24"/>
          <w:szCs w:val="24"/>
        </w:rPr>
        <w:t xml:space="preserve">This fellowship also deepens the Framework’s section on High School expectations — specifically the requirement to design tasks where AI use is </w:t>
      </w:r>
      <w:r>
        <w:rPr>
          <w:rFonts w:ascii="Georgia" w:cs="Georgia" w:eastAsia="Georgia" w:hAnsi="Georgia"/>
          <w:i/>
          <w:iCs/>
          <w:sz w:val="24"/>
          <w:szCs w:val="24"/>
        </w:rPr>
        <w:t xml:space="preserve">intentional, transparent, and aligned to a defined SAIL level</w:t>
      </w:r>
      <w:r>
        <w:rPr>
          <w:rFonts w:ascii="Georgia" w:cs="Georgia" w:eastAsia="Georgia" w:hAnsi="Georgia"/>
          <w:sz w:val="24"/>
          <w:szCs w:val="24"/>
        </w:rPr>
        <w:t xml:space="preserve">. The VISTA Protocol makes that alignment a disciplinary practice rather than an administrative checkbox.</w:t>
      </w:r>
    </w:p>
    <w:p>
      <w:pPr>
        <w:pStyle w:val="Heading2"/>
        <w:keepNext/>
        <w:spacing w:after="120" w:before="280"/>
      </w:pPr>
      <w:r>
        <w:rPr>
          <w:rFonts w:ascii="Arial" w:cs="Arial" w:eastAsia="Arial" w:hAnsi="Arial"/>
          <w:b/>
          <w:bCs/>
          <w:color w:val="2E7D8C"/>
          <w:sz w:val="26"/>
          <w:szCs w:val="26"/>
        </w:rPr>
        <w:t xml:space="preserve">14.7  Community Service and Leadership</w:t>
      </w:r>
    </w:p>
    <w:p>
      <w:pPr>
        <w:keepLines/>
        <w:spacing w:after="160" w:line="280"/>
      </w:pPr>
      <w:r>
        <w:rPr>
          <w:rFonts w:ascii="Georgia" w:cs="Georgia" w:eastAsia="Georgia" w:hAnsi="Georgia"/>
          <w:sz w:val="24"/>
          <w:szCs w:val="24"/>
        </w:rPr>
        <w:t xml:space="preserve">CNG’s community service requirement — 80+ hours per student, aligned with UN SDGs — reflects a leadership and service commitment inseparable from the Human Agency and Judgment the fellowship develops. A student who has learned to interrogate AI-generated claims, recognize whose knowledge is centered, and take responsibility for their conclusions is developing exactly the dispositions that meaningful community service demands.</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15. References</w:t>
      </w:r>
    </w:p>
    <w:p>
      <w:pPr>
        <w:pStyle w:val="Heading2"/>
        <w:keepNext/>
        <w:spacing w:after="120" w:before="280"/>
      </w:pPr>
      <w:r>
        <w:rPr>
          <w:rFonts w:ascii="Arial" w:cs="Arial" w:eastAsia="Arial" w:hAnsi="Arial"/>
          <w:b/>
          <w:bCs/>
          <w:color w:val="2E7D8C"/>
          <w:sz w:val="26"/>
          <w:szCs w:val="26"/>
        </w:rPr>
        <w:t xml:space="preserve">Foundational and Organizational Learning Literature</w:t>
      </w:r>
    </w:p>
    <w:p>
      <w:pPr>
        <w:keepLines/>
        <w:spacing w:after="160" w:line="280"/>
      </w:pPr>
      <w:r>
        <w:rPr>
          <w:rFonts w:ascii="Georgia" w:cs="Georgia" w:eastAsia="Georgia" w:hAnsi="Georgia"/>
          <w:b/>
          <w:bCs/>
          <w:sz w:val="24"/>
          <w:szCs w:val="24"/>
        </w:rPr>
        <w:t xml:space="preserve">Bandura, A. </w:t>
      </w:r>
      <w:r>
        <w:rPr>
          <w:rFonts w:ascii="Georgia" w:cs="Georgia" w:eastAsia="Georgia" w:hAnsi="Georgia"/>
          <w:sz w:val="24"/>
          <w:szCs w:val="24"/>
        </w:rPr>
        <w:t xml:space="preserve">(1986). </w:t>
      </w:r>
      <w:r>
        <w:rPr>
          <w:rFonts w:ascii="Georgia" w:cs="Georgia" w:eastAsia="Georgia" w:hAnsi="Georgia"/>
          <w:i/>
          <w:iCs/>
          <w:sz w:val="24"/>
          <w:szCs w:val="24"/>
        </w:rPr>
        <w:t xml:space="preserve">Social foundations of thought and action.</w:t>
      </w:r>
      <w:r>
        <w:rPr>
          <w:rFonts w:ascii="Georgia" w:cs="Georgia" w:eastAsia="Georgia" w:hAnsi="Georgia"/>
          <w:sz w:val="24"/>
          <w:szCs w:val="24"/>
        </w:rPr>
        <w:t xml:space="preserve"> Prentice-Hall.</w:t>
      </w:r>
    </w:p>
    <w:p>
      <w:pPr>
        <w:keepLines/>
        <w:spacing w:after="160" w:line="280"/>
      </w:pPr>
      <w:r>
        <w:rPr>
          <w:rFonts w:ascii="Georgia" w:cs="Georgia" w:eastAsia="Georgia" w:hAnsi="Georgia"/>
          <w:b/>
          <w:bCs/>
          <w:sz w:val="24"/>
          <w:szCs w:val="24"/>
        </w:rPr>
        <w:t xml:space="preserve">Boaler, J. </w:t>
      </w:r>
      <w:r>
        <w:rPr>
          <w:rFonts w:ascii="Georgia" w:cs="Georgia" w:eastAsia="Georgia" w:hAnsi="Georgia"/>
          <w:sz w:val="24"/>
          <w:szCs w:val="24"/>
        </w:rPr>
        <w:t xml:space="preserve">(2016). </w:t>
      </w:r>
      <w:r>
        <w:rPr>
          <w:rFonts w:ascii="Georgia" w:cs="Georgia" w:eastAsia="Georgia" w:hAnsi="Georgia"/>
          <w:i/>
          <w:iCs/>
          <w:sz w:val="24"/>
          <w:szCs w:val="24"/>
        </w:rPr>
        <w:t xml:space="preserve">Mathematical mindsets: Unleashing students’ potential through creative mathematics, inspiring messages and innovative teaching.</w:t>
      </w:r>
      <w:r>
        <w:rPr>
          <w:rFonts w:ascii="Georgia" w:cs="Georgia" w:eastAsia="Georgia" w:hAnsi="Georgia"/>
          <w:sz w:val="24"/>
          <w:szCs w:val="24"/>
        </w:rPr>
        <w:t xml:space="preserve"> Jossey-Bass.</w:t>
      </w:r>
    </w:p>
    <w:p>
      <w:pPr>
        <w:keepLines/>
        <w:spacing w:after="160" w:line="280"/>
      </w:pPr>
      <w:r>
        <w:rPr>
          <w:rFonts w:ascii="Georgia" w:cs="Georgia" w:eastAsia="Georgia" w:hAnsi="Georgia"/>
          <w:b/>
          <w:bCs/>
          <w:sz w:val="24"/>
          <w:szCs w:val="24"/>
        </w:rPr>
        <w:t xml:space="preserve">Bardone, E., Mottus, P., &amp; Eradze, M. </w:t>
      </w:r>
      <w:r>
        <w:rPr>
          <w:rFonts w:ascii="Georgia" w:cs="Georgia" w:eastAsia="Georgia" w:hAnsi="Georgia"/>
          <w:sz w:val="24"/>
          <w:szCs w:val="24"/>
        </w:rPr>
        <w:t xml:space="preserve">(2024). Tinkering as a complement to design in technology integration. </w:t>
      </w:r>
      <w:r>
        <w:rPr>
          <w:rFonts w:ascii="Georgia" w:cs="Georgia" w:eastAsia="Georgia" w:hAnsi="Georgia"/>
          <w:i/>
          <w:iCs/>
          <w:sz w:val="24"/>
          <w:szCs w:val="24"/>
        </w:rPr>
        <w:t xml:space="preserve">Postdigital Science and Education, 6</w:t>
      </w:r>
      <w:r>
        <w:rPr>
          <w:rFonts w:ascii="Georgia" w:cs="Georgia" w:eastAsia="Georgia" w:hAnsi="Georgia"/>
          <w:sz w:val="24"/>
          <w:szCs w:val="24"/>
        </w:rPr>
        <w:t xml:space="preserve">(1), 114–134.</w:t>
      </w:r>
    </w:p>
    <w:p>
      <w:pPr>
        <w:keepLines/>
        <w:spacing w:after="160" w:line="280"/>
      </w:pPr>
      <w:r>
        <w:rPr>
          <w:rFonts w:ascii="Georgia" w:cs="Georgia" w:eastAsia="Georgia" w:hAnsi="Georgia"/>
          <w:b/>
          <w:bCs/>
          <w:sz w:val="24"/>
          <w:szCs w:val="24"/>
        </w:rPr>
        <w:t xml:space="preserve">Biggs, J. </w:t>
      </w:r>
      <w:r>
        <w:rPr>
          <w:rFonts w:ascii="Georgia" w:cs="Georgia" w:eastAsia="Georgia" w:hAnsi="Georgia"/>
          <w:sz w:val="24"/>
          <w:szCs w:val="24"/>
        </w:rPr>
        <w:t xml:space="preserve">(2003). </w:t>
      </w:r>
      <w:r>
        <w:rPr>
          <w:rFonts w:ascii="Georgia" w:cs="Georgia" w:eastAsia="Georgia" w:hAnsi="Georgia"/>
          <w:i/>
          <w:iCs/>
          <w:sz w:val="24"/>
          <w:szCs w:val="24"/>
        </w:rPr>
        <w:t xml:space="preserve">Teaching for quality learning at university</w:t>
      </w:r>
      <w:r>
        <w:rPr>
          <w:rFonts w:ascii="Georgia" w:cs="Georgia" w:eastAsia="Georgia" w:hAnsi="Georgia"/>
          <w:sz w:val="24"/>
          <w:szCs w:val="24"/>
        </w:rPr>
        <w:t xml:space="preserve"> (2nd ed.). Society for Research into Higher Education &amp; Open University Press.</w:t>
      </w:r>
    </w:p>
    <w:p>
      <w:pPr>
        <w:keepLines/>
        <w:spacing w:after="160" w:line="280"/>
      </w:pPr>
      <w:r>
        <w:rPr>
          <w:rFonts w:ascii="Georgia" w:cs="Georgia" w:eastAsia="Georgia" w:hAnsi="Georgia"/>
          <w:b/>
          <w:bCs/>
          <w:sz w:val="24"/>
          <w:szCs w:val="24"/>
        </w:rPr>
        <w:t xml:space="preserve">Black, P., &amp; Wiliam, D. </w:t>
      </w:r>
      <w:r>
        <w:rPr>
          <w:rFonts w:ascii="Georgia" w:cs="Georgia" w:eastAsia="Georgia" w:hAnsi="Georgia"/>
          <w:sz w:val="24"/>
          <w:szCs w:val="24"/>
        </w:rPr>
        <w:t xml:space="preserve">(1998). Assessment and classroom learning. </w:t>
      </w:r>
      <w:r>
        <w:rPr>
          <w:rFonts w:ascii="Georgia" w:cs="Georgia" w:eastAsia="Georgia" w:hAnsi="Georgia"/>
          <w:i/>
          <w:iCs/>
          <w:sz w:val="24"/>
          <w:szCs w:val="24"/>
        </w:rPr>
        <w:t xml:space="preserve">Assessment in Education, 5</w:t>
      </w:r>
      <w:r>
        <w:rPr>
          <w:rFonts w:ascii="Georgia" w:cs="Georgia" w:eastAsia="Georgia" w:hAnsi="Georgia"/>
          <w:sz w:val="24"/>
          <w:szCs w:val="24"/>
        </w:rPr>
        <w:t xml:space="preserve">(1), 7–74.</w:t>
      </w:r>
    </w:p>
    <w:p>
      <w:pPr>
        <w:keepLines/>
        <w:spacing w:after="160" w:line="280"/>
      </w:pPr>
      <w:r>
        <w:rPr>
          <w:rFonts w:ascii="Georgia" w:cs="Georgia" w:eastAsia="Georgia" w:hAnsi="Georgia"/>
          <w:b/>
          <w:bCs/>
          <w:sz w:val="24"/>
          <w:szCs w:val="24"/>
        </w:rPr>
        <w:t xml:space="preserve">Bryk, A. S., Gomez, L. M., Grunow, A., &amp; LeMahieu, P. G. </w:t>
      </w:r>
      <w:r>
        <w:rPr>
          <w:rFonts w:ascii="Georgia" w:cs="Georgia" w:eastAsia="Georgia" w:hAnsi="Georgia"/>
          <w:sz w:val="24"/>
          <w:szCs w:val="24"/>
        </w:rPr>
        <w:t xml:space="preserve">(2015). </w:t>
      </w:r>
      <w:r>
        <w:rPr>
          <w:rFonts w:ascii="Georgia" w:cs="Georgia" w:eastAsia="Georgia" w:hAnsi="Georgia"/>
          <w:i/>
          <w:iCs/>
          <w:sz w:val="24"/>
          <w:szCs w:val="24"/>
        </w:rPr>
        <w:t xml:space="preserve">Learning to improve.</w:t>
      </w:r>
      <w:r>
        <w:rPr>
          <w:rFonts w:ascii="Georgia" w:cs="Georgia" w:eastAsia="Georgia" w:hAnsi="Georgia"/>
          <w:sz w:val="24"/>
          <w:szCs w:val="24"/>
        </w:rPr>
        <w:t xml:space="preserve"> Harvard Education Press.</w:t>
      </w:r>
    </w:p>
    <w:p>
      <w:pPr>
        <w:keepLines/>
        <w:spacing w:after="160" w:line="280"/>
      </w:pPr>
      <w:r>
        <w:rPr>
          <w:rFonts w:ascii="Georgia" w:cs="Georgia" w:eastAsia="Georgia" w:hAnsi="Georgia"/>
          <w:b/>
          <w:bCs/>
          <w:sz w:val="24"/>
          <w:szCs w:val="24"/>
        </w:rPr>
        <w:t xml:space="preserve">CAST. </w:t>
      </w:r>
      <w:r>
        <w:rPr>
          <w:rFonts w:ascii="Georgia" w:cs="Georgia" w:eastAsia="Georgia" w:hAnsi="Georgia"/>
          <w:sz w:val="24"/>
          <w:szCs w:val="24"/>
        </w:rPr>
        <w:t xml:space="preserve">(2018). </w:t>
      </w:r>
      <w:r>
        <w:rPr>
          <w:rFonts w:ascii="Georgia" w:cs="Georgia" w:eastAsia="Georgia" w:hAnsi="Georgia"/>
          <w:i/>
          <w:iCs/>
          <w:sz w:val="24"/>
          <w:szCs w:val="24"/>
        </w:rPr>
        <w:t xml:space="preserve">Universal design for learning guidelines version 2.2.</w:t>
      </w:r>
      <w:r>
        <w:rPr>
          <w:rFonts w:ascii="Georgia" w:cs="Georgia" w:eastAsia="Georgia" w:hAnsi="Georgia"/>
          <w:sz w:val="24"/>
          <w:szCs w:val="24"/>
        </w:rPr>
        <w:t xml:space="preserve"> http://udlguidelines.cast.org</w:t>
      </w:r>
    </w:p>
    <w:p>
      <w:pPr>
        <w:keepLines/>
        <w:spacing w:after="160" w:line="280"/>
      </w:pPr>
      <w:r>
        <w:rPr>
          <w:rFonts w:ascii="Georgia" w:cs="Georgia" w:eastAsia="Georgia" w:hAnsi="Georgia"/>
          <w:b/>
          <w:bCs/>
          <w:sz w:val="24"/>
          <w:szCs w:val="24"/>
        </w:rPr>
        <w:t xml:space="preserve">Coburn, C. E. </w:t>
      </w:r>
      <w:r>
        <w:rPr>
          <w:rFonts w:ascii="Georgia" w:cs="Georgia" w:eastAsia="Georgia" w:hAnsi="Georgia"/>
          <w:sz w:val="24"/>
          <w:szCs w:val="24"/>
        </w:rPr>
        <w:t xml:space="preserve">(2003). Rethinking scale: Moving beyond numbers to deep and lasting change. </w:t>
      </w:r>
      <w:r>
        <w:rPr>
          <w:rFonts w:ascii="Georgia" w:cs="Georgia" w:eastAsia="Georgia" w:hAnsi="Georgia"/>
          <w:i/>
          <w:iCs/>
          <w:sz w:val="24"/>
          <w:szCs w:val="24"/>
        </w:rPr>
        <w:t xml:space="preserve">Educational Researcher, 32</w:t>
      </w:r>
      <w:r>
        <w:rPr>
          <w:rFonts w:ascii="Georgia" w:cs="Georgia" w:eastAsia="Georgia" w:hAnsi="Georgia"/>
          <w:sz w:val="24"/>
          <w:szCs w:val="24"/>
        </w:rPr>
        <w:t xml:space="preserve">(6), 3–12.</w:t>
      </w:r>
    </w:p>
    <w:p>
      <w:pPr>
        <w:keepLines/>
        <w:spacing w:after="160" w:line="280"/>
      </w:pPr>
      <w:r>
        <w:rPr>
          <w:rFonts w:ascii="Georgia" w:cs="Georgia" w:eastAsia="Georgia" w:hAnsi="Georgia"/>
          <w:b/>
          <w:bCs/>
          <w:sz w:val="24"/>
          <w:szCs w:val="24"/>
        </w:rPr>
        <w:t xml:space="preserve">Dehaene, S. </w:t>
      </w:r>
      <w:r>
        <w:rPr>
          <w:rFonts w:ascii="Georgia" w:cs="Georgia" w:eastAsia="Georgia" w:hAnsi="Georgia"/>
          <w:sz w:val="24"/>
          <w:szCs w:val="24"/>
        </w:rPr>
        <w:t xml:space="preserve">(2011). </w:t>
      </w:r>
      <w:r>
        <w:rPr>
          <w:rFonts w:ascii="Georgia" w:cs="Georgia" w:eastAsia="Georgia" w:hAnsi="Georgia"/>
          <w:i/>
          <w:iCs/>
          <w:sz w:val="24"/>
          <w:szCs w:val="24"/>
        </w:rPr>
        <w:t xml:space="preserve">The number sense: How the mind creates mathematics</w:t>
      </w:r>
      <w:r>
        <w:rPr>
          <w:rFonts w:ascii="Georgia" w:cs="Georgia" w:eastAsia="Georgia" w:hAnsi="Georgia"/>
          <w:sz w:val="24"/>
          <w:szCs w:val="24"/>
        </w:rPr>
        <w:t xml:space="preserve"> (2nd ed.). Oxford University Press.</w:t>
      </w:r>
    </w:p>
    <w:p>
      <w:pPr>
        <w:keepLines/>
        <w:spacing w:after="160" w:line="280"/>
      </w:pPr>
      <w:r>
        <w:rPr>
          <w:rFonts w:ascii="Georgia" w:cs="Georgia" w:eastAsia="Georgia" w:hAnsi="Georgia"/>
          <w:b/>
          <w:bCs/>
          <w:sz w:val="24"/>
          <w:szCs w:val="24"/>
        </w:rPr>
        <w:t xml:space="preserve">Dehaene, S. </w:t>
      </w:r>
      <w:r>
        <w:rPr>
          <w:rFonts w:ascii="Georgia" w:cs="Georgia" w:eastAsia="Georgia" w:hAnsi="Georgia"/>
          <w:sz w:val="24"/>
          <w:szCs w:val="24"/>
        </w:rPr>
        <w:t xml:space="preserve">(2020). </w:t>
      </w:r>
      <w:r>
        <w:rPr>
          <w:rFonts w:ascii="Georgia" w:cs="Georgia" w:eastAsia="Georgia" w:hAnsi="Georgia"/>
          <w:i/>
          <w:iCs/>
          <w:sz w:val="24"/>
          <w:szCs w:val="24"/>
        </w:rPr>
        <w:t xml:space="preserve">How we learn: Why brains learn better than any machine … for now.</w:t>
      </w:r>
      <w:r>
        <w:rPr>
          <w:rFonts w:ascii="Georgia" w:cs="Georgia" w:eastAsia="Georgia" w:hAnsi="Georgia"/>
          <w:sz w:val="24"/>
          <w:szCs w:val="24"/>
        </w:rPr>
        <w:t xml:space="preserve"> Viking.</w:t>
      </w:r>
    </w:p>
    <w:p>
      <w:pPr>
        <w:keepLines/>
        <w:spacing w:after="160" w:line="280"/>
      </w:pPr>
      <w:r>
        <w:rPr>
          <w:rFonts w:ascii="Georgia" w:cs="Georgia" w:eastAsia="Georgia" w:hAnsi="Georgia"/>
          <w:b/>
          <w:bCs/>
          <w:sz w:val="24"/>
          <w:szCs w:val="24"/>
        </w:rPr>
        <w:t xml:space="preserve">Dewey, J. </w:t>
      </w:r>
      <w:r>
        <w:rPr>
          <w:rFonts w:ascii="Georgia" w:cs="Georgia" w:eastAsia="Georgia" w:hAnsi="Georgia"/>
          <w:sz w:val="24"/>
          <w:szCs w:val="24"/>
        </w:rPr>
        <w:t xml:space="preserve">(1938). </w:t>
      </w:r>
      <w:r>
        <w:rPr>
          <w:rFonts w:ascii="Georgia" w:cs="Georgia" w:eastAsia="Georgia" w:hAnsi="Georgia"/>
          <w:i/>
          <w:iCs/>
          <w:sz w:val="24"/>
          <w:szCs w:val="24"/>
        </w:rPr>
        <w:t xml:space="preserve">Experience and education.</w:t>
      </w:r>
      <w:r>
        <w:rPr>
          <w:rFonts w:ascii="Georgia" w:cs="Georgia" w:eastAsia="Georgia" w:hAnsi="Georgia"/>
          <w:sz w:val="24"/>
          <w:szCs w:val="24"/>
        </w:rPr>
        <w:t xml:space="preserve"> Macmillan.</w:t>
      </w:r>
    </w:p>
    <w:p>
      <w:pPr>
        <w:keepLines/>
        <w:spacing w:after="160" w:line="280"/>
      </w:pPr>
      <w:r>
        <w:rPr>
          <w:rFonts w:ascii="Georgia" w:cs="Georgia" w:eastAsia="Georgia" w:hAnsi="Georgia"/>
          <w:b/>
          <w:bCs/>
          <w:sz w:val="24"/>
          <w:szCs w:val="24"/>
        </w:rPr>
        <w:t xml:space="preserve">Dillenbourg, P. </w:t>
      </w:r>
      <w:r>
        <w:rPr>
          <w:rFonts w:ascii="Georgia" w:cs="Georgia" w:eastAsia="Georgia" w:hAnsi="Georgia"/>
          <w:sz w:val="24"/>
          <w:szCs w:val="24"/>
        </w:rPr>
        <w:t xml:space="preserve">(2013). Design for classroom orchestration. </w:t>
      </w:r>
      <w:r>
        <w:rPr>
          <w:rFonts w:ascii="Georgia" w:cs="Georgia" w:eastAsia="Georgia" w:hAnsi="Georgia"/>
          <w:i/>
          <w:iCs/>
          <w:sz w:val="24"/>
          <w:szCs w:val="24"/>
        </w:rPr>
        <w:t xml:space="preserve">Computers &amp; Education, 69</w:t>
      </w:r>
      <w:r>
        <w:rPr>
          <w:rFonts w:ascii="Georgia" w:cs="Georgia" w:eastAsia="Georgia" w:hAnsi="Georgia"/>
          <w:sz w:val="24"/>
          <w:szCs w:val="24"/>
        </w:rPr>
        <w:t xml:space="preserve">, 485–492.</w:t>
      </w:r>
    </w:p>
    <w:p>
      <w:pPr>
        <w:keepLines/>
        <w:spacing w:after="160" w:line="280"/>
      </w:pPr>
      <w:r>
        <w:rPr>
          <w:rFonts w:ascii="Georgia" w:cs="Georgia" w:eastAsia="Georgia" w:hAnsi="Georgia"/>
          <w:b/>
          <w:bCs/>
          <w:sz w:val="24"/>
          <w:szCs w:val="24"/>
        </w:rPr>
        <w:t xml:space="preserve">DuFour, R., &amp; Eaker, R. </w:t>
      </w:r>
      <w:r>
        <w:rPr>
          <w:rFonts w:ascii="Georgia" w:cs="Georgia" w:eastAsia="Georgia" w:hAnsi="Georgia"/>
          <w:sz w:val="24"/>
          <w:szCs w:val="24"/>
        </w:rPr>
        <w:t xml:space="preserve">(1998). </w:t>
      </w:r>
      <w:r>
        <w:rPr>
          <w:rFonts w:ascii="Georgia" w:cs="Georgia" w:eastAsia="Georgia" w:hAnsi="Georgia"/>
          <w:i/>
          <w:iCs/>
          <w:sz w:val="24"/>
          <w:szCs w:val="24"/>
        </w:rPr>
        <w:t xml:space="preserve">Professional learning communities at work.</w:t>
      </w:r>
      <w:r>
        <w:rPr>
          <w:rFonts w:ascii="Georgia" w:cs="Georgia" w:eastAsia="Georgia" w:hAnsi="Georgia"/>
          <w:sz w:val="24"/>
          <w:szCs w:val="24"/>
        </w:rPr>
        <w:t xml:space="preserve"> Solution Tree.</w:t>
      </w:r>
    </w:p>
    <w:p>
      <w:pPr>
        <w:keepLines/>
        <w:spacing w:after="160" w:line="280"/>
      </w:pPr>
      <w:r>
        <w:rPr>
          <w:rFonts w:ascii="Georgia" w:cs="Georgia" w:eastAsia="Georgia" w:hAnsi="Georgia"/>
          <w:b/>
          <w:bCs/>
          <w:sz w:val="24"/>
          <w:szCs w:val="24"/>
        </w:rPr>
        <w:t xml:space="preserve">Fullan, M. </w:t>
      </w:r>
      <w:r>
        <w:rPr>
          <w:rFonts w:ascii="Georgia" w:cs="Georgia" w:eastAsia="Georgia" w:hAnsi="Georgia"/>
          <w:sz w:val="24"/>
          <w:szCs w:val="24"/>
        </w:rPr>
        <w:t xml:space="preserve">(2016). </w:t>
      </w:r>
      <w:r>
        <w:rPr>
          <w:rFonts w:ascii="Georgia" w:cs="Georgia" w:eastAsia="Georgia" w:hAnsi="Georgia"/>
          <w:i/>
          <w:iCs/>
          <w:sz w:val="24"/>
          <w:szCs w:val="24"/>
        </w:rPr>
        <w:t xml:space="preserve">The new meaning of educational change</w:t>
      </w:r>
      <w:r>
        <w:rPr>
          <w:rFonts w:ascii="Georgia" w:cs="Georgia" w:eastAsia="Georgia" w:hAnsi="Georgia"/>
          <w:sz w:val="24"/>
          <w:szCs w:val="24"/>
        </w:rPr>
        <w:t xml:space="preserve"> (5th ed.). Teachers College Press.</w:t>
      </w:r>
    </w:p>
    <w:p>
      <w:pPr>
        <w:keepLines/>
        <w:spacing w:after="160" w:line="280"/>
      </w:pPr>
      <w:r>
        <w:rPr>
          <w:rFonts w:ascii="Georgia" w:cs="Georgia" w:eastAsia="Georgia" w:hAnsi="Georgia"/>
          <w:b/>
          <w:bCs/>
          <w:sz w:val="24"/>
          <w:szCs w:val="24"/>
        </w:rPr>
        <w:t xml:space="preserve">Hargreaves, A., &amp; Fullan, M. </w:t>
      </w:r>
      <w:r>
        <w:rPr>
          <w:rFonts w:ascii="Georgia" w:cs="Georgia" w:eastAsia="Georgia" w:hAnsi="Georgia"/>
          <w:sz w:val="24"/>
          <w:szCs w:val="24"/>
        </w:rPr>
        <w:t xml:space="preserve">(2012). </w:t>
      </w:r>
      <w:r>
        <w:rPr>
          <w:rFonts w:ascii="Georgia" w:cs="Georgia" w:eastAsia="Georgia" w:hAnsi="Georgia"/>
          <w:i/>
          <w:iCs/>
          <w:sz w:val="24"/>
          <w:szCs w:val="24"/>
        </w:rPr>
        <w:t xml:space="preserve">Professional capital: Transforming teaching in every school.</w:t>
      </w:r>
      <w:r>
        <w:rPr>
          <w:rFonts w:ascii="Georgia" w:cs="Georgia" w:eastAsia="Georgia" w:hAnsi="Georgia"/>
          <w:sz w:val="24"/>
          <w:szCs w:val="24"/>
        </w:rPr>
        <w:t xml:space="preserve"> Teachers College Press.</w:t>
      </w:r>
    </w:p>
    <w:p>
      <w:pPr>
        <w:keepLines/>
        <w:spacing w:after="160" w:line="280"/>
      </w:pPr>
      <w:r>
        <w:rPr>
          <w:rFonts w:ascii="Georgia" w:cs="Georgia" w:eastAsia="Georgia" w:hAnsi="Georgia"/>
          <w:b/>
          <w:bCs/>
          <w:sz w:val="24"/>
          <w:szCs w:val="24"/>
        </w:rPr>
        <w:t xml:space="preserve">Kane, M. T. </w:t>
      </w:r>
      <w:r>
        <w:rPr>
          <w:rFonts w:ascii="Georgia" w:cs="Georgia" w:eastAsia="Georgia" w:hAnsi="Georgia"/>
          <w:sz w:val="24"/>
          <w:szCs w:val="24"/>
        </w:rPr>
        <w:t xml:space="preserve">(2006). Validation. In R. L. Brennan (Ed.), </w:t>
      </w:r>
      <w:r>
        <w:rPr>
          <w:rFonts w:ascii="Georgia" w:cs="Georgia" w:eastAsia="Georgia" w:hAnsi="Georgia"/>
          <w:i/>
          <w:iCs/>
          <w:sz w:val="24"/>
          <w:szCs w:val="24"/>
        </w:rPr>
        <w:t xml:space="preserve">Educational measurement</w:t>
      </w:r>
      <w:r>
        <w:rPr>
          <w:rFonts w:ascii="Georgia" w:cs="Georgia" w:eastAsia="Georgia" w:hAnsi="Georgia"/>
          <w:sz w:val="24"/>
          <w:szCs w:val="24"/>
        </w:rPr>
        <w:t xml:space="preserve"> (4th ed., pp. 17–64). ACE.</w:t>
      </w:r>
    </w:p>
    <w:p>
      <w:pPr>
        <w:keepLines/>
        <w:spacing w:after="160" w:line="280"/>
      </w:pPr>
      <w:r>
        <w:rPr>
          <w:rFonts w:ascii="Georgia" w:cs="Georgia" w:eastAsia="Georgia" w:hAnsi="Georgia"/>
          <w:b/>
          <w:bCs/>
          <w:sz w:val="24"/>
          <w:szCs w:val="24"/>
        </w:rPr>
        <w:t xml:space="preserve">Messick, S. </w:t>
      </w:r>
      <w:r>
        <w:rPr>
          <w:rFonts w:ascii="Georgia" w:cs="Georgia" w:eastAsia="Georgia" w:hAnsi="Georgia"/>
          <w:sz w:val="24"/>
          <w:szCs w:val="24"/>
        </w:rPr>
        <w:t xml:space="preserve">(1989). Validity. In R. L. Linn (Ed.), </w:t>
      </w:r>
      <w:r>
        <w:rPr>
          <w:rFonts w:ascii="Georgia" w:cs="Georgia" w:eastAsia="Georgia" w:hAnsi="Georgia"/>
          <w:i/>
          <w:iCs/>
          <w:sz w:val="24"/>
          <w:szCs w:val="24"/>
        </w:rPr>
        <w:t xml:space="preserve">Educational measurement</w:t>
      </w:r>
      <w:r>
        <w:rPr>
          <w:rFonts w:ascii="Georgia" w:cs="Georgia" w:eastAsia="Georgia" w:hAnsi="Georgia"/>
          <w:sz w:val="24"/>
          <w:szCs w:val="24"/>
        </w:rPr>
        <w:t xml:space="preserve"> (3rd ed., pp. 13–103). ACE.</w:t>
      </w:r>
    </w:p>
    <w:p>
      <w:pPr>
        <w:keepLines/>
        <w:spacing w:after="160" w:line="280"/>
      </w:pPr>
      <w:r>
        <w:rPr>
          <w:rFonts w:ascii="Georgia" w:cs="Georgia" w:eastAsia="Georgia" w:hAnsi="Georgia"/>
          <w:b/>
          <w:bCs/>
          <w:sz w:val="24"/>
          <w:szCs w:val="24"/>
        </w:rPr>
        <w:t xml:space="preserve">National Council of Teachers of Mathematics. </w:t>
      </w:r>
      <w:r>
        <w:rPr>
          <w:rFonts w:ascii="Georgia" w:cs="Georgia" w:eastAsia="Georgia" w:hAnsi="Georgia"/>
          <w:sz w:val="24"/>
          <w:szCs w:val="24"/>
        </w:rPr>
        <w:t xml:space="preserve">(2014). </w:t>
      </w:r>
      <w:r>
        <w:rPr>
          <w:rFonts w:ascii="Georgia" w:cs="Georgia" w:eastAsia="Georgia" w:hAnsi="Georgia"/>
          <w:i/>
          <w:iCs/>
          <w:sz w:val="24"/>
          <w:szCs w:val="24"/>
        </w:rPr>
        <w:t xml:space="preserve">Principles to actions: Ensuring mathematical success for all.</w:t>
      </w:r>
      <w:r>
        <w:rPr>
          <w:rFonts w:ascii="Georgia" w:cs="Georgia" w:eastAsia="Georgia" w:hAnsi="Georgia"/>
          <w:sz w:val="24"/>
          <w:szCs w:val="24"/>
        </w:rPr>
        <w:t xml:space="preserve"> NCTM.</w:t>
      </w:r>
    </w:p>
    <w:p>
      <w:pPr>
        <w:keepLines/>
        <w:spacing w:after="160" w:line="280"/>
      </w:pPr>
      <w:r>
        <w:rPr>
          <w:rFonts w:ascii="Georgia" w:cs="Georgia" w:eastAsia="Georgia" w:hAnsi="Georgia"/>
          <w:b/>
          <w:bCs/>
          <w:sz w:val="24"/>
          <w:szCs w:val="24"/>
        </w:rPr>
        <w:t xml:space="preserve">Posner, G. J., Strike, K. A., Hewson, P. W., &amp; Gertzog, W. A. </w:t>
      </w:r>
      <w:r>
        <w:rPr>
          <w:rFonts w:ascii="Georgia" w:cs="Georgia" w:eastAsia="Georgia" w:hAnsi="Georgia"/>
          <w:sz w:val="24"/>
          <w:szCs w:val="24"/>
        </w:rPr>
        <w:t xml:space="preserve">(1982). Accommodation of a scientific conception: Toward a theory of conceptual change. </w:t>
      </w:r>
      <w:r>
        <w:rPr>
          <w:rFonts w:ascii="Georgia" w:cs="Georgia" w:eastAsia="Georgia" w:hAnsi="Georgia"/>
          <w:i/>
          <w:iCs/>
          <w:sz w:val="24"/>
          <w:szCs w:val="24"/>
        </w:rPr>
        <w:t xml:space="preserve">Science Education, 66</w:t>
      </w:r>
      <w:r>
        <w:rPr>
          <w:rFonts w:ascii="Georgia" w:cs="Georgia" w:eastAsia="Georgia" w:hAnsi="Georgia"/>
          <w:sz w:val="24"/>
          <w:szCs w:val="24"/>
        </w:rPr>
        <w:t xml:space="preserve">(2), 211–227.</w:t>
      </w:r>
    </w:p>
    <w:p>
      <w:pPr>
        <w:keepLines/>
        <w:spacing w:after="160" w:line="280"/>
      </w:pPr>
      <w:r>
        <w:rPr>
          <w:rFonts w:ascii="Georgia" w:cs="Georgia" w:eastAsia="Georgia" w:hAnsi="Georgia"/>
          <w:b/>
          <w:bCs/>
          <w:sz w:val="24"/>
          <w:szCs w:val="24"/>
        </w:rPr>
        <w:t xml:space="preserve">Wineburg, S. </w:t>
      </w:r>
      <w:r>
        <w:rPr>
          <w:rFonts w:ascii="Georgia" w:cs="Georgia" w:eastAsia="Georgia" w:hAnsi="Georgia"/>
          <w:sz w:val="24"/>
          <w:szCs w:val="24"/>
        </w:rPr>
        <w:t xml:space="preserve">(2001). </w:t>
      </w:r>
      <w:r>
        <w:rPr>
          <w:rFonts w:ascii="Georgia" w:cs="Georgia" w:eastAsia="Georgia" w:hAnsi="Georgia"/>
          <w:i/>
          <w:iCs/>
          <w:sz w:val="24"/>
          <w:szCs w:val="24"/>
        </w:rPr>
        <w:t xml:space="preserve">Historical thinking and other unnatural acts: Charting the future of teaching the past.</w:t>
      </w:r>
      <w:r>
        <w:rPr>
          <w:rFonts w:ascii="Georgia" w:cs="Georgia" w:eastAsia="Georgia" w:hAnsi="Georgia"/>
          <w:sz w:val="24"/>
          <w:szCs w:val="24"/>
        </w:rPr>
        <w:t xml:space="preserve"> Temple University Press.</w:t>
      </w:r>
    </w:p>
    <w:p>
      <w:pPr>
        <w:keepLines/>
        <w:spacing w:after="160" w:line="280"/>
      </w:pPr>
      <w:r>
        <w:rPr>
          <w:rFonts w:ascii="Georgia" w:cs="Georgia" w:eastAsia="Georgia" w:hAnsi="Georgia"/>
          <w:b/>
          <w:bCs/>
          <w:sz w:val="24"/>
          <w:szCs w:val="24"/>
        </w:rPr>
        <w:t xml:space="preserve">Mishra, P., &amp; Koehler, M. J. </w:t>
      </w:r>
      <w:r>
        <w:rPr>
          <w:rFonts w:ascii="Georgia" w:cs="Georgia" w:eastAsia="Georgia" w:hAnsi="Georgia"/>
          <w:sz w:val="24"/>
          <w:szCs w:val="24"/>
        </w:rPr>
        <w:t xml:space="preserve">(2006). Technological pedagogical content knowledge. </w:t>
      </w:r>
      <w:r>
        <w:rPr>
          <w:rFonts w:ascii="Georgia" w:cs="Georgia" w:eastAsia="Georgia" w:hAnsi="Georgia"/>
          <w:i/>
          <w:iCs/>
          <w:sz w:val="24"/>
          <w:szCs w:val="24"/>
        </w:rPr>
        <w:t xml:space="preserve">Teachers College Record, 108</w:t>
      </w:r>
      <w:r>
        <w:rPr>
          <w:rFonts w:ascii="Georgia" w:cs="Georgia" w:eastAsia="Georgia" w:hAnsi="Georgia"/>
          <w:sz w:val="24"/>
          <w:szCs w:val="24"/>
        </w:rPr>
        <w:t xml:space="preserve">(6), 1017–1054.</w:t>
      </w:r>
    </w:p>
    <w:p>
      <w:pPr>
        <w:keepLines/>
        <w:spacing w:after="160" w:line="280"/>
      </w:pPr>
      <w:r>
        <w:rPr>
          <w:rFonts w:ascii="Georgia" w:cs="Georgia" w:eastAsia="Georgia" w:hAnsi="Georgia"/>
          <w:b/>
          <w:bCs/>
          <w:sz w:val="24"/>
          <w:szCs w:val="24"/>
        </w:rPr>
        <w:t xml:space="preserve">Orlikowski, W. J. </w:t>
      </w:r>
      <w:r>
        <w:rPr>
          <w:rFonts w:ascii="Georgia" w:cs="Georgia" w:eastAsia="Georgia" w:hAnsi="Georgia"/>
          <w:sz w:val="24"/>
          <w:szCs w:val="24"/>
        </w:rPr>
        <w:t xml:space="preserve">(1992). The duality of technology. </w:t>
      </w:r>
      <w:r>
        <w:rPr>
          <w:rFonts w:ascii="Georgia" w:cs="Georgia" w:eastAsia="Georgia" w:hAnsi="Georgia"/>
          <w:i/>
          <w:iCs/>
          <w:sz w:val="24"/>
          <w:szCs w:val="24"/>
        </w:rPr>
        <w:t xml:space="preserve">Organization Science, 3</w:t>
      </w:r>
      <w:r>
        <w:rPr>
          <w:rFonts w:ascii="Georgia" w:cs="Georgia" w:eastAsia="Georgia" w:hAnsi="Georgia"/>
          <w:sz w:val="24"/>
          <w:szCs w:val="24"/>
        </w:rPr>
        <w:t xml:space="preserve">(3), 398–427.</w:t>
      </w:r>
    </w:p>
    <w:p>
      <w:pPr>
        <w:keepLines/>
        <w:spacing w:after="160" w:line="280"/>
      </w:pPr>
      <w:r>
        <w:rPr>
          <w:rFonts w:ascii="Georgia" w:cs="Georgia" w:eastAsia="Georgia" w:hAnsi="Georgia"/>
          <w:b/>
          <w:bCs/>
          <w:sz w:val="24"/>
          <w:szCs w:val="24"/>
        </w:rPr>
        <w:t xml:space="preserve">Pellegrino, J. W., Chudowsky, N., &amp; Glaser, R. </w:t>
      </w:r>
      <w:r>
        <w:rPr>
          <w:rFonts w:ascii="Georgia" w:cs="Georgia" w:eastAsia="Georgia" w:hAnsi="Georgia"/>
          <w:sz w:val="24"/>
          <w:szCs w:val="24"/>
        </w:rPr>
        <w:t xml:space="preserve">(Eds.). (2001). </w:t>
      </w:r>
      <w:r>
        <w:rPr>
          <w:rFonts w:ascii="Georgia" w:cs="Georgia" w:eastAsia="Georgia" w:hAnsi="Georgia"/>
          <w:i/>
          <w:iCs/>
          <w:sz w:val="24"/>
          <w:szCs w:val="24"/>
        </w:rPr>
        <w:t xml:space="preserve">Knowing what students know.</w:t>
      </w:r>
      <w:r>
        <w:rPr>
          <w:rFonts w:ascii="Georgia" w:cs="Georgia" w:eastAsia="Georgia" w:hAnsi="Georgia"/>
          <w:sz w:val="24"/>
          <w:szCs w:val="24"/>
        </w:rPr>
        <w:t xml:space="preserve"> National Academy Press.</w:t>
      </w:r>
    </w:p>
    <w:p>
      <w:pPr>
        <w:keepLines/>
        <w:spacing w:after="160" w:line="280"/>
      </w:pPr>
      <w:r>
        <w:rPr>
          <w:rFonts w:ascii="Georgia" w:cs="Georgia" w:eastAsia="Georgia" w:hAnsi="Georgia"/>
          <w:b/>
          <w:bCs/>
          <w:sz w:val="24"/>
          <w:szCs w:val="24"/>
        </w:rPr>
        <w:t xml:space="preserve">Ritchhart, R. </w:t>
      </w:r>
      <w:r>
        <w:rPr>
          <w:rFonts w:ascii="Georgia" w:cs="Georgia" w:eastAsia="Georgia" w:hAnsi="Georgia"/>
          <w:sz w:val="24"/>
          <w:szCs w:val="24"/>
        </w:rPr>
        <w:t xml:space="preserve">(2002). </w:t>
      </w:r>
      <w:r>
        <w:rPr>
          <w:rFonts w:ascii="Georgia" w:cs="Georgia" w:eastAsia="Georgia" w:hAnsi="Georgia"/>
          <w:i/>
          <w:iCs/>
          <w:sz w:val="24"/>
          <w:szCs w:val="24"/>
        </w:rPr>
        <w:t xml:space="preserve">Intellectual character.</w:t>
      </w:r>
      <w:r>
        <w:rPr>
          <w:rFonts w:ascii="Georgia" w:cs="Georgia" w:eastAsia="Georgia" w:hAnsi="Georgia"/>
          <w:sz w:val="24"/>
          <w:szCs w:val="24"/>
        </w:rPr>
        <w:t xml:space="preserve"> Jossey-Bass.</w:t>
      </w:r>
    </w:p>
    <w:p>
      <w:pPr>
        <w:keepLines/>
        <w:spacing w:after="160" w:line="280"/>
      </w:pPr>
      <w:r>
        <w:rPr>
          <w:rFonts w:ascii="Georgia" w:cs="Georgia" w:eastAsia="Georgia" w:hAnsi="Georgia"/>
          <w:b/>
          <w:bCs/>
          <w:sz w:val="24"/>
          <w:szCs w:val="24"/>
        </w:rPr>
        <w:t xml:space="preserve">Selwyn, N. </w:t>
      </w:r>
      <w:r>
        <w:rPr>
          <w:rFonts w:ascii="Georgia" w:cs="Georgia" w:eastAsia="Georgia" w:hAnsi="Georgia"/>
          <w:sz w:val="24"/>
          <w:szCs w:val="24"/>
        </w:rPr>
        <w:t xml:space="preserve">(2019). </w:t>
      </w:r>
      <w:r>
        <w:rPr>
          <w:rFonts w:ascii="Georgia" w:cs="Georgia" w:eastAsia="Georgia" w:hAnsi="Georgia"/>
          <w:i/>
          <w:iCs/>
          <w:sz w:val="24"/>
          <w:szCs w:val="24"/>
        </w:rPr>
        <w:t xml:space="preserve">Should robots replace teachers?</w:t>
      </w:r>
      <w:r>
        <w:rPr>
          <w:rFonts w:ascii="Georgia" w:cs="Georgia" w:eastAsia="Georgia" w:hAnsi="Georgia"/>
          <w:sz w:val="24"/>
          <w:szCs w:val="24"/>
        </w:rPr>
        <w:t xml:space="preserve"> Polity Press.</w:t>
      </w:r>
    </w:p>
    <w:p>
      <w:pPr>
        <w:keepLines/>
        <w:spacing w:after="160" w:line="280"/>
      </w:pPr>
      <w:r>
        <w:rPr>
          <w:rFonts w:ascii="Georgia" w:cs="Georgia" w:eastAsia="Georgia" w:hAnsi="Georgia"/>
          <w:b/>
          <w:bCs/>
          <w:sz w:val="24"/>
          <w:szCs w:val="24"/>
        </w:rPr>
        <w:t xml:space="preserve">Wiggins, G. </w:t>
      </w:r>
      <w:r>
        <w:rPr>
          <w:rFonts w:ascii="Georgia" w:cs="Georgia" w:eastAsia="Georgia" w:hAnsi="Georgia"/>
          <w:sz w:val="24"/>
          <w:szCs w:val="24"/>
        </w:rPr>
        <w:t xml:space="preserve">(1998). </w:t>
      </w:r>
      <w:r>
        <w:rPr>
          <w:rFonts w:ascii="Georgia" w:cs="Georgia" w:eastAsia="Georgia" w:hAnsi="Georgia"/>
          <w:i/>
          <w:iCs/>
          <w:sz w:val="24"/>
          <w:szCs w:val="24"/>
        </w:rPr>
        <w:t xml:space="preserve">Educative assessment.</w:t>
      </w:r>
      <w:r>
        <w:rPr>
          <w:rFonts w:ascii="Georgia" w:cs="Georgia" w:eastAsia="Georgia" w:hAnsi="Georgia"/>
          <w:sz w:val="24"/>
          <w:szCs w:val="24"/>
        </w:rPr>
        <w:t xml:space="preserve"> Jossey-Bass.</w:t>
      </w:r>
    </w:p>
    <w:p>
      <w:pPr>
        <w:keepLines/>
        <w:spacing w:after="160" w:line="280"/>
      </w:pPr>
      <w:r>
        <w:rPr>
          <w:rFonts w:ascii="Georgia" w:cs="Georgia" w:eastAsia="Georgia" w:hAnsi="Georgia"/>
          <w:b/>
          <w:bCs/>
          <w:sz w:val="24"/>
          <w:szCs w:val="24"/>
        </w:rPr>
        <w:t xml:space="preserve">Whitman, G., &amp; Kelleher, I. </w:t>
      </w:r>
      <w:r>
        <w:rPr>
          <w:rFonts w:ascii="Georgia" w:cs="Georgia" w:eastAsia="Georgia" w:hAnsi="Georgia"/>
          <w:sz w:val="24"/>
          <w:szCs w:val="24"/>
        </w:rPr>
        <w:t xml:space="preserve">(2016). </w:t>
      </w:r>
      <w:r>
        <w:rPr>
          <w:rFonts w:ascii="Georgia" w:cs="Georgia" w:eastAsia="Georgia" w:hAnsi="Georgia"/>
          <w:i/>
          <w:iCs/>
          <w:sz w:val="24"/>
          <w:szCs w:val="24"/>
        </w:rPr>
        <w:t xml:space="preserve">Neuroteach.</w:t>
      </w:r>
      <w:r>
        <w:rPr>
          <w:rFonts w:ascii="Georgia" w:cs="Georgia" w:eastAsia="Georgia" w:hAnsi="Georgia"/>
          <w:sz w:val="24"/>
          <w:szCs w:val="24"/>
        </w:rPr>
        <w:t xml:space="preserve"> Rowman &amp; Littlefield.</w:t>
      </w:r>
    </w:p>
    <w:p>
      <w:pPr>
        <w:keepLines/>
        <w:spacing w:after="160" w:line="280"/>
      </w:pPr>
      <w:r>
        <w:rPr>
          <w:rFonts w:ascii="Georgia" w:cs="Georgia" w:eastAsia="Georgia" w:hAnsi="Georgia"/>
          <w:b/>
          <w:bCs/>
          <w:sz w:val="24"/>
          <w:szCs w:val="24"/>
        </w:rPr>
        <w:t xml:space="preserve">Winner, L. </w:t>
      </w:r>
      <w:r>
        <w:rPr>
          <w:rFonts w:ascii="Georgia" w:cs="Georgia" w:eastAsia="Georgia" w:hAnsi="Georgia"/>
          <w:sz w:val="24"/>
          <w:szCs w:val="24"/>
        </w:rPr>
        <w:t xml:space="preserve">(1980). Do artifacts have politics? </w:t>
      </w:r>
      <w:r>
        <w:rPr>
          <w:rFonts w:ascii="Georgia" w:cs="Georgia" w:eastAsia="Georgia" w:hAnsi="Georgia"/>
          <w:i/>
          <w:iCs/>
          <w:sz w:val="24"/>
          <w:szCs w:val="24"/>
        </w:rPr>
        <w:t xml:space="preserve">Daedalus, 109</w:t>
      </w:r>
      <w:r>
        <w:rPr>
          <w:rFonts w:ascii="Georgia" w:cs="Georgia" w:eastAsia="Georgia" w:hAnsi="Georgia"/>
          <w:sz w:val="24"/>
          <w:szCs w:val="24"/>
        </w:rPr>
        <w:t xml:space="preserve">(1), 121–136.</w:t>
      </w:r>
    </w:p>
    <w:p>
      <w:pPr>
        <w:pStyle w:val="Heading2"/>
        <w:keepNext/>
        <w:spacing w:after="120" w:before="280"/>
      </w:pPr>
      <w:r>
        <w:rPr>
          <w:rFonts w:ascii="Arial" w:cs="Arial" w:eastAsia="Arial" w:hAnsi="Arial"/>
          <w:b/>
          <w:bCs/>
          <w:color w:val="2E7D8C"/>
          <w:sz w:val="26"/>
          <w:szCs w:val="26"/>
        </w:rPr>
        <w:t xml:space="preserve">AI-TPACK and Extended TPACK Literature</w:t>
      </w:r>
    </w:p>
    <w:p>
      <w:pPr>
        <w:keepLines/>
        <w:spacing w:after="160" w:line="280"/>
      </w:pPr>
      <w:r>
        <w:rPr>
          <w:rFonts w:ascii="Georgia" w:cs="Georgia" w:eastAsia="Georgia" w:hAnsi="Georgia"/>
          <w:b/>
          <w:bCs/>
          <w:sz w:val="24"/>
          <w:szCs w:val="24"/>
        </w:rPr>
        <w:t xml:space="preserve">Celik, I. </w:t>
      </w:r>
      <w:r>
        <w:rPr>
          <w:rFonts w:ascii="Georgia" w:cs="Georgia" w:eastAsia="Georgia" w:hAnsi="Georgia"/>
          <w:sz w:val="24"/>
          <w:szCs w:val="24"/>
        </w:rPr>
        <w:t xml:space="preserve">(2023). Towards intelligent-TPACK. </w:t>
      </w:r>
      <w:r>
        <w:rPr>
          <w:rFonts w:ascii="Georgia" w:cs="Georgia" w:eastAsia="Georgia" w:hAnsi="Georgia"/>
          <w:i/>
          <w:iCs/>
          <w:sz w:val="24"/>
          <w:szCs w:val="24"/>
        </w:rPr>
        <w:t xml:space="preserve">Computers in Human Behavior, 138</w:t>
      </w:r>
      <w:r>
        <w:rPr>
          <w:rFonts w:ascii="Georgia" w:cs="Georgia" w:eastAsia="Georgia" w:hAnsi="Georgia"/>
          <w:sz w:val="24"/>
          <w:szCs w:val="24"/>
        </w:rPr>
        <w:t xml:space="preserve">, 107468.</w:t>
      </w:r>
    </w:p>
    <w:p>
      <w:pPr>
        <w:keepLines/>
        <w:spacing w:after="160" w:line="280"/>
      </w:pPr>
      <w:r>
        <w:rPr>
          <w:rFonts w:ascii="Georgia" w:cs="Georgia" w:eastAsia="Georgia" w:hAnsi="Georgia"/>
          <w:b/>
          <w:bCs/>
          <w:sz w:val="24"/>
          <w:szCs w:val="24"/>
        </w:rPr>
        <w:t xml:space="preserve">Chiu, T. K. F. </w:t>
      </w:r>
      <w:r>
        <w:rPr>
          <w:rFonts w:ascii="Georgia" w:cs="Georgia" w:eastAsia="Georgia" w:hAnsi="Georgia"/>
          <w:sz w:val="24"/>
          <w:szCs w:val="24"/>
        </w:rPr>
        <w:t xml:space="preserve">(2024). Future research recommendations for transforming higher education with generative AI. </w:t>
      </w:r>
      <w:r>
        <w:rPr>
          <w:rFonts w:ascii="Georgia" w:cs="Georgia" w:eastAsia="Georgia" w:hAnsi="Georgia"/>
          <w:i/>
          <w:iCs/>
          <w:sz w:val="24"/>
          <w:szCs w:val="24"/>
        </w:rPr>
        <w:t xml:space="preserve">Computers and Education: Artificial Intelligence, 6</w:t>
      </w:r>
      <w:r>
        <w:rPr>
          <w:rFonts w:ascii="Georgia" w:cs="Georgia" w:eastAsia="Georgia" w:hAnsi="Georgia"/>
          <w:sz w:val="24"/>
          <w:szCs w:val="24"/>
        </w:rPr>
        <w:t xml:space="preserve">, 100197.</w:t>
      </w:r>
    </w:p>
    <w:p>
      <w:pPr>
        <w:keepLines/>
        <w:spacing w:after="160" w:line="280"/>
      </w:pPr>
      <w:r>
        <w:rPr>
          <w:rFonts w:ascii="Georgia" w:cs="Georgia" w:eastAsia="Georgia" w:hAnsi="Georgia"/>
          <w:b/>
          <w:bCs/>
          <w:sz w:val="24"/>
          <w:szCs w:val="24"/>
        </w:rPr>
        <w:t xml:space="preserve">Chiu, T. K. F. </w:t>
      </w:r>
      <w:r>
        <w:rPr>
          <w:rFonts w:ascii="Georgia" w:cs="Georgia" w:eastAsia="Georgia" w:hAnsi="Georgia"/>
          <w:sz w:val="24"/>
          <w:szCs w:val="24"/>
        </w:rPr>
        <w:t xml:space="preserve">(2025). Developing I-TPACK framework. </w:t>
      </w:r>
      <w:r>
        <w:rPr>
          <w:rFonts w:ascii="Georgia" w:cs="Georgia" w:eastAsia="Georgia" w:hAnsi="Georgia"/>
          <w:i/>
          <w:iCs/>
          <w:sz w:val="24"/>
          <w:szCs w:val="24"/>
        </w:rPr>
        <w:t xml:space="preserve">Interactive Learning Environments, 33</w:t>
      </w:r>
      <w:r>
        <w:rPr>
          <w:rFonts w:ascii="Georgia" w:cs="Georgia" w:eastAsia="Georgia" w:hAnsi="Georgia"/>
          <w:sz w:val="24"/>
          <w:szCs w:val="24"/>
        </w:rPr>
        <w:t xml:space="preserve">(7), 4189–4192.</w:t>
      </w:r>
    </w:p>
    <w:p>
      <w:pPr>
        <w:keepLines/>
        <w:spacing w:after="160" w:line="280"/>
      </w:pPr>
      <w:r>
        <w:rPr>
          <w:rFonts w:ascii="Georgia" w:cs="Georgia" w:eastAsia="Georgia" w:hAnsi="Georgia"/>
          <w:b/>
          <w:bCs/>
          <w:sz w:val="24"/>
          <w:szCs w:val="24"/>
        </w:rPr>
        <w:t xml:space="preserve">Chiu, T. K. F. </w:t>
      </w:r>
      <w:r>
        <w:rPr>
          <w:rFonts w:ascii="Georgia" w:cs="Georgia" w:eastAsia="Georgia" w:hAnsi="Georgia"/>
          <w:sz w:val="24"/>
          <w:szCs w:val="24"/>
        </w:rPr>
        <w:t xml:space="preserve">(2026). Human-Centric Artificial Intelligence Pedagogy (HCAP) framework. </w:t>
      </w:r>
      <w:r>
        <w:rPr>
          <w:rFonts w:ascii="Georgia" w:cs="Georgia" w:eastAsia="Georgia" w:hAnsi="Georgia"/>
          <w:i/>
          <w:iCs/>
          <w:sz w:val="24"/>
          <w:szCs w:val="24"/>
        </w:rPr>
        <w:t xml:space="preserve">Interactive Learning Environments.</w:t>
      </w:r>
      <w:r>
        <w:rPr>
          <w:rFonts w:ascii="Georgia" w:cs="Georgia" w:eastAsia="Georgia" w:hAnsi="Georgia"/>
          <w:sz w:val="24"/>
          <w:szCs w:val="24"/>
        </w:rPr>
        <w:t xml:space="preserve"> Advance online publication.</w:t>
      </w:r>
    </w:p>
    <w:p>
      <w:pPr>
        <w:keepLines/>
        <w:spacing w:after="160" w:line="280"/>
      </w:pPr>
      <w:r>
        <w:rPr>
          <w:rFonts w:ascii="Georgia" w:cs="Georgia" w:eastAsia="Georgia" w:hAnsi="Georgia"/>
          <w:b/>
          <w:bCs/>
          <w:sz w:val="24"/>
          <w:szCs w:val="24"/>
        </w:rPr>
        <w:t xml:space="preserve">Lin, C.-J., &amp; Tan, S. C. </w:t>
      </w:r>
      <w:r>
        <w:rPr>
          <w:rFonts w:ascii="Georgia" w:cs="Georgia" w:eastAsia="Georgia" w:hAnsi="Georgia"/>
          <w:sz w:val="24"/>
          <w:szCs w:val="24"/>
        </w:rPr>
        <w:t xml:space="preserve">(2024). Rethinking assessment in the age of AI. </w:t>
      </w:r>
      <w:r>
        <w:rPr>
          <w:rFonts w:ascii="Georgia" w:cs="Georgia" w:eastAsia="Georgia" w:hAnsi="Georgia"/>
          <w:i/>
          <w:iCs/>
          <w:sz w:val="24"/>
          <w:szCs w:val="24"/>
        </w:rPr>
        <w:t xml:space="preserve">Educational Technology &amp; Society.</w:t>
      </w:r>
    </w:p>
    <w:p>
      <w:pPr>
        <w:keepLines/>
        <w:spacing w:after="160" w:line="280"/>
      </w:pPr>
      <w:r>
        <w:rPr>
          <w:rFonts w:ascii="Georgia" w:cs="Georgia" w:eastAsia="Georgia" w:hAnsi="Georgia"/>
          <w:b/>
          <w:bCs/>
          <w:sz w:val="24"/>
          <w:szCs w:val="24"/>
        </w:rPr>
        <w:t xml:space="preserve">Hanifah, N., et al. </w:t>
      </w:r>
      <w:r>
        <w:rPr>
          <w:rFonts w:ascii="Georgia" w:cs="Georgia" w:eastAsia="Georgia" w:hAnsi="Georgia"/>
          <w:sz w:val="24"/>
          <w:szCs w:val="24"/>
        </w:rPr>
        <w:t xml:space="preserve">(2026). Triadic TPACK framework: Intended, enacted, and reflected technology integration in mathematics classrooms. </w:t>
      </w:r>
      <w:r>
        <w:rPr>
          <w:rFonts w:ascii="Georgia" w:cs="Georgia" w:eastAsia="Georgia" w:hAnsi="Georgia"/>
          <w:i/>
          <w:iCs/>
          <w:sz w:val="24"/>
          <w:szCs w:val="24"/>
        </w:rPr>
        <w:t xml:space="preserve">Journal of Educational Technology Research and Development.</w:t>
      </w:r>
      <w:r>
        <w:rPr>
          <w:rFonts w:ascii="Georgia" w:cs="Georgia" w:eastAsia="Georgia" w:hAnsi="Georgia"/>
          <w:sz w:val="24"/>
          <w:szCs w:val="24"/>
        </w:rPr>
        <w:t xml:space="preserve"> Advance online publication.</w:t>
      </w:r>
    </w:p>
    <w:p>
      <w:pPr>
        <w:keepLines/>
        <w:spacing w:after="160" w:line="280"/>
      </w:pPr>
      <w:r>
        <w:rPr>
          <w:rFonts w:ascii="Georgia" w:cs="Georgia" w:eastAsia="Georgia" w:hAnsi="Georgia"/>
          <w:b/>
          <w:bCs/>
          <w:sz w:val="24"/>
          <w:szCs w:val="24"/>
        </w:rPr>
        <w:t xml:space="preserve">Meishar-Tal, H., Gedge, M., &amp; Levin, E. </w:t>
      </w:r>
      <w:r>
        <w:rPr>
          <w:rFonts w:ascii="Georgia" w:cs="Georgia" w:eastAsia="Georgia" w:hAnsi="Georgia"/>
          <w:sz w:val="24"/>
          <w:szCs w:val="24"/>
        </w:rPr>
        <w:t xml:space="preserve">(2025). Teachers’ use of generative AI. </w:t>
      </w:r>
      <w:r>
        <w:rPr>
          <w:rFonts w:ascii="Georgia" w:cs="Georgia" w:eastAsia="Georgia" w:hAnsi="Georgia"/>
          <w:i/>
          <w:iCs/>
          <w:sz w:val="24"/>
          <w:szCs w:val="24"/>
        </w:rPr>
        <w:t xml:space="preserve">Journal of Digital Learning in Teacher Education, 42</w:t>
      </w:r>
      <w:r>
        <w:rPr>
          <w:rFonts w:ascii="Georgia" w:cs="Georgia" w:eastAsia="Georgia" w:hAnsi="Georgia"/>
          <w:sz w:val="24"/>
          <w:szCs w:val="24"/>
        </w:rPr>
        <w:t xml:space="preserve">(1), 1–12.</w:t>
      </w:r>
    </w:p>
    <w:p>
      <w:pPr>
        <w:keepLines/>
        <w:spacing w:after="160" w:line="280"/>
      </w:pPr>
      <w:r>
        <w:rPr>
          <w:rFonts w:ascii="Georgia" w:cs="Georgia" w:eastAsia="Georgia" w:hAnsi="Georgia"/>
          <w:b/>
          <w:bCs/>
          <w:sz w:val="24"/>
          <w:szCs w:val="24"/>
        </w:rPr>
        <w:t xml:space="preserve">Porras-Hernández, L. H., &amp; Salinas-Amescua, B. </w:t>
      </w:r>
      <w:r>
        <w:rPr>
          <w:rFonts w:ascii="Georgia" w:cs="Georgia" w:eastAsia="Georgia" w:hAnsi="Georgia"/>
          <w:sz w:val="24"/>
          <w:szCs w:val="24"/>
        </w:rPr>
        <w:t xml:space="preserve">(2013). Strengthening TPACK. </w:t>
      </w:r>
      <w:r>
        <w:rPr>
          <w:rFonts w:ascii="Georgia" w:cs="Georgia" w:eastAsia="Georgia" w:hAnsi="Georgia"/>
          <w:i/>
          <w:iCs/>
          <w:sz w:val="24"/>
          <w:szCs w:val="24"/>
        </w:rPr>
        <w:t xml:space="preserve">Journal of Educational Computing Research, 48</w:t>
      </w:r>
      <w:r>
        <w:rPr>
          <w:rFonts w:ascii="Georgia" w:cs="Georgia" w:eastAsia="Georgia" w:hAnsi="Georgia"/>
          <w:sz w:val="24"/>
          <w:szCs w:val="24"/>
        </w:rPr>
        <w:t xml:space="preserve">(2), 223–244.</w:t>
      </w:r>
    </w:p>
    <w:p>
      <w:pPr>
        <w:keepLines/>
        <w:spacing w:after="160" w:line="280"/>
      </w:pPr>
      <w:r>
        <w:rPr>
          <w:rFonts w:ascii="Georgia" w:cs="Georgia" w:eastAsia="Georgia" w:hAnsi="Georgia"/>
          <w:b/>
          <w:bCs/>
          <w:sz w:val="24"/>
          <w:szCs w:val="24"/>
        </w:rPr>
        <w:t xml:space="preserve">Warr, M., &amp; Heath, M. K. </w:t>
      </w:r>
      <w:r>
        <w:rPr>
          <w:rFonts w:ascii="Georgia" w:cs="Georgia" w:eastAsia="Georgia" w:hAnsi="Georgia"/>
          <w:sz w:val="24"/>
          <w:szCs w:val="24"/>
        </w:rPr>
        <w:t xml:space="preserve">(2022). Unpacking the relationship between technology and learning. </w:t>
      </w:r>
      <w:r>
        <w:rPr>
          <w:rFonts w:ascii="Georgia" w:cs="Georgia" w:eastAsia="Georgia" w:hAnsi="Georgia"/>
          <w:i/>
          <w:iCs/>
          <w:sz w:val="24"/>
          <w:szCs w:val="24"/>
        </w:rPr>
        <w:t xml:space="preserve">Journal of Research on Technology in Education, 54</w:t>
      </w:r>
      <w:r>
        <w:rPr>
          <w:rFonts w:ascii="Georgia" w:cs="Georgia" w:eastAsia="Georgia" w:hAnsi="Georgia"/>
          <w:sz w:val="24"/>
          <w:szCs w:val="24"/>
        </w:rPr>
        <w:t xml:space="preserve">(2), 203–218.</w:t>
      </w:r>
    </w:p>
    <w:p>
      <w:pPr>
        <w:keepLines/>
        <w:spacing w:after="160" w:line="280"/>
      </w:pPr>
      <w:r>
        <w:rPr>
          <w:rFonts w:ascii="Georgia" w:cs="Georgia" w:eastAsia="Georgia" w:hAnsi="Georgia"/>
          <w:b/>
          <w:bCs/>
          <w:sz w:val="24"/>
          <w:szCs w:val="24"/>
        </w:rPr>
        <w:t xml:space="preserve">UNESCO. </w:t>
      </w:r>
      <w:r>
        <w:rPr>
          <w:rFonts w:ascii="Georgia" w:cs="Georgia" w:eastAsia="Georgia" w:hAnsi="Georgia"/>
          <w:sz w:val="24"/>
          <w:szCs w:val="24"/>
        </w:rPr>
        <w:t xml:space="preserve">(2023). </w:t>
      </w:r>
      <w:r>
        <w:rPr>
          <w:rFonts w:ascii="Georgia" w:cs="Georgia" w:eastAsia="Georgia" w:hAnsi="Georgia"/>
          <w:i/>
          <w:iCs/>
          <w:sz w:val="24"/>
          <w:szCs w:val="24"/>
        </w:rPr>
        <w:t xml:space="preserve">Guidance for generative AI in education and research.</w:t>
      </w:r>
      <w:r>
        <w:rPr>
          <w:rFonts w:ascii="Georgia" w:cs="Georgia" w:eastAsia="Georgia" w:hAnsi="Georgia"/>
          <w:sz w:val="24"/>
          <w:szCs w:val="24"/>
        </w:rPr>
        <w:t xml:space="preserve"> UNESCO Publishing.</w:t>
      </w:r>
    </w:p>
    <w:p>
      <w:pPr>
        <w:keepLines/>
        <w:spacing w:after="160" w:line="280"/>
      </w:pPr>
      <w:r>
        <w:rPr>
          <w:rFonts w:ascii="Georgia" w:cs="Georgia" w:eastAsia="Georgia" w:hAnsi="Georgia"/>
          <w:b/>
          <w:bCs/>
          <w:sz w:val="24"/>
          <w:szCs w:val="24"/>
        </w:rPr>
        <w:t xml:space="preserve">UNESCO. </w:t>
      </w:r>
      <w:r>
        <w:rPr>
          <w:rFonts w:ascii="Georgia" w:cs="Georgia" w:eastAsia="Georgia" w:hAnsi="Georgia"/>
          <w:sz w:val="24"/>
          <w:szCs w:val="24"/>
        </w:rPr>
        <w:t xml:space="preserve">(2024). </w:t>
      </w:r>
      <w:r>
        <w:rPr>
          <w:rFonts w:ascii="Georgia" w:cs="Georgia" w:eastAsia="Georgia" w:hAnsi="Georgia"/>
          <w:i/>
          <w:iCs/>
          <w:sz w:val="24"/>
          <w:szCs w:val="24"/>
        </w:rPr>
        <w:t xml:space="preserve">AI competency framework for teachers.</w:t>
      </w:r>
      <w:r>
        <w:rPr>
          <w:rFonts w:ascii="Georgia" w:cs="Georgia" w:eastAsia="Georgia" w:hAnsi="Georgia"/>
          <w:sz w:val="24"/>
          <w:szCs w:val="24"/>
        </w:rPr>
        <w:t xml:space="preserve"> UNESCO.</w:t>
      </w:r>
    </w:p>
    <w:p>
      <w:pPr>
        <w:pStyle w:val="Heading2"/>
        <w:keepNext/>
        <w:spacing w:after="120" w:before="280"/>
      </w:pPr>
      <w:r>
        <w:rPr>
          <w:rFonts w:ascii="Arial" w:cs="Arial" w:eastAsia="Arial" w:hAnsi="Arial"/>
          <w:b/>
          <w:bCs/>
          <w:color w:val="2E7D8C"/>
          <w:sz w:val="26"/>
          <w:szCs w:val="26"/>
        </w:rPr>
        <w:t xml:space="preserve">Assessment Validity and Equity</w:t>
      </w:r>
    </w:p>
    <w:p>
      <w:pPr>
        <w:keepLines/>
        <w:spacing w:after="160" w:line="280"/>
      </w:pPr>
      <w:r>
        <w:rPr>
          <w:rFonts w:ascii="Georgia" w:cs="Georgia" w:eastAsia="Georgia" w:hAnsi="Georgia"/>
          <w:b/>
          <w:bCs/>
          <w:sz w:val="24"/>
          <w:szCs w:val="24"/>
        </w:rPr>
        <w:t xml:space="preserve">Benjamin, R. </w:t>
      </w:r>
      <w:r>
        <w:rPr>
          <w:rFonts w:ascii="Georgia" w:cs="Georgia" w:eastAsia="Georgia" w:hAnsi="Georgia"/>
          <w:sz w:val="24"/>
          <w:szCs w:val="24"/>
        </w:rPr>
        <w:t xml:space="preserve">(2019). </w:t>
      </w:r>
      <w:r>
        <w:rPr>
          <w:rFonts w:ascii="Georgia" w:cs="Georgia" w:eastAsia="Georgia" w:hAnsi="Georgia"/>
          <w:i/>
          <w:iCs/>
          <w:sz w:val="24"/>
          <w:szCs w:val="24"/>
        </w:rPr>
        <w:t xml:space="preserve">Race after technology.</w:t>
      </w:r>
      <w:r>
        <w:rPr>
          <w:rFonts w:ascii="Georgia" w:cs="Georgia" w:eastAsia="Georgia" w:hAnsi="Georgia"/>
          <w:sz w:val="24"/>
          <w:szCs w:val="24"/>
        </w:rPr>
        <w:t xml:space="preserve"> Polity Press.</w:t>
      </w:r>
    </w:p>
    <w:p>
      <w:pPr>
        <w:keepLines/>
        <w:spacing w:after="160" w:line="280"/>
      </w:pPr>
      <w:r>
        <w:rPr>
          <w:rFonts w:ascii="Georgia" w:cs="Georgia" w:eastAsia="Georgia" w:hAnsi="Georgia"/>
          <w:b/>
          <w:bCs/>
          <w:sz w:val="24"/>
          <w:szCs w:val="24"/>
        </w:rPr>
        <w:t xml:space="preserve">Birhane, A. </w:t>
      </w:r>
      <w:r>
        <w:rPr>
          <w:rFonts w:ascii="Georgia" w:cs="Georgia" w:eastAsia="Georgia" w:hAnsi="Georgia"/>
          <w:sz w:val="24"/>
          <w:szCs w:val="24"/>
        </w:rPr>
        <w:t xml:space="preserve">(2021). Algorithmic injustice. </w:t>
      </w:r>
      <w:r>
        <w:rPr>
          <w:rFonts w:ascii="Georgia" w:cs="Georgia" w:eastAsia="Georgia" w:hAnsi="Georgia"/>
          <w:i/>
          <w:iCs/>
          <w:sz w:val="24"/>
          <w:szCs w:val="24"/>
        </w:rPr>
        <w:t xml:space="preserve">Patterns, 2</w:t>
      </w:r>
      <w:r>
        <w:rPr>
          <w:rFonts w:ascii="Georgia" w:cs="Georgia" w:eastAsia="Georgia" w:hAnsi="Georgia"/>
          <w:sz w:val="24"/>
          <w:szCs w:val="24"/>
        </w:rPr>
        <w:t xml:space="preserve">(2), Article 100205.</w:t>
      </w:r>
    </w:p>
    <w:p>
      <w:pPr>
        <w:keepLines/>
        <w:spacing w:after="160" w:line="280"/>
      </w:pPr>
      <w:r>
        <w:rPr>
          <w:rFonts w:ascii="Georgia" w:cs="Georgia" w:eastAsia="Georgia" w:hAnsi="Georgia"/>
          <w:b/>
          <w:bCs/>
          <w:sz w:val="24"/>
          <w:szCs w:val="24"/>
        </w:rPr>
        <w:t xml:space="preserve">Guerrero-Dib, J. G., Portales, L., &amp; Heredia-Escorza, Y. </w:t>
      </w:r>
      <w:r>
        <w:rPr>
          <w:rFonts w:ascii="Georgia" w:cs="Georgia" w:eastAsia="Georgia" w:hAnsi="Georgia"/>
          <w:sz w:val="24"/>
          <w:szCs w:val="24"/>
        </w:rPr>
        <w:t xml:space="preserve">(2020). Impact of academic integrity on workplace ethical behaviour. </w:t>
      </w:r>
      <w:r>
        <w:rPr>
          <w:rFonts w:ascii="Georgia" w:cs="Georgia" w:eastAsia="Georgia" w:hAnsi="Georgia"/>
          <w:i/>
          <w:iCs/>
          <w:sz w:val="24"/>
          <w:szCs w:val="24"/>
        </w:rPr>
        <w:t xml:space="preserve">International Journal for Educational Integrity, 16</w:t>
      </w:r>
      <w:r>
        <w:rPr>
          <w:rFonts w:ascii="Georgia" w:cs="Georgia" w:eastAsia="Georgia" w:hAnsi="Georgia"/>
          <w:sz w:val="24"/>
          <w:szCs w:val="24"/>
        </w:rPr>
        <w:t xml:space="preserve">, Article 2.</w:t>
      </w:r>
    </w:p>
    <w:p>
      <w:pPr>
        <w:keepLines/>
        <w:spacing w:after="160" w:line="280"/>
      </w:pPr>
      <w:r>
        <w:rPr>
          <w:rFonts w:ascii="Georgia" w:cs="Georgia" w:eastAsia="Georgia" w:hAnsi="Georgia"/>
          <w:b/>
          <w:bCs/>
          <w:sz w:val="24"/>
          <w:szCs w:val="24"/>
        </w:rPr>
        <w:t xml:space="preserve">Guerrero-Dib, J. G., Portales, L., &amp; Gallego, D. </w:t>
      </w:r>
      <w:r>
        <w:rPr>
          <w:rFonts w:ascii="Georgia" w:cs="Georgia" w:eastAsia="Georgia" w:hAnsi="Georgia"/>
          <w:sz w:val="24"/>
          <w:szCs w:val="24"/>
        </w:rPr>
        <w:t xml:space="preserve">(2023). Academic integrity as a way to promote workplace ethical behaviour. In G. J. Curtis (Ed.), </w:t>
      </w:r>
      <w:r>
        <w:rPr>
          <w:rFonts w:ascii="Georgia" w:cs="Georgia" w:eastAsia="Georgia" w:hAnsi="Georgia"/>
          <w:i/>
          <w:iCs/>
          <w:sz w:val="24"/>
          <w:szCs w:val="24"/>
        </w:rPr>
        <w:t xml:space="preserve">Academic integrity in the social sciences</w:t>
      </w:r>
      <w:r>
        <w:rPr>
          <w:rFonts w:ascii="Georgia" w:cs="Georgia" w:eastAsia="Georgia" w:hAnsi="Georgia"/>
          <w:sz w:val="24"/>
          <w:szCs w:val="24"/>
        </w:rPr>
        <w:t xml:space="preserve"> (pp. 165–183). Springer.</w:t>
      </w:r>
    </w:p>
    <w:p>
      <w:pPr>
        <w:keepLines/>
        <w:spacing w:after="160" w:line="280"/>
      </w:pPr>
      <w:r>
        <w:rPr>
          <w:rFonts w:ascii="Georgia" w:cs="Georgia" w:eastAsia="Georgia" w:hAnsi="Georgia"/>
          <w:b/>
          <w:bCs/>
          <w:sz w:val="24"/>
          <w:szCs w:val="24"/>
        </w:rPr>
        <w:t xml:space="preserve">Holstein, K., &amp; Doroudi, S. </w:t>
      </w:r>
      <w:r>
        <w:rPr>
          <w:rFonts w:ascii="Georgia" w:cs="Georgia" w:eastAsia="Georgia" w:hAnsi="Georgia"/>
          <w:sz w:val="24"/>
          <w:szCs w:val="24"/>
        </w:rPr>
        <w:t xml:space="preserve">(2022). Equity and artificial intelligence in education. In W. Holmes &amp; K. Porayska-Pomsta (Eds.), </w:t>
      </w:r>
      <w:r>
        <w:rPr>
          <w:rFonts w:ascii="Georgia" w:cs="Georgia" w:eastAsia="Georgia" w:hAnsi="Georgia"/>
          <w:i/>
          <w:iCs/>
          <w:sz w:val="24"/>
          <w:szCs w:val="24"/>
        </w:rPr>
        <w:t xml:space="preserve">The ethics of artificial intelligence in education</w:t>
      </w:r>
      <w:r>
        <w:rPr>
          <w:rFonts w:ascii="Georgia" w:cs="Georgia" w:eastAsia="Georgia" w:hAnsi="Georgia"/>
          <w:sz w:val="24"/>
          <w:szCs w:val="24"/>
        </w:rPr>
        <w:t xml:space="preserve"> (pp. 152–173). Routledge.</w:t>
      </w:r>
    </w:p>
    <w:p>
      <w:pPr>
        <w:keepLines/>
        <w:spacing w:after="160" w:line="280"/>
      </w:pPr>
      <w:r>
        <w:rPr>
          <w:rFonts w:ascii="Georgia" w:cs="Georgia" w:eastAsia="Georgia" w:hAnsi="Georgia"/>
          <w:b/>
          <w:bCs/>
          <w:sz w:val="24"/>
          <w:szCs w:val="24"/>
        </w:rPr>
        <w:t xml:space="preserve">Perkins, M., Furze, L., Roe, J., &amp; MacVaugh, J. </w:t>
      </w:r>
      <w:r>
        <w:rPr>
          <w:rFonts w:ascii="Georgia" w:cs="Georgia" w:eastAsia="Georgia" w:hAnsi="Georgia"/>
          <w:sz w:val="24"/>
          <w:szCs w:val="24"/>
        </w:rPr>
        <w:t xml:space="preserve">(2024). The AIAS framework. </w:t>
      </w:r>
      <w:r>
        <w:rPr>
          <w:rFonts w:ascii="Georgia" w:cs="Georgia" w:eastAsia="Georgia" w:hAnsi="Georgia"/>
          <w:i/>
          <w:iCs/>
          <w:sz w:val="24"/>
          <w:szCs w:val="24"/>
        </w:rPr>
        <w:t xml:space="preserve">Journal of University Teaching and Learning Practice, 21</w:t>
      </w:r>
      <w:r>
        <w:rPr>
          <w:rFonts w:ascii="Georgia" w:cs="Georgia" w:eastAsia="Georgia" w:hAnsi="Georgia"/>
          <w:sz w:val="24"/>
          <w:szCs w:val="24"/>
        </w:rPr>
        <w:t xml:space="preserve">(6).</w:t>
      </w:r>
    </w:p>
    <w:p>
      <w:pPr>
        <w:keepLines/>
        <w:spacing w:after="160" w:line="280"/>
      </w:pPr>
      <w:r>
        <w:rPr>
          <w:rFonts w:ascii="Georgia" w:cs="Georgia" w:eastAsia="Georgia" w:hAnsi="Georgia"/>
          <w:b/>
          <w:bCs/>
          <w:sz w:val="24"/>
          <w:szCs w:val="24"/>
        </w:rPr>
        <w:t xml:space="preserve">Perkins, M., Roe, J., &amp; Furze, L. </w:t>
      </w:r>
      <w:r>
        <w:rPr>
          <w:rFonts w:ascii="Georgia" w:cs="Georgia" w:eastAsia="Georgia" w:hAnsi="Georgia"/>
          <w:sz w:val="24"/>
          <w:szCs w:val="24"/>
        </w:rPr>
        <w:t xml:space="preserve">(2025). How (not) to use the AI Assessment Scale. </w:t>
      </w:r>
      <w:r>
        <w:rPr>
          <w:rFonts w:ascii="Georgia" w:cs="Georgia" w:eastAsia="Georgia" w:hAnsi="Georgia"/>
          <w:i/>
          <w:iCs/>
          <w:sz w:val="24"/>
          <w:szCs w:val="24"/>
        </w:rPr>
        <w:t xml:space="preserve">Journal of Applied Learning &amp; Teaching, 8</w:t>
      </w:r>
      <w:r>
        <w:rPr>
          <w:rFonts w:ascii="Georgia" w:cs="Georgia" w:eastAsia="Georgia" w:hAnsi="Georgia"/>
          <w:sz w:val="24"/>
          <w:szCs w:val="24"/>
        </w:rPr>
        <w:t xml:space="preserve">(2), 14–23.</w:t>
      </w:r>
    </w:p>
    <w:p>
      <w:pPr>
        <w:keepLines/>
        <w:spacing w:after="160" w:line="280"/>
      </w:pPr>
      <w:r>
        <w:rPr>
          <w:rFonts w:ascii="Georgia" w:cs="Georgia" w:eastAsia="Georgia" w:hAnsi="Georgia"/>
          <w:b/>
          <w:bCs/>
          <w:sz w:val="24"/>
          <w:szCs w:val="24"/>
        </w:rPr>
        <w:t xml:space="preserve">Schmidt, D. A., et al. </w:t>
      </w:r>
      <w:r>
        <w:rPr>
          <w:rFonts w:ascii="Georgia" w:cs="Georgia" w:eastAsia="Georgia" w:hAnsi="Georgia"/>
          <w:sz w:val="24"/>
          <w:szCs w:val="24"/>
        </w:rPr>
        <w:t xml:space="preserve">(2009). TPACK: The development and validation of an assessment instrument. </w:t>
      </w:r>
      <w:r>
        <w:rPr>
          <w:rFonts w:ascii="Georgia" w:cs="Georgia" w:eastAsia="Georgia" w:hAnsi="Georgia"/>
          <w:i/>
          <w:iCs/>
          <w:sz w:val="24"/>
          <w:szCs w:val="24"/>
        </w:rPr>
        <w:t xml:space="preserve">Journal of Research on Technology in Education, 42</w:t>
      </w:r>
      <w:r>
        <w:rPr>
          <w:rFonts w:ascii="Georgia" w:cs="Georgia" w:eastAsia="Georgia" w:hAnsi="Georgia"/>
          <w:sz w:val="24"/>
          <w:szCs w:val="24"/>
        </w:rPr>
        <w:t xml:space="preserve">(2), 123–149.</w:t>
      </w:r>
    </w:p>
    <w:p>
      <w:pPr>
        <w:pStyle w:val="Heading2"/>
        <w:keepNext/>
        <w:spacing w:after="120" w:before="280"/>
      </w:pPr>
      <w:r>
        <w:rPr>
          <w:rFonts w:ascii="Arial" w:cs="Arial" w:eastAsia="Arial" w:hAnsi="Arial"/>
          <w:b/>
          <w:bCs/>
          <w:color w:val="2E7D8C"/>
          <w:sz w:val="26"/>
          <w:szCs w:val="26"/>
        </w:rPr>
        <w:t xml:space="preserve">Internal Frameworks and CNG Sources</w:t>
      </w:r>
    </w:p>
    <w:p>
      <w:pPr>
        <w:keepLines/>
        <w:spacing w:after="160" w:line="280"/>
      </w:pPr>
      <w:r>
        <w:rPr>
          <w:rFonts w:ascii="Georgia" w:cs="Georgia" w:eastAsia="Georgia" w:hAnsi="Georgia"/>
          <w:b/>
          <w:bCs/>
          <w:sz w:val="24"/>
          <w:szCs w:val="24"/>
        </w:rPr>
        <w:t xml:space="preserve">Cajina, A. </w:t>
      </w:r>
      <w:r>
        <w:rPr>
          <w:rFonts w:ascii="Georgia" w:cs="Georgia" w:eastAsia="Georgia" w:hAnsi="Georgia"/>
          <w:sz w:val="24"/>
          <w:szCs w:val="24"/>
        </w:rPr>
        <w:t xml:space="preserve">(2026). </w:t>
      </w:r>
      <w:r>
        <w:rPr>
          <w:rFonts w:ascii="Georgia" w:cs="Georgia" w:eastAsia="Georgia" w:hAnsi="Georgia"/>
          <w:i/>
          <w:iCs/>
          <w:sz w:val="24"/>
          <w:szCs w:val="24"/>
        </w:rPr>
        <w:t xml:space="preserve">Visible Reasoning in AI (VRA) Framework.</w:t>
      </w:r>
      <w:r>
        <w:rPr>
          <w:rFonts w:ascii="Georgia" w:cs="Georgia" w:eastAsia="Georgia" w:hAnsi="Georgia"/>
          <w:sz w:val="24"/>
          <w:szCs w:val="24"/>
        </w:rPr>
        <w:t xml:space="preserve"> Unpublished manuscript, University of Calgary, Werklund School of Education.</w:t>
      </w:r>
    </w:p>
    <w:p>
      <w:pPr>
        <w:keepLines/>
        <w:spacing w:after="160" w:line="280"/>
      </w:pPr>
      <w:r>
        <w:rPr>
          <w:rFonts w:ascii="Georgia" w:cs="Georgia" w:eastAsia="Georgia" w:hAnsi="Georgia"/>
          <w:b/>
          <w:bCs/>
          <w:sz w:val="24"/>
          <w:szCs w:val="24"/>
        </w:rPr>
        <w:t xml:space="preserve">Colegio Nueva Granada. </w:t>
      </w:r>
      <w:r>
        <w:rPr>
          <w:rFonts w:ascii="Georgia" w:cs="Georgia" w:eastAsia="Georgia" w:hAnsi="Georgia"/>
          <w:sz w:val="24"/>
          <w:szCs w:val="24"/>
        </w:rPr>
        <w:t xml:space="preserve">(2025a). </w:t>
      </w:r>
      <w:r>
        <w:rPr>
          <w:rFonts w:ascii="Georgia" w:cs="Georgia" w:eastAsia="Georgia" w:hAnsi="Georgia"/>
          <w:i/>
          <w:iCs/>
          <w:sz w:val="24"/>
          <w:szCs w:val="24"/>
        </w:rPr>
        <w:t xml:space="preserve">Our vision, mission, and philosophy.</w:t>
      </w:r>
      <w:r>
        <w:rPr>
          <w:rFonts w:ascii="Georgia" w:cs="Georgia" w:eastAsia="Georgia" w:hAnsi="Georgia"/>
          <w:sz w:val="24"/>
          <w:szCs w:val="24"/>
        </w:rPr>
        <w:t xml:space="preserve"> cng.edu/discover-cng/our-vision-mission-philosophy</w:t>
      </w:r>
    </w:p>
    <w:p>
      <w:pPr>
        <w:keepLines/>
        <w:spacing w:after="160" w:line="280"/>
      </w:pPr>
      <w:r>
        <w:rPr>
          <w:rFonts w:ascii="Georgia" w:cs="Georgia" w:eastAsia="Georgia" w:hAnsi="Georgia"/>
          <w:b/>
          <w:bCs/>
          <w:sz w:val="24"/>
          <w:szCs w:val="24"/>
        </w:rPr>
        <w:t xml:space="preserve">Colegio Nueva Granada. </w:t>
      </w:r>
      <w:r>
        <w:rPr>
          <w:rFonts w:ascii="Georgia" w:cs="Georgia" w:eastAsia="Georgia" w:hAnsi="Georgia"/>
          <w:sz w:val="24"/>
          <w:szCs w:val="24"/>
        </w:rPr>
        <w:t xml:space="preserve">(2025b). </w:t>
      </w:r>
      <w:r>
        <w:rPr>
          <w:rFonts w:ascii="Georgia" w:cs="Georgia" w:eastAsia="Georgia" w:hAnsi="Georgia"/>
          <w:i/>
          <w:iCs/>
          <w:sz w:val="24"/>
          <w:szCs w:val="24"/>
        </w:rPr>
        <w:t xml:space="preserve">Technology and learning spaces.</w:t>
      </w:r>
      <w:r>
        <w:rPr>
          <w:rFonts w:ascii="Georgia" w:cs="Georgia" w:eastAsia="Georgia" w:hAnsi="Georgia"/>
          <w:sz w:val="24"/>
          <w:szCs w:val="24"/>
        </w:rPr>
        <w:t xml:space="preserve"> cng.edu/technology-innovation</w:t>
      </w:r>
    </w:p>
    <w:p>
      <w:pPr>
        <w:keepLines/>
        <w:spacing w:after="160" w:line="280"/>
      </w:pPr>
      <w:r>
        <w:rPr>
          <w:rFonts w:ascii="Georgia" w:cs="Georgia" w:eastAsia="Georgia" w:hAnsi="Georgia"/>
          <w:b/>
          <w:bCs/>
          <w:sz w:val="24"/>
          <w:szCs w:val="24"/>
        </w:rPr>
        <w:t xml:space="preserve">Colegio Nueva Granada. </w:t>
      </w:r>
      <w:r>
        <w:rPr>
          <w:rFonts w:ascii="Georgia" w:cs="Georgia" w:eastAsia="Georgia" w:hAnsi="Georgia"/>
          <w:sz w:val="24"/>
          <w:szCs w:val="24"/>
        </w:rPr>
        <w:t xml:space="preserve">(2025c). </w:t>
      </w:r>
      <w:r>
        <w:rPr>
          <w:rFonts w:ascii="Georgia" w:cs="Georgia" w:eastAsia="Georgia" w:hAnsi="Georgia"/>
          <w:i/>
          <w:iCs/>
          <w:sz w:val="24"/>
          <w:szCs w:val="24"/>
        </w:rPr>
        <w:t xml:space="preserve">CNG AI Framework.</w:t>
      </w:r>
      <w:r>
        <w:rPr>
          <w:rFonts w:ascii="Georgia" w:cs="Georgia" w:eastAsia="Georgia" w:hAnsi="Georgia"/>
          <w:sz w:val="24"/>
          <w:szCs w:val="24"/>
        </w:rPr>
        <w:t xml:space="preserve"> Internal document.</w:t>
      </w:r>
    </w:p>
    <w:p>
      <w:pPr>
        <w:keepLines/>
        <w:spacing w:after="160" w:line="280"/>
      </w:pPr>
      <w:r>
        <w:rPr>
          <w:rFonts w:ascii="Georgia" w:cs="Georgia" w:eastAsia="Georgia" w:hAnsi="Georgia"/>
          <w:b/>
          <w:bCs/>
          <w:sz w:val="24"/>
          <w:szCs w:val="24"/>
        </w:rPr>
        <w:t xml:space="preserve">Colegio Nueva Granada. </w:t>
      </w:r>
      <w:r>
        <w:rPr>
          <w:rFonts w:ascii="Georgia" w:cs="Georgia" w:eastAsia="Georgia" w:hAnsi="Georgia"/>
          <w:sz w:val="24"/>
          <w:szCs w:val="24"/>
        </w:rPr>
        <w:t xml:space="preserve">(2025d). </w:t>
      </w:r>
      <w:r>
        <w:rPr>
          <w:rFonts w:ascii="Georgia" w:cs="Georgia" w:eastAsia="Georgia" w:hAnsi="Georgia"/>
          <w:i/>
          <w:iCs/>
          <w:sz w:val="24"/>
          <w:szCs w:val="24"/>
        </w:rPr>
        <w:t xml:space="preserve">SAIL Framework: Student AI Levels.</w:t>
      </w:r>
      <w:r>
        <w:rPr>
          <w:rFonts w:ascii="Georgia" w:cs="Georgia" w:eastAsia="Georgia" w:hAnsi="Georgia"/>
          <w:sz w:val="24"/>
          <w:szCs w:val="24"/>
        </w:rPr>
        <w:t xml:space="preserve"> Internal document.</w:t>
      </w:r>
    </w:p>
    <w:p>
      <w:pPr>
        <w:keepLines/>
        <w:spacing w:after="160" w:line="280"/>
      </w:pPr>
      <w:r>
        <w:rPr>
          <w:rFonts w:ascii="Georgia" w:cs="Georgia" w:eastAsia="Georgia" w:hAnsi="Georgia"/>
          <w:b/>
          <w:bCs/>
          <w:sz w:val="24"/>
          <w:szCs w:val="24"/>
        </w:rPr>
        <w:t xml:space="preserve">Colegio Nueva Granada. </w:t>
      </w:r>
      <w:r>
        <w:rPr>
          <w:rFonts w:ascii="Georgia" w:cs="Georgia" w:eastAsia="Georgia" w:hAnsi="Georgia"/>
          <w:sz w:val="24"/>
          <w:szCs w:val="24"/>
        </w:rPr>
        <w:t xml:space="preserve">(2026). </w:t>
      </w:r>
      <w:r>
        <w:rPr>
          <w:rFonts w:ascii="Georgia" w:cs="Georgia" w:eastAsia="Georgia" w:hAnsi="Georgia"/>
          <w:i/>
          <w:iCs/>
          <w:sz w:val="24"/>
          <w:szCs w:val="24"/>
        </w:rPr>
        <w:t xml:space="preserve">School Profile 2025–2026.</w:t>
      </w:r>
      <w:r>
        <w:rPr>
          <w:rFonts w:ascii="Georgia" w:cs="Georgia" w:eastAsia="Georgia" w:hAnsi="Georgia"/>
          <w:sz w:val="24"/>
          <w:szCs w:val="24"/>
        </w:rPr>
        <w:t xml:space="preserve"> Bogotá: CNG.</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Appendices</w:t>
      </w:r>
    </w:p>
    <w:p>
      <w:pPr>
        <w:keepLines/>
        <w:spacing w:after="160" w:line="280"/>
      </w:pPr>
      <w:r>
        <w:rPr>
          <w:rFonts w:ascii="Georgia" w:cs="Georgia" w:eastAsia="Georgia" w:hAnsi="Georgia"/>
          <w:sz w:val="24"/>
          <w:szCs w:val="24"/>
        </w:rPr>
        <w:t xml:space="preserve">Full documentation for all appendices is maintained in the </w:t>
      </w:r>
      <w:r>
        <w:rPr>
          <w:rFonts w:ascii="Georgia" w:cs="Georgia" w:eastAsia="Georgia" w:hAnsi="Georgia"/>
          <w:b/>
          <w:bCs/>
          <w:sz w:val="24"/>
          <w:szCs w:val="24"/>
        </w:rPr>
        <w:t xml:space="preserve">Cognitive Agency Knowledge Hub</w:t>
      </w:r>
      <w:r>
        <w:rPr>
          <w:rFonts w:ascii="Georgia" w:cs="Georgia" w:eastAsia="Georgia" w:hAnsi="Georgia"/>
          <w:sz w:val="24"/>
          <w:szCs w:val="24"/>
        </w:rPr>
        <w:t xml:space="preserve"> (NotebookLM workspace). The following provides a structured overview.</w:t>
      </w:r>
    </w:p>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Appendix A — VISTA Protocol — Standalone Assessment Audit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Important Note on VISTA</w:t>
            </w:r>
          </w:p>
          <w:p>
            <w:pPr>
              <w:spacing w:after="0"/>
            </w:pPr>
            <w:r>
              <w:rPr>
                <w:rFonts w:ascii="Georgia" w:cs="Georgia" w:eastAsia="Georgia" w:hAnsi="Georgia"/>
                <w:sz w:val="24"/>
                <w:szCs w:val="24"/>
              </w:rPr>
              <w:t xml:space="preserve">The VISTA Protocol is not presented as an objective measure of learning, agency, or assessment quality. It is a design-thinking tool intended to support professional inquiry. The protocol is unvalidated and context-specific, developed for exploratory use within CNG’s AI-rich environment. Its purpose is to help teachers surface assumptions, identify potential learning vulnerabilities, and guide redesign conversations. Claims derived from the protocol are treated as provisional and interpreted alongside additional evidence sources. Teachers using VISTA are engaged in disciplinary inquiry, not objective measurement.</w:t>
            </w:r>
          </w:p>
        </w:tc>
      </w:tr>
    </w:tbl>
    <w:p>
      <w:pPr>
        <w:keepLines/>
        <w:spacing w:after="160" w:line="280"/>
      </w:pPr>
      <w:r>
        <w:rPr>
          <w:rFonts w:ascii="Georgia" w:cs="Georgia" w:eastAsia="Georgia" w:hAnsi="Georgia"/>
          <w:b/>
          <w:bCs/>
          <w:sz w:val="24"/>
          <w:szCs w:val="24"/>
        </w:rPr>
        <w:t xml:space="preserve">Instrument Structure — Five Components:</w:t>
      </w:r>
    </w:p>
    <w:p>
      <w:pPr>
        <w:pStyle w:val="ListParagraph"/>
        <w:numPr>
          <w:ilvl w:val="0"/>
          <w:numId w:val="2"/>
        </w:numPr>
        <w:spacing w:after="100"/>
      </w:pPr>
      <w:r>
        <w:rPr>
          <w:rFonts w:ascii="Georgia" w:cs="Georgia" w:eastAsia="Georgia" w:hAnsi="Georgia"/>
          <w:b/>
          <w:bCs/>
          <w:sz w:val="24"/>
          <w:szCs w:val="24"/>
        </w:rPr>
        <w:t xml:space="preserve">Entry Question: </w:t>
      </w:r>
      <w:r>
        <w:rPr>
          <w:rFonts w:ascii="Georgia" w:cs="Georgia" w:eastAsia="Georgia" w:hAnsi="Georgia"/>
          <w:sz w:val="24"/>
          <w:szCs w:val="24"/>
        </w:rPr>
        <w:t xml:space="preserve">“If AI completed this task perfectly, what learning would disappear?” — the diagnostic entry point that opens into deeper disciplinary inquiry</w:t>
      </w:r>
    </w:p>
    <w:p>
      <w:pPr>
        <w:pStyle w:val="ListParagraph"/>
        <w:numPr>
          <w:ilvl w:val="0"/>
          <w:numId w:val="2"/>
        </w:numPr>
        <w:spacing w:after="100"/>
      </w:pPr>
      <w:r>
        <w:rPr>
          <w:rFonts w:ascii="Georgia" w:cs="Georgia" w:eastAsia="Georgia" w:hAnsi="Georgia"/>
          <w:b/>
          <w:bCs/>
          <w:sz w:val="24"/>
          <w:szCs w:val="24"/>
        </w:rPr>
        <w:t xml:space="preserve">Learning Vulnerability Classifier: </w:t>
      </w:r>
      <w:r>
        <w:rPr>
          <w:rFonts w:ascii="Georgia" w:cs="Georgia" w:eastAsia="Georgia" w:hAnsi="Georgia"/>
          <w:sz w:val="24"/>
          <w:szCs w:val="24"/>
        </w:rPr>
        <w:t xml:space="preserve">Identifies the type of learning at risk: Procedural (execution and fluency), Conceptual (sense-making and understanding), Evaluative (disciplinary judgment), Creative (original making and design decisions), Embodied/Tacit (craft knowledge that must be performed or demonstrated)</w:t>
      </w:r>
    </w:p>
    <w:p>
      <w:pPr>
        <w:pStyle w:val="ListParagraph"/>
        <w:numPr>
          <w:ilvl w:val="0"/>
          <w:numId w:val="2"/>
        </w:numPr>
        <w:spacing w:after="100"/>
      </w:pPr>
      <w:r>
        <w:rPr>
          <w:rFonts w:ascii="Georgia" w:cs="Georgia" w:eastAsia="Georgia" w:hAnsi="Georgia"/>
          <w:b/>
          <w:bCs/>
          <w:sz w:val="24"/>
          <w:szCs w:val="24"/>
        </w:rPr>
        <w:t xml:space="preserve">Cognitive Offloading Rating: </w:t>
      </w:r>
      <w:r>
        <w:rPr>
          <w:rFonts w:ascii="Georgia" w:cs="Georgia" w:eastAsia="Georgia" w:hAnsi="Georgia"/>
          <w:sz w:val="24"/>
          <w:szCs w:val="24"/>
        </w:rPr>
        <w:t xml:space="preserve">Rates how much of the intended learning AI can bypass: Fully / Substantially / Partially / Minimally — operationalizing the SAIL scale as a deliberate pedagogical decision rather than an administrative label</w:t>
      </w:r>
    </w:p>
    <w:p>
      <w:pPr>
        <w:pStyle w:val="ListParagraph"/>
        <w:numPr>
          <w:ilvl w:val="0"/>
          <w:numId w:val="2"/>
        </w:numPr>
        <w:spacing w:after="100"/>
      </w:pPr>
      <w:r>
        <w:rPr>
          <w:rFonts w:ascii="Georgia" w:cs="Georgia" w:eastAsia="Georgia" w:hAnsi="Georgia"/>
          <w:b/>
          <w:bCs/>
          <w:sz w:val="24"/>
          <w:szCs w:val="24"/>
        </w:rPr>
        <w:t xml:space="preserve">Redesign Pathway: </w:t>
      </w:r>
      <w:r>
        <w:rPr>
          <w:rFonts w:ascii="Georgia" w:cs="Georgia" w:eastAsia="Georgia" w:hAnsi="Georgia"/>
          <w:sz w:val="24"/>
          <w:szCs w:val="24"/>
        </w:rPr>
        <w:t xml:space="preserve">Matched to vulnerability type — specific redesign strategies for procedural, conceptual, evaluative, and creative/embodied vulnerabilities, with discipline-specific exemplars across Mathematics, Science, Humanities, Arts, and Languages</w:t>
      </w:r>
    </w:p>
    <w:p>
      <w:pPr>
        <w:pStyle w:val="ListParagraph"/>
        <w:numPr>
          <w:ilvl w:val="0"/>
          <w:numId w:val="2"/>
        </w:numPr>
        <w:spacing w:after="100"/>
      </w:pPr>
      <w:r>
        <w:rPr>
          <w:rFonts w:ascii="Georgia" w:cs="Georgia" w:eastAsia="Georgia" w:hAnsi="Georgia"/>
          <w:b/>
          <w:bCs/>
          <w:sz w:val="24"/>
          <w:szCs w:val="24"/>
        </w:rPr>
        <w:t xml:space="preserve">SAIL Positioning Recommendation: </w:t>
      </w:r>
      <w:r>
        <w:rPr>
          <w:rFonts w:ascii="Georgia" w:cs="Georgia" w:eastAsia="Georgia" w:hAnsi="Georgia"/>
          <w:sz w:val="24"/>
          <w:szCs w:val="24"/>
        </w:rPr>
        <w:t xml:space="preserve">Follows from the audit result with explicit protection rationale for each level</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Decision Tree: </w:t>
      </w:r>
      <w:r>
        <w:rPr>
          <w:rFonts w:ascii="Georgia" w:cs="Georgia" w:eastAsia="Georgia" w:hAnsi="Georgia"/>
          <w:sz w:val="24"/>
          <w:szCs w:val="24"/>
        </w:rPr>
        <w:t xml:space="preserve">If Fully bypassed: redesign required (add a visible reasoning component). If Substantially bypassed: redesign recommended (protect the one moment of genuine judgment). If Partially bypassed: consider adding a reasoning trace. If Minimally bypassed: document as exemplar.</w:t>
      </w:r>
    </w:p>
    <w:p>
      <w:pPr>
        <w:keepLines/>
        <w:spacing w:after="160" w:line="280"/>
      </w:pPr>
      <w:r>
        <w:rPr>
          <w:rFonts w:ascii="Georgia" w:cs="Georgia" w:eastAsia="Georgia" w:hAnsi="Georgia"/>
          <w:b/>
          <w:bCs/>
          <w:sz w:val="24"/>
          <w:szCs w:val="24"/>
        </w:rPr>
        <w:t xml:space="preserve">Reflection Fields: </w:t>
      </w:r>
      <w:r>
        <w:rPr>
          <w:rFonts w:ascii="Georgia" w:cs="Georgia" w:eastAsia="Georgia" w:hAnsi="Georgia"/>
          <w:sz w:val="24"/>
          <w:szCs w:val="24"/>
        </w:rPr>
        <w:t xml:space="preserve">Before-enactment Intended TPACK record — teacher documents the learning they are developing, the redesign decision and its disciplinary reason, what interpretable evidence would look like, and the tension the audit surfaced that they are still sitting with. These fields are the primary data source for tracking AI-TPACK development across iterations.</w:t>
      </w:r>
    </w:p>
    <w:p>
      <w:pPr>
        <w:keepLines/>
        <w:spacing w:after="160" w:line="280"/>
      </w:pPr>
      <w:r>
        <w:rPr>
          <w:rFonts w:ascii="Georgia" w:cs="Georgia" w:eastAsia="Georgia" w:hAnsi="Georgia"/>
          <w:b/>
          <w:bCs/>
          <w:sz w:val="24"/>
          <w:szCs w:val="24"/>
        </w:rPr>
        <w:t xml:space="preserve">Research Function: </w:t>
      </w:r>
      <w:r>
        <w:rPr>
          <w:rFonts w:ascii="Georgia" w:cs="Georgia" w:eastAsia="Georgia" w:hAnsi="Georgia"/>
          <w:sz w:val="24"/>
          <w:szCs w:val="24"/>
        </w:rPr>
        <w:t xml:space="preserve">The VISTA audit artifact, completed before and after each iteration, is the primary evidence source for the TIAI assessment design quality comparison — the performance-based measure that addresses the confidence vs. competence distinction in AI-TPACK research. Comparing before/after VISTA artifacts provides defensible evidence of Intended TPACK growth independent of self-report.</w:t>
      </w:r>
    </w:p>
    <w:p>
      <w:pPr>
        <w:pStyle w:val="Heading2"/>
        <w:keepNext/>
        <w:spacing w:after="120" w:before="280"/>
      </w:pPr>
      <w:r>
        <w:rPr>
          <w:rFonts w:ascii="Arial" w:cs="Arial" w:eastAsia="Arial" w:hAnsi="Arial"/>
          <w:b/>
          <w:bCs/>
          <w:color w:val="2E7D8C"/>
          <w:sz w:val="26"/>
          <w:szCs w:val="26"/>
        </w:rPr>
        <w:t xml:space="preserve">Appendix B — Visible Reasoning Protocol Suite</w:t>
      </w:r>
    </w:p>
    <w:p>
      <w:pPr>
        <w:keepLines/>
        <w:spacing w:after="160" w:line="280"/>
      </w:pPr>
      <w:r>
        <w:rPr>
          <w:rFonts w:ascii="Georgia" w:cs="Georgia" w:eastAsia="Georgia" w:hAnsi="Georgia"/>
          <w:b/>
          <w:bCs/>
          <w:sz w:val="24"/>
          <w:szCs w:val="24"/>
        </w:rPr>
        <w:t xml:space="preserve">Nine Protocols: </w:t>
      </w:r>
      <w:r>
        <w:rPr>
          <w:rFonts w:ascii="Georgia" w:cs="Georgia" w:eastAsia="Georgia" w:hAnsi="Georgia"/>
          <w:sz w:val="24"/>
          <w:szCs w:val="24"/>
        </w:rPr>
        <w:t xml:space="preserve">(1) Reasoning Vlog; (2) Oral Defense; (3) Reasoning Log; (4) Process Portfolio; (5) Annotated AI Output; (6) Revision Narrative; (7) Visual Argument Map; (8) Embodied Demonstration; (9) Computational Walkthrough.</w:t>
      </w:r>
    </w:p>
    <w:p>
      <w:pPr>
        <w:keepLines/>
        <w:spacing w:after="160" w:line="280"/>
      </w:pPr>
      <w:r>
        <w:rPr>
          <w:rFonts w:ascii="Georgia" w:cs="Georgia" w:eastAsia="Georgia" w:hAnsi="Georgia"/>
          <w:b/>
          <w:bCs/>
          <w:sz w:val="24"/>
          <w:szCs w:val="24"/>
        </w:rPr>
        <w:t xml:space="preserve">For each: </w:t>
      </w:r>
      <w:r>
        <w:rPr>
          <w:rFonts w:ascii="Georgia" w:cs="Georgia" w:eastAsia="Georgia" w:hAnsi="Georgia"/>
          <w:sz w:val="24"/>
          <w:szCs w:val="24"/>
        </w:rPr>
        <w:t xml:space="preserve">Purpose and use cases; disciplinary examples; student-facing prompts; strengths; limitations; connection to creation, embodiment, or tacit knowledge where applicable.</w:t>
      </w:r>
    </w:p>
    <w:p>
      <w:pPr>
        <w:keepLines/>
        <w:spacing w:after="160" w:line="280"/>
      </w:pPr>
      <w:r>
        <w:rPr>
          <w:rFonts w:ascii="Georgia" w:cs="Georgia" w:eastAsia="Georgia" w:hAnsi="Georgia"/>
          <w:b/>
          <w:bCs/>
          <w:sz w:val="24"/>
          <w:szCs w:val="24"/>
        </w:rPr>
        <w:t xml:space="preserve">Selection Principle: </w:t>
      </w:r>
      <w:r>
        <w:rPr>
          <w:rFonts w:ascii="Georgia" w:cs="Georgia" w:eastAsia="Georgia" w:hAnsi="Georgia"/>
          <w:sz w:val="24"/>
          <w:szCs w:val="24"/>
        </w:rPr>
        <w:t xml:space="preserve">Match the protocol to the thinking being developed — not to the teacher’s comfort with the format.</w:t>
      </w:r>
    </w:p>
    <w:p>
      <w:pPr>
        <w:pStyle w:val="Heading2"/>
        <w:keepNext/>
        <w:spacing w:after="120" w:before="280"/>
      </w:pPr>
      <w:r>
        <w:rPr>
          <w:rFonts w:ascii="Arial" w:cs="Arial" w:eastAsia="Arial" w:hAnsi="Arial"/>
          <w:b/>
          <w:bCs/>
          <w:color w:val="2E7D8C"/>
          <w:sz w:val="26"/>
          <w:szCs w:val="26"/>
        </w:rPr>
        <w:t xml:space="preserve">Appendix C — Cross-Disciplinary Rubric</w:t>
      </w:r>
    </w:p>
    <w:p>
      <w:pPr>
        <w:keepLines/>
        <w:spacing w:after="160" w:line="280"/>
      </w:pPr>
      <w:r>
        <w:rPr>
          <w:rFonts w:ascii="Georgia" w:cs="Georgia" w:eastAsia="Georgia" w:hAnsi="Georgia"/>
          <w:b/>
          <w:bCs/>
          <w:sz w:val="24"/>
          <w:szCs w:val="24"/>
        </w:rPr>
        <w:t xml:space="preserve">Five Dimensions: </w:t>
      </w:r>
      <w:r>
        <w:rPr>
          <w:rFonts w:ascii="Georgia" w:cs="Georgia" w:eastAsia="Georgia" w:hAnsi="Georgia"/>
          <w:sz w:val="24"/>
          <w:szCs w:val="24"/>
        </w:rPr>
        <w:t xml:space="preserve">Metacognition; Epistemic Vigilance; Disciplinary Justification; Iterative Refinement; Knowledge Reconstruction (including tacit, embodied, and created knowledge).</w:t>
      </w:r>
    </w:p>
    <w:p>
      <w:pPr>
        <w:keepLines/>
        <w:spacing w:after="160" w:line="280"/>
      </w:pPr>
      <w:r>
        <w:rPr>
          <w:rFonts w:ascii="Georgia" w:cs="Georgia" w:eastAsia="Georgia" w:hAnsi="Georgia"/>
          <w:b/>
          <w:bCs/>
          <w:sz w:val="24"/>
          <w:szCs w:val="24"/>
        </w:rPr>
        <w:t xml:space="preserve">Four Levels: </w:t>
      </w:r>
      <w:r>
        <w:rPr>
          <w:rFonts w:ascii="Georgia" w:cs="Georgia" w:eastAsia="Georgia" w:hAnsi="Georgia"/>
          <w:sz w:val="24"/>
          <w:szCs w:val="24"/>
        </w:rPr>
        <w:t xml:space="preserve">Emerging → Developing → Proficient → Distinguished — developmental progressions, not binary judgments. Informed by MMT construct-map thinking.</w:t>
      </w:r>
    </w:p>
    <w:p>
      <w:pPr>
        <w:keepLines/>
        <w:spacing w:after="160" w:line="280"/>
      </w:pPr>
      <w:r>
        <w:rPr>
          <w:rFonts w:ascii="Georgia" w:cs="Georgia" w:eastAsia="Georgia" w:hAnsi="Georgia"/>
          <w:b/>
          <w:bCs/>
          <w:sz w:val="24"/>
          <w:szCs w:val="24"/>
        </w:rPr>
        <w:t xml:space="preserve">Standards-Based Grading Connection: </w:t>
      </w:r>
      <w:r>
        <w:rPr>
          <w:rFonts w:ascii="Georgia" w:cs="Georgia" w:eastAsia="Georgia" w:hAnsi="Georgia"/>
          <w:sz w:val="24"/>
          <w:szCs w:val="24"/>
        </w:rPr>
        <w:t xml:space="preserve">Dimensions map to observable, specific behaviors — supporting CNG’s transition toward standards-based grading.</w:t>
      </w:r>
    </w:p>
    <w:p>
      <w:pPr>
        <w:keepLines/>
        <w:spacing w:after="160" w:line="280"/>
      </w:pPr>
      <w:r>
        <w:rPr>
          <w:rFonts w:ascii="Georgia" w:cs="Georgia" w:eastAsia="Georgia" w:hAnsi="Georgia"/>
          <w:b/>
          <w:bCs/>
          <w:sz w:val="24"/>
          <w:szCs w:val="24"/>
        </w:rPr>
        <w:t xml:space="preserve">Verbal Fluency Safeguard: </w:t>
      </w:r>
      <w:r>
        <w:rPr>
          <w:rFonts w:ascii="Georgia" w:cs="Georgia" w:eastAsia="Georgia" w:hAnsi="Georgia"/>
          <w:sz w:val="24"/>
          <w:szCs w:val="24"/>
        </w:rPr>
        <w:t xml:space="preserve">Each dimension can be demonstrated through multiple evidence modes. Interaction traces, creation artifacts, and embodied demonstrations are explicitly named as valid evidence.</w:t>
      </w:r>
    </w:p>
    <w:p>
      <w:pPr>
        <w:pStyle w:val="Heading2"/>
        <w:keepNext/>
        <w:spacing w:after="120" w:before="280"/>
      </w:pPr>
      <w:r>
        <w:rPr>
          <w:rFonts w:ascii="Arial" w:cs="Arial" w:eastAsia="Arial" w:hAnsi="Arial"/>
          <w:b/>
          <w:bCs/>
          <w:color w:val="2E7D8C"/>
          <w:sz w:val="26"/>
          <w:szCs w:val="26"/>
        </w:rPr>
        <w:t xml:space="preserve">Appendix D — Triangulated Evidence Framework</w:t>
      </w:r>
    </w:p>
    <w:p>
      <w:pPr>
        <w:keepLines/>
        <w:spacing w:after="160" w:line="280"/>
      </w:pPr>
      <w:r>
        <w:rPr>
          <w:rFonts w:ascii="Georgia" w:cs="Georgia" w:eastAsia="Georgia" w:hAnsi="Georgia"/>
          <w:b/>
          <w:bCs/>
          <w:sz w:val="24"/>
          <w:szCs w:val="24"/>
        </w:rPr>
        <w:t xml:space="preserve">Validity Argument (Messick, 1989; Kane, 2006): </w:t>
      </w:r>
      <w:r>
        <w:rPr>
          <w:rFonts w:ascii="Georgia" w:cs="Georgia" w:eastAsia="Georgia" w:hAnsi="Georgia"/>
          <w:sz w:val="24"/>
          <w:szCs w:val="24"/>
        </w:rPr>
        <w:t xml:space="preserve">Claims supported through convergence across five evidence sources — Assessment Design, Student Artifact, Interaction Trace, Teacher Observation/VSR, Student Reflection.</w:t>
      </w:r>
    </w:p>
    <w:p>
      <w:pPr>
        <w:keepLines/>
        <w:spacing w:after="160" w:line="280"/>
      </w:pPr>
      <w:r>
        <w:rPr>
          <w:rFonts w:ascii="Georgia" w:cs="Georgia" w:eastAsia="Georgia" w:hAnsi="Georgia"/>
          <w:b/>
          <w:bCs/>
          <w:sz w:val="24"/>
          <w:szCs w:val="24"/>
        </w:rPr>
        <w:t xml:space="preserve">Addressing Verbal Fluency: </w:t>
      </w:r>
      <w:r>
        <w:rPr>
          <w:rFonts w:ascii="Georgia" w:cs="Georgia" w:eastAsia="Georgia" w:hAnsi="Georgia"/>
          <w:sz w:val="24"/>
          <w:szCs w:val="24"/>
        </w:rPr>
        <w:t xml:space="preserve">Evidence Sources 2 and 3 explicitly value creation, embodiment, and tacit knowledge traces alongside verbal reasoning.</w:t>
      </w:r>
    </w:p>
    <w:p>
      <w:pPr>
        <w:pStyle w:val="Heading2"/>
        <w:keepNext/>
        <w:spacing w:after="120" w:before="280"/>
      </w:pPr>
      <w:r>
        <w:rPr>
          <w:rFonts w:ascii="Arial" w:cs="Arial" w:eastAsia="Arial" w:hAnsi="Arial"/>
          <w:b/>
          <w:bCs/>
          <w:color w:val="2E7D8C"/>
          <w:sz w:val="26"/>
          <w:szCs w:val="26"/>
        </w:rPr>
        <w:t xml:space="preserve">Appendix E — AI Reflection and Disclosure Protocol</w:t>
      </w:r>
    </w:p>
    <w:p>
      <w:pPr>
        <w:keepLines/>
        <w:spacing w:after="160" w:line="280"/>
      </w:pPr>
      <w:r>
        <w:rPr>
          <w:rFonts w:ascii="Georgia" w:cs="Georgia" w:eastAsia="Georgia" w:hAnsi="Georgia"/>
          <w:b/>
          <w:bCs/>
          <w:sz w:val="24"/>
          <w:szCs w:val="24"/>
        </w:rPr>
        <w:t xml:space="preserve">Student prompts: </w:t>
      </w:r>
    </w:p>
    <w:p>
      <w:pPr>
        <w:pStyle w:val="ListParagraph"/>
        <w:numPr>
          <w:ilvl w:val="0"/>
          <w:numId w:val="2"/>
        </w:numPr>
        <w:spacing w:after="100"/>
      </w:pPr>
      <w:r>
        <w:rPr>
          <w:rFonts w:ascii="Georgia" w:cs="Georgia" w:eastAsia="Georgia" w:hAnsi="Georgia"/>
          <w:sz w:val="24"/>
          <w:szCs w:val="24"/>
        </w:rPr>
        <w:t xml:space="preserve">What did you contribute to this work that AI could not have generated?</w:t>
      </w:r>
    </w:p>
    <w:p>
      <w:pPr>
        <w:pStyle w:val="ListParagraph"/>
        <w:numPr>
          <w:ilvl w:val="0"/>
          <w:numId w:val="2"/>
        </w:numPr>
        <w:spacing w:after="100"/>
      </w:pPr>
      <w:r>
        <w:rPr>
          <w:rFonts w:ascii="Georgia" w:cs="Georgia" w:eastAsia="Georgia" w:hAnsi="Georgia"/>
          <w:sz w:val="24"/>
          <w:szCs w:val="24"/>
        </w:rPr>
        <w:t xml:space="preserve">Identify one AI suggestion you evaluated and rejected. What was your disciplinary reason?</w:t>
      </w:r>
    </w:p>
    <w:p>
      <w:pPr>
        <w:pStyle w:val="ListParagraph"/>
        <w:numPr>
          <w:ilvl w:val="0"/>
          <w:numId w:val="2"/>
        </w:numPr>
        <w:spacing w:after="100"/>
      </w:pPr>
      <w:r>
        <w:rPr>
          <w:rFonts w:ascii="Georgia" w:cs="Georgia" w:eastAsia="Georgia" w:hAnsi="Georgia"/>
          <w:sz w:val="24"/>
          <w:szCs w:val="24"/>
        </w:rPr>
        <w:t xml:space="preserve">Where did you verify an AI claim? What did you check it against?</w:t>
      </w:r>
    </w:p>
    <w:p>
      <w:pPr>
        <w:pStyle w:val="ListParagraph"/>
        <w:numPr>
          <w:ilvl w:val="0"/>
          <w:numId w:val="2"/>
        </w:numPr>
        <w:spacing w:after="100"/>
      </w:pPr>
      <w:r>
        <w:rPr>
          <w:rFonts w:ascii="Georgia" w:cs="Georgia" w:eastAsia="Georgia" w:hAnsi="Georgia"/>
          <w:sz w:val="24"/>
          <w:szCs w:val="24"/>
        </w:rPr>
        <w:t xml:space="preserve">How did your thinking change from your initial response to your final one?</w:t>
      </w:r>
    </w:p>
    <w:p>
      <w:pPr>
        <w:pStyle w:val="ListParagraph"/>
        <w:numPr>
          <w:ilvl w:val="0"/>
          <w:numId w:val="2"/>
        </w:numPr>
        <w:spacing w:after="100"/>
      </w:pPr>
      <w:r>
        <w:rPr>
          <w:rFonts w:ascii="Georgia" w:cs="Georgia" w:eastAsia="Georgia" w:hAnsi="Georgia"/>
          <w:sz w:val="24"/>
          <w:szCs w:val="24"/>
        </w:rPr>
        <w:t xml:space="preserve">What question did this work leave you still asking?</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Privacy note: </w:t>
      </w:r>
      <w:r>
        <w:rPr>
          <w:rFonts w:ascii="Georgia" w:cs="Georgia" w:eastAsia="Georgia" w:hAnsi="Georgia"/>
          <w:sz w:val="24"/>
          <w:szCs w:val="24"/>
        </w:rPr>
        <w:t xml:space="preserve">The Disclosure Protocol documents student thinking, not surveillance of AI use. It is an assessment tool, not a detection tool.</w:t>
      </w:r>
    </w:p>
    <w:p>
      <w:pPr>
        <w:pStyle w:val="Heading2"/>
        <w:keepNext/>
        <w:spacing w:after="120" w:before="280"/>
      </w:pPr>
      <w:r>
        <w:rPr>
          <w:rFonts w:ascii="Arial" w:cs="Arial" w:eastAsia="Arial" w:hAnsi="Arial"/>
          <w:b/>
          <w:bCs/>
          <w:color w:val="2E7D8C"/>
          <w:sz w:val="26"/>
          <w:szCs w:val="26"/>
        </w:rPr>
        <w:t xml:space="preserve">Appendix F — Department Cognitive Agency PLC Protocol</w:t>
      </w:r>
    </w:p>
    <w:p>
      <w:pPr>
        <w:keepLines/>
        <w:spacing w:after="160" w:line="280"/>
      </w:pPr>
      <w:r>
        <w:rPr>
          <w:rFonts w:ascii="Georgia" w:cs="Georgia" w:eastAsia="Georgia" w:hAnsi="Georgia"/>
          <w:b/>
          <w:bCs/>
          <w:sz w:val="24"/>
          <w:szCs w:val="24"/>
        </w:rPr>
        <w:t xml:space="preserve">30-minute standalone protocol:</w:t>
      </w:r>
    </w:p>
    <w:p>
      <w:pPr>
        <w:pStyle w:val="ListParagraph"/>
        <w:numPr>
          <w:ilvl w:val="0"/>
          <w:numId w:val="3"/>
        </w:numPr>
        <w:spacing w:after="100"/>
      </w:pPr>
      <w:r>
        <w:rPr>
          <w:rFonts w:ascii="Georgia" w:cs="Georgia" w:eastAsia="Georgia" w:hAnsi="Georgia"/>
          <w:sz w:val="24"/>
          <w:szCs w:val="24"/>
        </w:rPr>
        <w:t xml:space="preserve">Select one recent or upcoming assessment (5 min)</w:t>
      </w:r>
    </w:p>
    <w:p>
      <w:pPr>
        <w:pStyle w:val="ListParagraph"/>
        <w:numPr>
          <w:ilvl w:val="0"/>
          <w:numId w:val="3"/>
        </w:numPr>
        <w:spacing w:after="100"/>
      </w:pPr>
      <w:r>
        <w:rPr>
          <w:rFonts w:ascii="Georgia" w:cs="Georgia" w:eastAsia="Georgia" w:hAnsi="Georgia"/>
          <w:sz w:val="24"/>
          <w:szCs w:val="24"/>
        </w:rPr>
        <w:t xml:space="preserve">Apply VISTA Protocol: </w:t>
      </w:r>
      <w:r>
        <w:rPr>
          <w:rFonts w:ascii="Georgia" w:cs="Georgia" w:eastAsia="Georgia" w:hAnsi="Georgia"/>
          <w:b/>
          <w:bCs/>
          <w:sz w:val="24"/>
          <w:szCs w:val="24"/>
        </w:rPr>
        <w:t xml:space="preserve">If AI completed this task perfectly, what learning would disappear? </w:t>
      </w:r>
      <w:r>
        <w:rPr>
          <w:rFonts w:ascii="Georgia" w:cs="Georgia" w:eastAsia="Georgia" w:hAnsi="Georgia"/>
          <w:sz w:val="24"/>
          <w:szCs w:val="24"/>
        </w:rPr>
        <w:t xml:space="preserve">(5 min)</w:t>
      </w:r>
    </w:p>
    <w:p>
      <w:pPr>
        <w:pStyle w:val="ListParagraph"/>
        <w:numPr>
          <w:ilvl w:val="0"/>
          <w:numId w:val="3"/>
        </w:numPr>
        <w:spacing w:after="100"/>
      </w:pPr>
      <w:r>
        <w:rPr>
          <w:rFonts w:ascii="Georgia" w:cs="Georgia" w:eastAsia="Georgia" w:hAnsi="Georgia"/>
          <w:sz w:val="24"/>
          <w:szCs w:val="24"/>
        </w:rPr>
        <w:t xml:space="preserve">Identify the thinking most at risk of becoming invisible (5 min)</w:t>
      </w:r>
    </w:p>
    <w:p>
      <w:pPr>
        <w:pStyle w:val="ListParagraph"/>
        <w:numPr>
          <w:ilvl w:val="0"/>
          <w:numId w:val="3"/>
        </w:numPr>
        <w:spacing w:after="100"/>
      </w:pPr>
      <w:r>
        <w:rPr>
          <w:rFonts w:ascii="Georgia" w:cs="Georgia" w:eastAsia="Georgia" w:hAnsi="Georgia"/>
          <w:sz w:val="24"/>
          <w:szCs w:val="24"/>
        </w:rPr>
        <w:t xml:space="preserve">Identify evidence that would demonstrate that thinking is genuine — verbal, written, visual, computational, embodied, or artistic (5 min)</w:t>
      </w:r>
    </w:p>
    <w:p>
      <w:pPr>
        <w:pStyle w:val="ListParagraph"/>
        <w:numPr>
          <w:ilvl w:val="0"/>
          <w:numId w:val="3"/>
        </w:numPr>
        <w:spacing w:after="100"/>
      </w:pPr>
      <w:r>
        <w:rPr>
          <w:rFonts w:ascii="Georgia" w:cs="Georgia" w:eastAsia="Georgia" w:hAnsi="Georgia"/>
          <w:sz w:val="24"/>
          <w:szCs w:val="24"/>
        </w:rPr>
        <w:t xml:space="preserve">Identify the appropriate SAIL positioning (5 min)</w:t>
      </w:r>
    </w:p>
    <w:p>
      <w:pPr>
        <w:pStyle w:val="ListParagraph"/>
        <w:numPr>
          <w:ilvl w:val="0"/>
          <w:numId w:val="3"/>
        </w:numPr>
        <w:spacing w:after="100"/>
      </w:pPr>
      <w:r>
        <w:rPr>
          <w:rFonts w:ascii="Georgia" w:cs="Georgia" w:eastAsia="Georgia" w:hAnsi="Georgia"/>
          <w:sz w:val="24"/>
          <w:szCs w:val="24"/>
        </w:rPr>
        <w:t xml:space="preserve">Make one specific change and document it (5 min)</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Sustainability note: </w:t>
      </w:r>
      <w:r>
        <w:rPr>
          <w:rFonts w:ascii="Georgia" w:cs="Georgia" w:eastAsia="Georgia" w:hAnsi="Georgia"/>
          <w:sz w:val="24"/>
          <w:szCs w:val="24"/>
        </w:rPr>
        <w:t xml:space="preserve">Designed for the tired teacher in February, not only the energized teacher in September. Requires no new tools, no new curriculum, and no new meeting time.</w:t>
      </w:r>
    </w:p>
    <w:p>
      <w:pPr>
        <w:pStyle w:val="Heading2"/>
        <w:keepNext/>
        <w:spacing w:after="120" w:before="280"/>
      </w:pPr>
      <w:r>
        <w:rPr>
          <w:rFonts w:ascii="Arial" w:cs="Arial" w:eastAsia="Arial" w:hAnsi="Arial"/>
          <w:b/>
          <w:bCs/>
          <w:color w:val="2E7D8C"/>
          <w:sz w:val="26"/>
          <w:szCs w:val="26"/>
        </w:rPr>
        <w:t xml:space="preserve">Appendix G — emerging shared language: Departmental Shared Language</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80"/>
        <w:gridCol w:w="2480"/>
        <w:gridCol w:w="3200"/>
      </w:tblGrid>
      <w:tr>
        <w:trPr>
          <w:cantSplit/>
        </w:trPr>
        <w:tc>
          <w:tcPr>
            <w:tcW w:type="dxa" w:w="1600"/>
            <w:tcBorders>
              <w:top w:val="single" w:color="C9952A" w:sz="4"/>
              <w:left w:val="single" w:color="C9952A" w:sz="4"/>
              <w:bottom w:val="single" w:color="C9952A" w:sz="4"/>
              <w:right w:val="single" w:color="C9952A"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Discipline</w:t>
            </w:r>
          </w:p>
        </w:tc>
        <w:tc>
          <w:tcPr>
            <w:tcW w:type="dxa" w:w="2080"/>
            <w:tcBorders>
              <w:top w:val="single" w:color="C9952A" w:sz="4"/>
              <w:left w:val="single" w:color="C9952A" w:sz="4"/>
              <w:bottom w:val="single" w:color="C9952A" w:sz="4"/>
              <w:right w:val="single" w:color="C9952A"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Thinking to Protect</w:t>
            </w:r>
          </w:p>
        </w:tc>
        <w:tc>
          <w:tcPr>
            <w:tcW w:type="dxa" w:w="2480"/>
            <w:tcBorders>
              <w:top w:val="single" w:color="C9952A" w:sz="4"/>
              <w:left w:val="single" w:color="C9952A" w:sz="4"/>
              <w:bottom w:val="single" w:color="C9952A" w:sz="4"/>
              <w:right w:val="single" w:color="C9952A"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What AI Can Bypass</w:t>
            </w:r>
          </w:p>
        </w:tc>
        <w:tc>
          <w:tcPr>
            <w:tcW w:type="dxa" w:w="3200"/>
            <w:tcBorders>
              <w:top w:val="single" w:color="C9952A" w:sz="4"/>
              <w:left w:val="single" w:color="C9952A" w:sz="4"/>
              <w:bottom w:val="single" w:color="C9952A" w:sz="4"/>
              <w:right w:val="single" w:color="C9952A"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Interpretable Evidence</w:t>
            </w:r>
          </w:p>
        </w:tc>
      </w:tr>
      <w:tr>
        <w:trPr>
          <w:cantSplit/>
        </w:trPr>
        <w:tc>
          <w:tcPr>
            <w:tcW w:type="dxa" w:w="16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bCs/>
                <w:sz w:val="22"/>
                <w:szCs w:val="22"/>
              </w:rPr>
              <w:t xml:space="preserve">Mathematics</w:t>
            </w:r>
          </w:p>
        </w:tc>
        <w:tc>
          <w:tcPr>
            <w:tcW w:type="dxa" w:w="20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Interpretation of structure, proof construction, sense-making of results</w:t>
            </w:r>
          </w:p>
        </w:tc>
        <w:tc>
          <w:tcPr>
            <w:tcW w:type="dxa" w:w="24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Procedure execution, answer generation</w:t>
            </w:r>
          </w:p>
        </w:tc>
        <w:tc>
          <w:tcPr>
            <w:tcW w:type="dxa" w:w="32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Worked reasoning, error analysis, conjecture justification, revision narrative</w:t>
            </w:r>
          </w:p>
        </w:tc>
      </w:tr>
      <w:tr>
        <w:trPr>
          <w:cantSplit/>
        </w:trPr>
        <w:tc>
          <w:tcPr>
            <w:tcW w:type="dxa" w:w="160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bCs/>
                <w:sz w:val="22"/>
                <w:szCs w:val="22"/>
              </w:rPr>
              <w:t xml:space="preserve">Science</w:t>
            </w:r>
          </w:p>
        </w:tc>
        <w:tc>
          <w:tcPr>
            <w:tcW w:type="dxa" w:w="208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Modeling, evidence evaluation, CER reasoning</w:t>
            </w:r>
          </w:p>
        </w:tc>
        <w:tc>
          <w:tcPr>
            <w:tcW w:type="dxa" w:w="248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Explanation generation, data summary</w:t>
            </w:r>
          </w:p>
        </w:tc>
        <w:tc>
          <w:tcPr>
            <w:tcW w:type="dxa" w:w="320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Model revision logs, CER artifacts, anomaly interrogation, hypothesis traces</w:t>
            </w:r>
          </w:p>
        </w:tc>
      </w:tr>
      <w:tr>
        <w:trPr>
          <w:cantSplit/>
        </w:trPr>
        <w:tc>
          <w:tcPr>
            <w:tcW w:type="dxa" w:w="16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bCs/>
                <w:sz w:val="22"/>
                <w:szCs w:val="22"/>
              </w:rPr>
              <w:t xml:space="preserve">Humanities</w:t>
            </w:r>
          </w:p>
        </w:tc>
        <w:tc>
          <w:tcPr>
            <w:tcW w:type="dxa" w:w="20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Interpretation, sourcing, historiographical judgment</w:t>
            </w:r>
          </w:p>
        </w:tc>
        <w:tc>
          <w:tcPr>
            <w:tcW w:type="dxa" w:w="24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Essay drafting, argument scaffolding</w:t>
            </w:r>
          </w:p>
        </w:tc>
        <w:tc>
          <w:tcPr>
            <w:tcW w:type="dxa" w:w="32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Argument critique, source analysis, contested interpretation defense, revision rationale</w:t>
            </w:r>
          </w:p>
        </w:tc>
      </w:tr>
      <w:tr>
        <w:trPr>
          <w:cantSplit/>
        </w:trPr>
        <w:tc>
          <w:tcPr>
            <w:tcW w:type="dxa" w:w="160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bCs/>
                <w:sz w:val="22"/>
                <w:szCs w:val="22"/>
              </w:rPr>
              <w:t xml:space="preserve">Arts</w:t>
            </w:r>
          </w:p>
        </w:tc>
        <w:tc>
          <w:tcPr>
            <w:tcW w:type="dxa" w:w="208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Creative decision-making, aesthetic judgment, embodied craft knowledge</w:t>
            </w:r>
          </w:p>
        </w:tc>
        <w:tc>
          <w:tcPr>
            <w:tcW w:type="dxa" w:w="248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Initial generation, style imitation</w:t>
            </w:r>
          </w:p>
        </w:tc>
        <w:tc>
          <w:tcPr>
            <w:tcW w:type="dxa" w:w="320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Process portfolios, curatorial statements, creation narratives, tacit knowledge traces</w:t>
            </w:r>
          </w:p>
        </w:tc>
      </w:tr>
      <w:tr>
        <w:trPr>
          <w:cantSplit/>
        </w:trPr>
        <w:tc>
          <w:tcPr>
            <w:tcW w:type="dxa" w:w="16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bCs/>
                <w:sz w:val="22"/>
                <w:szCs w:val="22"/>
              </w:rPr>
              <w:t xml:space="preserve">Languages</w:t>
            </w:r>
          </w:p>
        </w:tc>
        <w:tc>
          <w:tcPr>
            <w:tcW w:type="dxa" w:w="20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Pragmatic judgment, register, voice, cultural meaning</w:t>
            </w:r>
          </w:p>
        </w:tc>
        <w:tc>
          <w:tcPr>
            <w:tcW w:type="dxa" w:w="24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Grammar correction, text generation</w:t>
            </w:r>
          </w:p>
        </w:tc>
        <w:tc>
          <w:tcPr>
            <w:tcW w:type="dxa" w:w="32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Revision commentary, voice analysis, peer feedback logs, translation decision rationale</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Use: </w:t>
      </w:r>
      <w:r>
        <w:rPr>
          <w:rFonts w:ascii="Georgia" w:cs="Georgia" w:eastAsia="Georgia" w:hAnsi="Georgia"/>
          <w:sz w:val="24"/>
          <w:szCs w:val="24"/>
        </w:rPr>
        <w:t xml:space="preserve">Post in department workrooms. Reference in curriculum review sessions. Use as PLC discussion anchor. Extend with discipline-specific examples from participating teachers.</w:t>
      </w:r>
    </w:p>
    <w:p>
      <w:pPr>
        <w:pStyle w:val="Heading2"/>
        <w:keepNext/>
        <w:spacing w:after="120" w:before="280"/>
      </w:pPr>
      <w:r>
        <w:rPr>
          <w:rFonts w:ascii="Arial" w:cs="Arial" w:eastAsia="Arial" w:hAnsi="Arial"/>
          <w:b/>
          <w:bCs/>
          <w:color w:val="2E7D8C"/>
          <w:sz w:val="26"/>
          <w:szCs w:val="26"/>
        </w:rPr>
        <w:t xml:space="preserve">Appendix I — Fellowship Pitches: 3-Minute and 10-Minute Verbal</w:t>
      </w:r>
    </w:p>
    <w:p>
      <w:pPr>
        <w:pStyle w:val="Heading3"/>
        <w:keepNext/>
        <w:spacing w:after="100" w:before="200"/>
      </w:pPr>
      <w:r>
        <w:rPr>
          <w:rFonts w:ascii="Arial" w:cs="Arial" w:eastAsia="Arial" w:hAnsi="Arial"/>
          <w:b/>
          <w:bCs/>
          <w:color w:val="1B3A5C"/>
          <w:sz w:val="24"/>
          <w:szCs w:val="24"/>
        </w:rPr>
        <w:t xml:space="preserve">3-Minute Pitch</w:t>
      </w:r>
    </w:p>
    <w:p>
      <w:pPr>
        <w:keepLines/>
        <w:spacing w:after="160" w:line="280"/>
      </w:pPr>
      <w:r>
        <w:rPr>
          <w:rFonts w:ascii="Georgia" w:cs="Georgia" w:eastAsia="Georgia" w:hAnsi="Georgia"/>
          <w:sz w:val="24"/>
          <w:szCs w:val="24"/>
        </w:rPr>
        <w:t xml:space="preserve">Right now, CNG teachers are living with an assessment validity problem that nobody talks about directly. When a student submits a polished essay, a well-organized lab report, or a thoughtful historical analysis, the teacher no longer knows whether they’re reading student thinking or AI output. And here’s the deeper problem: many of our tasks were never really designed to require genuine student thinking in the first place. AI just made that visible.</w:t>
      </w:r>
    </w:p>
    <w:p>
      <w:pPr>
        <w:keepLines/>
        <w:spacing w:after="160" w:line="280"/>
      </w:pPr>
      <w:r>
        <w:rPr>
          <w:rFonts w:ascii="Georgia" w:cs="Georgia" w:eastAsia="Georgia" w:hAnsi="Georgia"/>
          <w:sz w:val="24"/>
          <w:szCs w:val="24"/>
        </w:rPr>
        <w:t xml:space="preserve">This fellowship starts from one question: if AI completed this task perfectly, what learning would disappear? When teachers ask that seriously, they discover something useful — that many tasks can be redesigned to make student reasoning the evidence, not the product. A reasoning vlog. A sourcing note. A 150-word explanation of one claim the student ended up changing their mind about. Small changes that make genuine thinking the thing that gets assessed.</w:t>
      </w:r>
    </w:p>
    <w:p>
      <w:pPr>
        <w:keepLines/>
        <w:spacing w:after="160" w:line="280"/>
      </w:pPr>
      <w:r>
        <w:rPr>
          <w:rFonts w:ascii="Georgia" w:cs="Georgia" w:eastAsia="Georgia" w:hAnsi="Georgia"/>
          <w:sz w:val="24"/>
          <w:szCs w:val="24"/>
        </w:rPr>
        <w:t xml:space="preserve">The fellowship works with six High School teachers in three pairs across one year. Pairs are intentional: two experienced AI integrators, two teachers developing their practice, and two skeptical or resistant teachers paired together where they can voice concerns and challenge assumptions without pressure. Each teacher picks one existing assessment, audits it, redesigns it, teaches it, collects student reasoning evidence, and revises. Cajina provides written feedback at each iteration. Two monthly lunch PLC sessions (1 hour each). One VSR session per cycle (two total). One VSR cycle. Under 9 hours across 11 months.</w:t>
      </w:r>
    </w:p>
    <w:p>
      <w:pPr>
        <w:keepLines/>
        <w:spacing w:after="160" w:line="280"/>
      </w:pPr>
      <w:r>
        <w:rPr>
          <w:rFonts w:ascii="Georgia" w:cs="Georgia" w:eastAsia="Georgia" w:hAnsi="Georgia"/>
          <w:sz w:val="24"/>
          <w:szCs w:val="24"/>
        </w:rPr>
        <w:t xml:space="preserve">By June, each teacher brings their iteration arc to their own department. Year 2, the AI Task Force brings the proven protocol to department leadership. Within four years, the VISTA Protocol is a standing question in departmental curriculum review. The cost is $700 and access to one of your own classrooms.</w:t>
      </w:r>
    </w:p>
    <w:p>
      <w:pPr>
        <w:keepNext/>
        <w:spacing w:after="80"/>
      </w:pPr>
      <w:r>
        <w:rPr>
          <w:rFonts w:ascii="Georgia" w:cs="Georgia" w:eastAsia="Georgia" w:hAnsi="Georgia"/>
          <w:sz w:val="24"/>
          <w:szCs w:val="24"/>
        </w:rPr>
        <w:t xml:space="preserve"/>
      </w:r>
    </w:p>
    <w:p>
      <w:pPr>
        <w:pStyle w:val="Heading3"/>
        <w:keepNext/>
        <w:spacing w:after="100" w:before="200"/>
      </w:pPr>
      <w:r>
        <w:rPr>
          <w:rFonts w:ascii="Arial" w:cs="Arial" w:eastAsia="Arial" w:hAnsi="Arial"/>
          <w:b/>
          <w:bCs/>
          <w:color w:val="1B3A5C"/>
          <w:sz w:val="24"/>
          <w:szCs w:val="24"/>
        </w:rPr>
        <w:t xml:space="preserve">10-Minute Pitch</w:t>
      </w:r>
    </w:p>
    <w:p>
      <w:pPr>
        <w:keepLines/>
        <w:spacing w:after="160" w:line="280"/>
      </w:pPr>
      <w:r>
        <w:rPr>
          <w:rFonts w:ascii="Georgia" w:cs="Georgia" w:eastAsia="Georgia" w:hAnsi="Georgia"/>
          <w:sz w:val="24"/>
          <w:szCs w:val="24"/>
        </w:rPr>
        <w:t xml:space="preserve">I want to start with something from my own classroom. Last year, students in my statistics project were analyzing a housing dataset. They were supposed to construct statistical representations and interpret them. What happened instead was something I didn’t plan for: they started asking who collected the data, what story it was designed to tell, and what it was hiding. One student said she would never look at a graph the same way again.</w:t>
      </w:r>
    </w:p>
    <w:p>
      <w:pPr>
        <w:keepLines/>
        <w:spacing w:after="160" w:line="280"/>
      </w:pPr>
      <w:r>
        <w:rPr>
          <w:rFonts w:ascii="Georgia" w:cs="Georgia" w:eastAsia="Georgia" w:hAnsi="Georgia"/>
          <w:sz w:val="24"/>
          <w:szCs w:val="24"/>
        </w:rPr>
        <w:t xml:space="preserve">I also noticed something about AI use. Students had access to Flint, Gemini, and ChatGPT. Many kept choosing Flint, even though it’s less powerful. When I asked why, the answer was consistent: Flint made them think. It asked them to justify, explain, push further. When students were doing genuinely meaningful work, many chose the tool that challenged their reasoning over the one that just gave answers. That challenges something we often assume: that if students have access to AI, they’ll always choose the easy path. The evidence from my classroom suggests that’s a design problem, not a student problem.</w:t>
      </w:r>
    </w:p>
    <w:p>
      <w:pPr>
        <w:keepLines/>
        <w:spacing w:after="160" w:line="280"/>
      </w:pPr>
      <w:r>
        <w:rPr>
          <w:rFonts w:ascii="Georgia" w:cs="Georgia" w:eastAsia="Georgia" w:hAnsi="Georgia"/>
          <w:sz w:val="24"/>
          <w:szCs w:val="24"/>
        </w:rPr>
        <w:t xml:space="preserve">The fellowship grows from that observation and from a problem every teacher here is navigating: we no longer know, from a final product alone, whether we’re seeing student thinking or AI output. Our tasks were designed before AI existed, and many of them — honestly — never really required the thinking they claimed to require. AI just made that impossible to ignore.</w:t>
      </w:r>
    </w:p>
    <w:p>
      <w:pPr>
        <w:keepLines/>
        <w:spacing w:after="160" w:line="280"/>
      </w:pPr>
      <w:r>
        <w:rPr>
          <w:rFonts w:ascii="Georgia" w:cs="Georgia" w:eastAsia="Georgia" w:hAnsi="Georgia"/>
          <w:sz w:val="24"/>
          <w:szCs w:val="24"/>
        </w:rPr>
        <w:t xml:space="preserve">Six High School teachers in three pairs. Two experienced AI integrators who push each other. Two developing practitioners building mutual accountability. And two skeptical or resistant teachers — this is the most important design decision. A lone skeptic self-censors. A pair of skeptics can voice concerns, challenge assumptions, and surface institutional friction that would otherwise stay invisible. If the fellowship works for them, it works in any department.</w:t>
      </w:r>
    </w:p>
    <w:p>
      <w:pPr>
        <w:keepLines/>
        <w:spacing w:after="160" w:line="280"/>
      </w:pPr>
      <w:r>
        <w:rPr>
          <w:rFonts w:ascii="Georgia" w:cs="Georgia" w:eastAsia="Georgia" w:hAnsi="Georgia"/>
          <w:sz w:val="24"/>
          <w:szCs w:val="24"/>
        </w:rPr>
        <w:t xml:space="preserve">Each teacher selects one existing assessment. They audit it using the VISTA Protocol — a digital tool I’ve built. They identify what type of learning is at risk, how much AI can bypass it, and what one redesign would protect it. They enact the redesign. They collect student reasoning artifacts — not products, but the documented thinking behind products. They get written feedback from me before enactment and after. In February, one Video-Stimulated Recall session each: 30 minutes, watching a short clip of their own lesson, identifying the moment where the plan broke down. That session produces some of the most important professional learning in the whole fellowship. Total teacher commitment: seven to nine hours across eleven months.</w:t>
      </w:r>
    </w:p>
    <w:p>
      <w:pPr>
        <w:keepLines/>
        <w:spacing w:after="160" w:line="280"/>
      </w:pPr>
      <w:r>
        <w:rPr>
          <w:rFonts w:ascii="Georgia" w:cs="Georgia" w:eastAsia="Georgia" w:hAnsi="Georgia"/>
          <w:sz w:val="24"/>
          <w:szCs w:val="24"/>
        </w:rPr>
        <w:t xml:space="preserve">Two research questions. First: what does it actually look like, in real classrooms with real teachers, when AI-TPACK develops through sustained disciplinary inquiry rather than through training? Second: does that development change assessment design quality in ways that generate more interpretable evidence of student learning? I’ll answer the second question by comparing VISTA audit artifacts and assessment designs before and after each iteration cycle using the Technology Integration Assessment Instrument — measuring competence, not just confidence.</w:t>
      </w:r>
    </w:p>
    <w:p>
      <w:pPr>
        <w:keepLines/>
        <w:spacing w:after="160" w:line="280"/>
      </w:pPr>
      <w:r>
        <w:rPr>
          <w:rFonts w:ascii="Georgia" w:cs="Georgia" w:eastAsia="Georgia" w:hAnsi="Georgia"/>
          <w:sz w:val="24"/>
          <w:szCs w:val="24"/>
        </w:rPr>
        <w:t xml:space="preserve">In June, each teacher brings their iteration arc to their own department. That transfer session is research data: what language transfers? What questions emerge? What resistance appears? It’s the bridge from individual AI-TPACK to collective knowledge that lives in the department, survives staffing changes, and persists beyond any individual participant. Year 2: the AI Task Force brings the proven tools to department leadership. Year 1 teachers become Research Leads — not trainers, but colleagues who can say: here’s what I found, here’s what the student artifacts showed, here’s what changed. Within four years, the VISTA Protocol is part of standard departmental curriculum review.</w:t>
      </w:r>
    </w:p>
    <w:p>
      <w:pPr>
        <w:keepLines/>
        <w:spacing w:after="160" w:line="280"/>
      </w:pPr>
      <w:r>
        <w:rPr>
          <w:rFonts w:ascii="Georgia" w:cs="Georgia" w:eastAsia="Georgia" w:hAnsi="Georgia"/>
          <w:sz w:val="24"/>
          <w:szCs w:val="24"/>
        </w:rPr>
        <w:t xml:space="preserve">One more thing. Generative AI is a probabilistic text predictor — what researchers call a stochastic parrot: producing fluent, plausible-seeming output without any grounding in understanding. Most of what it does is a black box, opaque even to the people who built it. We are not going to fully understand it. Navigating ambiguity is not a temporary problem while we wait for better tools. It is the permanent condition of teaching in an AI-rich world. This fellowship builds the professional judgment to navigate it. The cost to CNG is $700 USD. The return is a documented, discipline-tested model that this school can share as a case study with the broader international school community — and a group of teachers who have done the work rather than attended a workshop about it.</w:t>
      </w:r>
    </w:p>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Appendix H — AI Task Force Handoff Package</w:t>
      </w:r>
    </w:p>
    <w:p>
      <w:pPr>
        <w:keepLines/>
        <w:spacing w:after="160" w:line="280"/>
      </w:pPr>
      <w:r>
        <w:rPr>
          <w:rFonts w:ascii="Georgia" w:cs="Georgia" w:eastAsia="Georgia" w:hAnsi="Georgia"/>
          <w:b/>
          <w:bCs/>
          <w:sz w:val="24"/>
          <w:szCs w:val="24"/>
        </w:rPr>
        <w:t xml:space="preserve">Contents: </w:t>
      </w:r>
    </w:p>
    <w:p>
      <w:pPr>
        <w:pStyle w:val="ListParagraph"/>
        <w:numPr>
          <w:ilvl w:val="0"/>
          <w:numId w:val="2"/>
        </w:numPr>
        <w:spacing w:after="100"/>
      </w:pPr>
      <w:r>
        <w:rPr>
          <w:rFonts w:ascii="Georgia" w:cs="Georgia" w:eastAsia="Georgia" w:hAnsi="Georgia"/>
          <w:b/>
          <w:bCs/>
          <w:sz w:val="24"/>
          <w:szCs w:val="24"/>
        </w:rPr>
        <w:t xml:space="preserve">Facilitation Guide: </w:t>
      </w:r>
      <w:r>
        <w:rPr>
          <w:rFonts w:ascii="Georgia" w:cs="Georgia" w:eastAsia="Georgia" w:hAnsi="Georgia"/>
          <w:sz w:val="24"/>
          <w:szCs w:val="24"/>
        </w:rPr>
        <w:t xml:space="preserve">step-by-step notes for Launch Session, PLC Cycles, Midpoint 1:1s, VSR Cycles, and June Showcase</w:t>
      </w:r>
    </w:p>
    <w:p>
      <w:pPr>
        <w:pStyle w:val="ListParagraph"/>
        <w:numPr>
          <w:ilvl w:val="0"/>
          <w:numId w:val="2"/>
        </w:numPr>
        <w:spacing w:after="100"/>
      </w:pPr>
      <w:r>
        <w:rPr>
          <w:rFonts w:ascii="Georgia" w:cs="Georgia" w:eastAsia="Georgia" w:hAnsi="Georgia"/>
          <w:b/>
          <w:bCs/>
          <w:sz w:val="24"/>
          <w:szCs w:val="24"/>
        </w:rPr>
        <w:t xml:space="preserve">Epistemological Tension Prompt Bank: </w:t>
      </w:r>
      <w:r>
        <w:rPr>
          <w:rFonts w:ascii="Georgia" w:cs="Georgia" w:eastAsia="Georgia" w:hAnsi="Georgia"/>
          <w:sz w:val="24"/>
          <w:szCs w:val="24"/>
        </w:rPr>
        <w:t xml:space="preserve">discipline-specific questions organized by the tension they surface and the learning they generate</w:t>
      </w:r>
    </w:p>
    <w:p>
      <w:pPr>
        <w:pStyle w:val="ListParagraph"/>
        <w:numPr>
          <w:ilvl w:val="0"/>
          <w:numId w:val="2"/>
        </w:numPr>
        <w:spacing w:after="100"/>
      </w:pPr>
      <w:r>
        <w:rPr>
          <w:rFonts w:ascii="Georgia" w:cs="Georgia" w:eastAsia="Georgia" w:hAnsi="Georgia"/>
          <w:b/>
          <w:bCs/>
          <w:sz w:val="24"/>
          <w:szCs w:val="24"/>
        </w:rPr>
        <w:t xml:space="preserve">VSR Analysis Framework: </w:t>
      </w:r>
      <w:r>
        <w:rPr>
          <w:rFonts w:ascii="Georgia" w:cs="Georgia" w:eastAsia="Georgia" w:hAnsi="Georgia"/>
          <w:sz w:val="24"/>
          <w:szCs w:val="24"/>
        </w:rPr>
        <w:t xml:space="preserve">hinge point identification guide, instructional regression indicators, actionable change categories</w:t>
      </w:r>
    </w:p>
    <w:p>
      <w:pPr>
        <w:pStyle w:val="ListParagraph"/>
        <w:numPr>
          <w:ilvl w:val="0"/>
          <w:numId w:val="2"/>
        </w:numPr>
        <w:spacing w:after="100"/>
      </w:pPr>
      <w:r>
        <w:rPr>
          <w:rFonts w:ascii="Georgia" w:cs="Georgia" w:eastAsia="Georgia" w:hAnsi="Georgia"/>
          <w:b/>
          <w:bCs/>
          <w:sz w:val="24"/>
          <w:szCs w:val="24"/>
        </w:rPr>
        <w:t xml:space="preserve">Iteration Feedback Template: </w:t>
      </w:r>
      <w:r>
        <w:rPr>
          <w:rFonts w:ascii="Georgia" w:cs="Georgia" w:eastAsia="Georgia" w:hAnsi="Georgia"/>
          <w:sz w:val="24"/>
          <w:szCs w:val="24"/>
        </w:rPr>
        <w:t xml:space="preserve">structured written feedback covering design quality, SAIL coherence, and intellectual labour visibility</w:t>
      </w:r>
    </w:p>
    <w:p>
      <w:pPr>
        <w:pStyle w:val="ListParagraph"/>
        <w:numPr>
          <w:ilvl w:val="0"/>
          <w:numId w:val="2"/>
        </w:numPr>
        <w:spacing w:after="100"/>
      </w:pPr>
      <w:r>
        <w:rPr>
          <w:rFonts w:ascii="Georgia" w:cs="Georgia" w:eastAsia="Georgia" w:hAnsi="Georgia"/>
          <w:b/>
          <w:bCs/>
          <w:sz w:val="24"/>
          <w:szCs w:val="24"/>
        </w:rPr>
        <w:t xml:space="preserve">Adaptation Notes by Division: </w:t>
      </w:r>
      <w:r>
        <w:rPr>
          <w:rFonts w:ascii="Georgia" w:cs="Georgia" w:eastAsia="Georgia" w:hAnsi="Georgia"/>
          <w:sz w:val="24"/>
          <w:szCs w:val="24"/>
        </w:rPr>
        <w:t xml:space="preserve">HS, MS, ES/PS, and LC-specific considerations</w:t>
      </w:r>
    </w:p>
    <w:p>
      <w:pPr>
        <w:pStyle w:val="ListParagraph"/>
        <w:numPr>
          <w:ilvl w:val="0"/>
          <w:numId w:val="2"/>
        </w:numPr>
        <w:spacing w:after="100"/>
      </w:pPr>
      <w:r>
        <w:rPr>
          <w:rFonts w:ascii="Georgia" w:cs="Georgia" w:eastAsia="Georgia" w:hAnsi="Georgia"/>
          <w:b/>
          <w:bCs/>
          <w:sz w:val="24"/>
          <w:szCs w:val="24"/>
        </w:rPr>
        <w:t xml:space="preserve">Year 2 Entry Points: </w:t>
      </w:r>
      <w:r>
        <w:rPr>
          <w:rFonts w:ascii="Georgia" w:cs="Georgia" w:eastAsia="Georgia" w:hAnsi="Georgia"/>
          <w:sz w:val="24"/>
          <w:szCs w:val="24"/>
        </w:rPr>
        <w:t xml:space="preserve">documented redesign priorities from Year 1 participants that serve as Year 2 starting points for the AI Task Force</w:t>
      </w:r>
    </w:p>
    <w:p>
      <w:pPr>
        <w:keepNext/>
        <w:spacing w:after="120"/>
      </w:pPr>
      <w:r>
        <w:rPr>
          <w:rFonts w:ascii="Georgia" w:cs="Georgia" w:eastAsia="Georgia" w:hAnsi="Georgia"/>
          <w:sz w:val="24"/>
          <w:szCs w:val="24"/>
        </w:rPr>
        <w:t xml:space="preserve"/>
      </w:r>
    </w:p>
    <w:p>
      <w:pPr>
        <w:spacing w:after="0" w:before="160"/>
        <w:jc w:val="center"/>
      </w:pPr>
      <w:r>
        <w:rPr>
          <w:rFonts w:ascii="Arial" w:cs="Arial" w:eastAsia="Arial" w:hAnsi="Arial"/>
          <w:i/>
          <w:iCs/>
          <w:color w:val="2E7D8C"/>
          <w:sz w:val="20"/>
          <w:szCs w:val="20"/>
        </w:rPr>
        <w:t xml:space="preserve">— End of Proposal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CE4" w:sz="4" w:space="4"/>
      </w:pBdr>
      <w:tabs>
        <w:tab w:val="right" w:pos="9360"/>
      </w:tabs>
      <w:spacing w:before="0"/>
    </w:pPr>
    <w:r>
      <w:rPr>
        <w:rFonts w:ascii="Arial" w:cs="Arial" w:eastAsia="Arial" w:hAnsi="Arial"/>
        <w:color w:val="2E7D8C"/>
        <w:sz w:val="18"/>
        <w:szCs w:val="18"/>
      </w:rPr>
      <w:t xml:space="preserve">Colegio Nueva Granada  ·  Bogotá, Colombia</w:t>
    </w:r>
    <w:r>
      <w:rPr>
        <w:rFonts w:ascii="Arial" w:cs="Arial" w:eastAsia="Arial" w:hAnsi="Arial"/>
        <w:sz w:val="18"/>
        <w:szCs w:val="18"/>
      </w:rPr>
      <w:t xml:space="preserve">	</w:t>
    </w:r>
    <w:r>
      <w:rPr>
        <w:rFonts w:ascii="Arial" w:cs="Arial" w:eastAsia="Arial" w:hAnsi="Arial"/>
        <w:color w:val="2E7D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CE4" w:sz="4" w:space="4"/>
      </w:pBdr>
      <w:spacing w:after="0"/>
    </w:pPr>
    <w:r>
      <w:rPr>
        <w:rFonts w:ascii="Arial" w:cs="Arial" w:eastAsia="Arial" w:hAnsi="Arial"/>
        <w:color w:val="2E7D8C"/>
        <w:sz w:val="18"/>
        <w:szCs w:val="18"/>
      </w:rPr>
      <w:t xml:space="preserve">Designing Human-Centered Learning in AI-Rich Classrooms  ·  A. Cajina  ·  CNG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D8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2026-06-07T20:57:19.591Z</dcterms:created>
  <dcterms:modified xsi:type="dcterms:W3CDTF">2026-06-07T20:57:19.591Z</dcterms:modified>
</cp:coreProperties>
</file>

<file path=docProps/custom.xml><?xml version="1.0" encoding="utf-8"?>
<Properties xmlns="http://schemas.openxmlformats.org/officeDocument/2006/custom-properties" xmlns:vt="http://schemas.openxmlformats.org/officeDocument/2006/docPropsVTypes"/>
</file>