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Georgia" w:cs="Georgia" w:eastAsia="Georgia" w:hAnsi="Georgia"/>
          <w:b/>
          <w:bCs/>
          <w:i w:val="false"/>
          <w:iCs w:val="false"/>
          <w:color w:val="1A1F2E"/>
          <w:sz w:val="36"/>
          <w:szCs w:val="36"/>
        </w:rPr>
        <w:t xml:space="preserve">What the Product Cannot Show:</w:t>
      </w:r>
    </w:p>
    <w:p>
      <w:pPr>
        <w:spacing w:after="120"/>
        <w:jc w:val="center"/>
      </w:pPr>
      <w:r>
        <w:rPr>
          <w:rFonts w:ascii="Georgia" w:cs="Georgia" w:eastAsia="Georgia" w:hAnsi="Georgia"/>
          <w:b w:val="false"/>
          <w:bCs w:val="false"/>
          <w:i w:val="false"/>
          <w:iCs w:val="false"/>
          <w:color w:val="1A1F2E"/>
          <w:sz w:val="28"/>
          <w:szCs w:val="28"/>
        </w:rPr>
        <w:t xml:space="preserve">Redesigning Assessment for Interpretable Evidence of Learning</w:t>
      </w:r>
    </w:p>
    <w:p>
      <w:pPr>
        <w:spacing w:after="120"/>
        <w:jc w:val="center"/>
      </w:pPr>
      <w:r>
        <w:rPr>
          <w:rFonts w:ascii="Georgia" w:cs="Georgia" w:eastAsia="Georgia" w:hAnsi="Georgia"/>
          <w:b w:val="false"/>
          <w:bCs w:val="false"/>
          <w:i w:val="false"/>
          <w:iCs w:val="false"/>
          <w:color w:val="1A1F2E"/>
          <w:sz w:val="28"/>
          <w:szCs w:val="28"/>
        </w:rPr>
        <w:t xml:space="preserve">in AI-Rich Secondary Classrooms</w:t>
      </w:r>
    </w:p>
    <w:p>
      <w:pPr>
        <w:spacing w:after="400"/>
      </w:pPr>
    </w:p>
    <w:p>
      <w:pPr>
        <w:pBdr>
          <w:bottom w:val="single" w:color="CCCCCC" w:sz="1" w:space="6"/>
        </w:pBdr>
        <w:spacing w:after="0"/>
      </w:pPr>
    </w:p>
    <w:p>
      <w:pPr>
        <w:spacing w:after="200"/>
      </w:pPr>
    </w:p>
    <w:p>
      <w:pPr>
        <w:spacing w:after="120"/>
        <w:jc w:val="center"/>
      </w:pPr>
      <w:r>
        <w:rPr>
          <w:rFonts w:ascii="Georgia" w:cs="Georgia" w:eastAsia="Georgia" w:hAnsi="Georgia"/>
          <w:b/>
          <w:bCs/>
          <w:i w:val="false"/>
          <w:iCs w:val="false"/>
          <w:color w:val="1A1F2E"/>
          <w:sz w:val="22"/>
          <w:szCs w:val="22"/>
        </w:rPr>
        <w:t xml:space="preserve">A Practitioner Inquiry</w:t>
      </w:r>
    </w:p>
    <w:p>
      <w:pPr>
        <w:spacing w:after="600"/>
      </w:pPr>
    </w:p>
    <w:p>
      <w:pPr>
        <w:spacing w:after="120"/>
        <w:jc w:val="center"/>
      </w:pPr>
      <w:r>
        <w:rPr>
          <w:rFonts w:ascii="Georgia" w:cs="Georgia" w:eastAsia="Georgia" w:hAnsi="Georgia"/>
          <w:b w:val="false"/>
          <w:bCs w:val="false"/>
          <w:i w:val="false"/>
          <w:iCs w:val="false"/>
          <w:color w:val="1A1F2E"/>
          <w:sz w:val="20"/>
          <w:szCs w:val="20"/>
        </w:rPr>
        <w:t xml:space="preserve">[Author name withheld for blind review]</w:t>
      </w:r>
    </w:p>
    <w:p>
      <w:pPr>
        <w:spacing w:after="120"/>
        <w:jc w:val="center"/>
      </w:pPr>
      <w:r>
        <w:rPr>
          <w:rFonts w:ascii="Georgia" w:cs="Georgia" w:eastAsia="Georgia" w:hAnsi="Georgia"/>
          <w:b w:val="false"/>
          <w:bCs w:val="false"/>
          <w:i w:val="false"/>
          <w:iCs w:val="false"/>
          <w:color w:val="1A1F2E"/>
          <w:sz w:val="20"/>
          <w:szCs w:val="20"/>
        </w:rPr>
        <w:t xml:space="preserve">[Institution withheld for blind review]</w:t>
      </w:r>
    </w:p>
    <w:p>
      <w:pPr>
        <w:spacing w:after="200"/>
      </w:pPr>
    </w:p>
    <w:p>
      <w:pPr>
        <w:pBdr>
          <w:bottom w:val="single" w:color="CCCCCC" w:sz="1" w:space="6"/>
        </w:pBdr>
        <w:spacing w:after="0"/>
      </w:pPr>
    </w:p>
    <w:p>
      <w:pPr>
        <w:spacing w:after="1600"/>
      </w:pPr>
    </w:p>
    <w:p>
      <w:pPr>
        <w:keepNext/>
        <w:spacing w:after="160" w:before="480"/>
      </w:pPr>
      <w:r>
        <w:rPr>
          <w:rFonts w:ascii="Georgia" w:cs="Georgia" w:eastAsia="Georgia" w:hAnsi="Georgia"/>
          <w:b/>
          <w:bCs/>
          <w:i w:val="false"/>
          <w:iCs w:val="false"/>
          <w:color w:val="1A1F2E"/>
          <w:sz w:val="24"/>
          <w:szCs w:val="24"/>
        </w:rPr>
        <w:t xml:space="preserve">Abstract</w:t>
      </w:r>
    </w:p>
    <w:p>
      <w:pPr>
        <w:spacing w:after="180" w:line="320"/>
        <w:ind/>
        <w:jc w:val="both"/>
      </w:pPr>
      <w:r>
        <w:rPr>
          <w:rFonts w:ascii="Georgia" w:cs="Georgia" w:eastAsia="Georgia" w:hAnsi="Georgia"/>
          <w:b w:val="false"/>
          <w:bCs w:val="false"/>
          <w:i w:val="false"/>
          <w:iCs w:val="false"/>
          <w:color w:val="1A1F2E"/>
          <w:sz w:val="22"/>
          <w:szCs w:val="22"/>
        </w:rPr>
        <w:t xml:space="preserve">Generative AI tools have introduced a crisis of interpretability in classroom assessment: final products that once required sustained disciplinary work can now be produced without it, making it increasingly difficult for teachers to make defensible inferences about what students actually understand. This paper reports on a practitioner inquiry investigating one approach to this problem: redesigning assessment experiences so that the reasoning process — not the product — becomes the primary source of interpretable evidence of learning. Drawing on classroom-based inquiry across two secondary mathematics projects in an international school context, the author examines what becomes visible to teachers when visible reasoning protocols are used alongside AI-rich tasks, and what remains hidden. Three interconnected findings are reported: that AI-resistant task design produces evidence of learning that polished AI-assisted products cannot; that the conditions under which students exercise agency toward deeper thinking (rather than toward efficiency) appear to be relational and cultural rather than technological; and that Video-Stimulated Recall is a productive mechanism for examining the gap between what teachers intend and what they enact when designing for interpretable evidence in AI-rich contexts. Implications for assessment design practice, professional learning design, and research on AI and learning are discussed.</w:t>
      </w:r>
    </w:p>
    <w:p>
      <w:pPr>
        <w:spacing w:after="80"/>
      </w:pPr>
    </w:p>
    <w:p>
      <w:pPr>
        <w:spacing w:after="180" w:line="320"/>
        <w:ind/>
        <w:jc w:val="both"/>
      </w:pPr>
      <w:r>
        <w:rPr>
          <w:rFonts w:ascii="Georgia" w:cs="Georgia" w:eastAsia="Georgia" w:hAnsi="Georgia"/>
          <w:b/>
          <w:bCs/>
          <w:i w:val="false"/>
          <w:iCs w:val="false"/>
          <w:color w:val="1A1F2E"/>
          <w:sz w:val="22"/>
          <w:szCs w:val="22"/>
        </w:rPr>
        <w:t xml:space="preserve">Keywords: </w:t>
      </w:r>
      <w:r>
        <w:rPr>
          <w:rFonts w:ascii="Georgia" w:cs="Georgia" w:eastAsia="Georgia" w:hAnsi="Georgia"/>
          <w:b w:val="false"/>
          <w:bCs w:val="false"/>
          <w:i w:val="false"/>
          <w:iCs w:val="false"/>
          <w:color w:val="1A1F2E"/>
          <w:sz w:val="22"/>
          <w:szCs w:val="22"/>
        </w:rPr>
        <w:t xml:space="preserve">assessment design, interpretable evidence, practitioner inquiry, AI-rich classrooms, visible reasoning, teacher professional learning, video-stimulated recall, student agency</w:t>
      </w:r>
    </w:p>
    <w:p>
      <w:pPr>
        <w:spacing w:after="400"/>
      </w:pPr>
    </w:p>
    <w:p>
      <w:pPr>
        <w:pBdr>
          <w:bottom w:val="single" w:color="CCCCCC" w:sz="1" w:space="6"/>
        </w:pBdr>
        <w:spacing w:after="0"/>
      </w:pPr>
    </w:p>
    <w:p>
      <w:pPr>
        <w:spacing w:after="400"/>
      </w:pPr>
    </w:p>
    <w:p>
      <w:pPr>
        <w:keepNext/>
        <w:spacing w:after="160" w:before="480"/>
      </w:pPr>
      <w:r>
        <w:rPr>
          <w:rFonts w:ascii="Georgia" w:cs="Georgia" w:eastAsia="Georgia" w:hAnsi="Georgia"/>
          <w:b/>
          <w:bCs/>
          <w:i w:val="false"/>
          <w:iCs w:val="false"/>
          <w:color w:val="1A1F2E"/>
          <w:sz w:val="24"/>
          <w:szCs w:val="24"/>
        </w:rPr>
        <w:t xml:space="preserve">1. Introduction</w:t>
      </w:r>
    </w:p>
    <w:p>
      <w:pPr>
        <w:spacing w:after="180" w:line="320"/>
        <w:ind/>
        <w:jc w:val="both"/>
      </w:pPr>
      <w:r>
        <w:rPr>
          <w:rFonts w:ascii="Georgia" w:cs="Georgia" w:eastAsia="Georgia" w:hAnsi="Georgia"/>
          <w:b w:val="false"/>
          <w:bCs w:val="false"/>
          <w:i w:val="false"/>
          <w:iCs w:val="false"/>
          <w:color w:val="1A1F2E"/>
          <w:sz w:val="22"/>
          <w:szCs w:val="22"/>
        </w:rPr>
        <w:t xml:space="preserve">During a statistics investigation in a secondary mathematics classroom, students were asked to construct competing claims from the same dataset — using histograms, box plots, and measures of spread to tell intentionally different stories with mathematically accurate representations. They were not told which story to tell. They were asked to make one, and then to interrogate it.</w:t>
      </w:r>
    </w:p>
    <w:p>
      <w:pPr>
        <w:spacing w:after="180" w:line="320"/>
        <w:ind w:firstLine="720"/>
        <w:jc w:val="both"/>
      </w:pPr>
      <w:r>
        <w:rPr>
          <w:rFonts w:ascii="Georgia" w:cs="Georgia" w:eastAsia="Georgia" w:hAnsi="Georgia"/>
          <w:b w:val="false"/>
          <w:bCs w:val="false"/>
          <w:i w:val="false"/>
          <w:iCs w:val="false"/>
          <w:color w:val="1A1F2E"/>
          <w:sz w:val="22"/>
          <w:szCs w:val="22"/>
        </w:rPr>
        <w:t xml:space="preserve">What emerged was unexpected. Students began asking questions that the task had not been designed to elicit: Who collected this data? What story is being hidden? How can something be both accurate and misleading? One student — reviewing her own work at the end of the unit — said she would never look at a graph the same way again. She was not describing a skill she had acquired. She was describing a change in perception.</w:t>
      </w:r>
    </w:p>
    <w:p>
      <w:pPr>
        <w:spacing w:after="180" w:line="320"/>
        <w:ind w:firstLine="720"/>
        <w:jc w:val="both"/>
      </w:pPr>
      <w:r>
        <w:rPr>
          <w:rFonts w:ascii="Georgia" w:cs="Georgia" w:eastAsia="Georgia" w:hAnsi="Georgia"/>
          <w:b w:val="false"/>
          <w:bCs w:val="false"/>
          <w:i w:val="false"/>
          <w:iCs w:val="false"/>
          <w:color w:val="1A1F2E"/>
          <w:sz w:val="22"/>
          <w:szCs w:val="22"/>
        </w:rPr>
        <w:t xml:space="preserve">What was equally unexpected was what the students chose when they had access to multiple AI tools. Offered Gemini, ChatGPT, NotebookLM, and Flint, many returned repeatedly to Flint — a tool that, by any conventional feature comparison, is less capable than the others. When asked why, their answers were consistent. Flint made them think. It asked them to go further, justify more, return to the question. The other tools gave them answers. Flint gave them more work.</w:t>
      </w:r>
    </w:p>
    <w:p>
      <w:pPr>
        <w:spacing w:after="180" w:line="320"/>
        <w:ind w:firstLine="720"/>
        <w:jc w:val="both"/>
      </w:pPr>
      <w:r>
        <w:rPr>
          <w:rFonts w:ascii="Georgia" w:cs="Georgia" w:eastAsia="Georgia" w:hAnsi="Georgia"/>
          <w:b w:val="false"/>
          <w:bCs w:val="false"/>
          <w:i w:val="false"/>
          <w:iCs w:val="false"/>
          <w:color w:val="1A1F2E"/>
          <w:sz w:val="22"/>
          <w:szCs w:val="22"/>
        </w:rPr>
        <w:t xml:space="preserve">This observation has stayed with me because it resists the explanation usually given for AI and student shortcuts. Students chose not the path of least resistance but the path of most productive resistance. That choice cannot be explained by the tools. It has to be explained by the conditions — by what the classroom had established about what thinking is for, and why it matters.</w:t>
      </w:r>
    </w:p>
    <w:p>
      <w:pPr>
        <w:spacing w:after="180" w:line="320"/>
        <w:ind w:firstLine="720"/>
        <w:jc w:val="both"/>
      </w:pPr>
      <w:r>
        <w:rPr>
          <w:rFonts w:ascii="Georgia" w:cs="Georgia" w:eastAsia="Georgia" w:hAnsi="Georgia"/>
          <w:b w:val="false"/>
          <w:bCs w:val="false"/>
          <w:i w:val="false"/>
          <w:iCs w:val="false"/>
          <w:color w:val="1A1F2E"/>
          <w:sz w:val="22"/>
          <w:szCs w:val="22"/>
        </w:rPr>
        <w:t xml:space="preserve">This paper is an account of a practitioner inquiry that grew from those two observations: that the most important evidence of learning often appeared not in what students produced, but in how they explained what they had changed their minds about; and that the conditions under which students exercise agency toward learning rather than efficiency appear to be relational before they are technological.</w:t>
      </w:r>
    </w:p>
    <w:p>
      <w:pPr>
        <w:keepNext/>
        <w:spacing w:after="120" w:before="280"/>
      </w:pPr>
      <w:r>
        <w:rPr>
          <w:rFonts w:ascii="Georgia" w:cs="Georgia" w:eastAsia="Georgia" w:hAnsi="Georgia"/>
          <w:b/>
          <w:bCs/>
          <w:i w:val="false"/>
          <w:iCs w:val="false"/>
          <w:color w:val="1A1F2E"/>
          <w:sz w:val="22"/>
          <w:szCs w:val="22"/>
        </w:rPr>
        <w:t xml:space="preserve">1.1 The Assessment Validity Problem</w:t>
      </w:r>
    </w:p>
    <w:p>
      <w:pPr>
        <w:spacing w:after="180" w:line="320"/>
        <w:ind/>
        <w:jc w:val="both"/>
      </w:pPr>
      <w:r>
        <w:rPr>
          <w:rFonts w:ascii="Georgia" w:cs="Georgia" w:eastAsia="Georgia" w:hAnsi="Georgia"/>
          <w:b w:val="false"/>
          <w:bCs w:val="false"/>
          <w:i w:val="false"/>
          <w:iCs w:val="false"/>
          <w:color w:val="1A1F2E"/>
          <w:sz w:val="22"/>
          <w:szCs w:val="22"/>
        </w:rPr>
        <w:t xml:space="preserve">The problem this inquiry addresses is straightforward to describe and difficult to solve. When students work in classrooms shaped by generative AI tools, teachers face a version of an old problem in a newly acute form: the final products students produce no longer reliably reflect what students actually understand. An essay, a lab report, a historical analysis, a mathematical explanation — each of these can now be generated, organised, and polished to a level of fluency that would previously have required sustained disciplinary work.</w:t>
      </w:r>
    </w:p>
    <w:p>
      <w:pPr>
        <w:spacing w:after="180" w:line="320"/>
        <w:ind w:firstLine="720"/>
        <w:jc w:val="both"/>
      </w:pPr>
      <w:r>
        <w:rPr>
          <w:rFonts w:ascii="Georgia" w:cs="Georgia" w:eastAsia="Georgia" w:hAnsi="Georgia"/>
          <w:b w:val="false"/>
          <w:bCs w:val="false"/>
          <w:i w:val="false"/>
          <w:iCs w:val="false"/>
          <w:color w:val="1A1F2E"/>
          <w:sz w:val="22"/>
          <w:szCs w:val="22"/>
        </w:rPr>
        <w:t xml:space="preserve">This is not primarily a problem of academic integrity, though integrity questions are implicated. It is a problem of assessment validity in the technical sense established by Messick (1989) and elaborated by Kane (2013): the inferences a teacher draws from a student's work are only as defensible as the evidence that supports them. When AI can produce the work, the product no longer supports the inference it once did. The interpretive chain from product to understanding is broken.</w:t>
      </w:r>
    </w:p>
    <w:p>
      <w:pPr>
        <w:spacing w:after="180" w:line="320"/>
        <w:ind w:firstLine="720"/>
        <w:jc w:val="both"/>
      </w:pPr>
      <w:r>
        <w:rPr>
          <w:rFonts w:ascii="Georgia" w:cs="Georgia" w:eastAsia="Georgia" w:hAnsi="Georgia"/>
          <w:b w:val="false"/>
          <w:bCs w:val="false"/>
          <w:i w:val="false"/>
          <w:iCs w:val="false"/>
          <w:color w:val="1A1F2E"/>
          <w:sz w:val="22"/>
          <w:szCs w:val="22"/>
        </w:rPr>
        <w:t xml:space="preserve">The problem is compounded by what might be called the illusion of fluency: AI-generated text tends to be grammatically correct, well-organised, and confident-sounding — precisely the surface features that teachers have historically used, consciously or not, as proxies for understanding. A student who has never read the novel can submit an essay that discusses it with apparent depth. A student who cannot explain why exponential regression fits a dataset can submit a Desmos screenshot with a fluent written interpretation. The product looks like learning. The learning may not have occurred.</w:t>
      </w:r>
    </w:p>
    <w:p>
      <w:pPr>
        <w:spacing w:after="180" w:line="320"/>
        <w:ind w:firstLine="720"/>
        <w:jc w:val="both"/>
      </w:pPr>
      <w:r>
        <w:rPr>
          <w:rFonts w:ascii="Georgia" w:cs="Georgia" w:eastAsia="Georgia" w:hAnsi="Georgia"/>
          <w:b w:val="false"/>
          <w:bCs w:val="false"/>
          <w:i w:val="false"/>
          <w:iCs w:val="false"/>
          <w:color w:val="1A1F2E"/>
          <w:sz w:val="22"/>
          <w:szCs w:val="22"/>
        </w:rPr>
        <w:t xml:space="preserve">This paper does not treat this as a technological problem to be solved by detection tools, policy mandates, or AI-proof assessment design in any absolute sense. It treats it as a design problem: a question about what kinds of tasks, documentation, and interaction can generate evidence that remains interpretable — evidence that allows a teacher to look at a student's work and make a defensible, meaningful judgment about where that student is in their learning, regardless of what AI tools are present in the environment.</w:t>
      </w:r>
    </w:p>
    <w:p>
      <w:pPr>
        <w:keepNext/>
        <w:spacing w:after="120" w:before="280"/>
      </w:pPr>
      <w:r>
        <w:rPr>
          <w:rFonts w:ascii="Georgia" w:cs="Georgia" w:eastAsia="Georgia" w:hAnsi="Georgia"/>
          <w:b/>
          <w:bCs/>
          <w:i w:val="false"/>
          <w:iCs w:val="false"/>
          <w:color w:val="1A1F2E"/>
          <w:sz w:val="22"/>
          <w:szCs w:val="22"/>
        </w:rPr>
        <w:t xml:space="preserve">1.2 Purpose and Scope</w:t>
      </w:r>
    </w:p>
    <w:p>
      <w:pPr>
        <w:spacing w:after="180" w:line="320"/>
        <w:ind/>
        <w:jc w:val="both"/>
      </w:pPr>
      <w:r>
        <w:rPr>
          <w:rFonts w:ascii="Georgia" w:cs="Georgia" w:eastAsia="Georgia" w:hAnsi="Georgia"/>
          <w:b w:val="false"/>
          <w:bCs w:val="false"/>
          <w:i w:val="false"/>
          <w:iCs w:val="false"/>
          <w:color w:val="1A1F2E"/>
          <w:sz w:val="22"/>
          <w:szCs w:val="22"/>
        </w:rPr>
        <w:t xml:space="preserve">This paper reports on classroom-based practitioner inquiry examining what happens when teachers deliberately redesign assessments to make student reasoning — not only student products — the primary source of evidence. The inquiry is not a controlled study and does not claim causal findings. It is a practitioner account, situated in a specific educational context, that generates questions and provisional insights rather than generalisable conclusions.</w:t>
      </w:r>
    </w:p>
    <w:p>
      <w:pPr>
        <w:spacing w:after="180" w:line="320"/>
        <w:ind w:firstLine="720"/>
        <w:jc w:val="both"/>
      </w:pPr>
      <w:r>
        <w:rPr>
          <w:rFonts w:ascii="Georgia" w:cs="Georgia" w:eastAsia="Georgia" w:hAnsi="Georgia"/>
          <w:b w:val="false"/>
          <w:bCs w:val="false"/>
          <w:i w:val="false"/>
          <w:iCs w:val="false"/>
          <w:color w:val="1A1F2E"/>
          <w:sz w:val="22"/>
          <w:szCs w:val="22"/>
        </w:rPr>
        <w:t xml:space="preserve">Three interconnected questions guided the inquiry:</w:t>
      </w:r>
    </w:p>
    <w:p>
      <w:pPr>
        <w:spacing w:after="180" w:line="320"/>
        <w:ind w:firstLine="720"/>
        <w:jc w:val="both"/>
      </w:pPr>
      <w:r>
        <w:rPr>
          <w:rFonts w:ascii="Georgia" w:cs="Georgia" w:eastAsia="Georgia" w:hAnsi="Georgia"/>
          <w:b w:val="false"/>
          <w:bCs w:val="false"/>
          <w:i w:val="false"/>
          <w:iCs w:val="false"/>
          <w:color w:val="1A1F2E"/>
          <w:sz w:val="22"/>
          <w:szCs w:val="22"/>
        </w:rPr>
        <w:t xml:space="preserve">What types of evidence become interpretable when visible reasoning is designed into assessment experiences?</w:t>
      </w:r>
    </w:p>
    <w:p>
      <w:pPr>
        <w:spacing w:after="180" w:line="320"/>
        <w:ind w:firstLine="720"/>
        <w:jc w:val="both"/>
      </w:pPr>
      <w:r>
        <w:rPr>
          <w:rFonts w:ascii="Georgia" w:cs="Georgia" w:eastAsia="Georgia" w:hAnsi="Georgia"/>
          <w:b w:val="false"/>
          <w:bCs w:val="false"/>
          <w:i w:val="false"/>
          <w:iCs w:val="false"/>
          <w:color w:val="1A1F2E"/>
          <w:sz w:val="22"/>
          <w:szCs w:val="22"/>
        </w:rPr>
        <w:t xml:space="preserve">Under what conditions do students exercise agency toward deeper thinking in AI-rich learning environments?</w:t>
      </w:r>
    </w:p>
    <w:p>
      <w:pPr>
        <w:spacing w:after="180" w:line="320"/>
        <w:ind w:firstLine="720"/>
        <w:jc w:val="both"/>
      </w:pPr>
      <w:r>
        <w:rPr>
          <w:rFonts w:ascii="Georgia" w:cs="Georgia" w:eastAsia="Georgia" w:hAnsi="Georgia"/>
          <w:b w:val="false"/>
          <w:bCs w:val="false"/>
          <w:i w:val="false"/>
          <w:iCs w:val="false"/>
          <w:color w:val="1A1F2E"/>
          <w:sz w:val="22"/>
          <w:szCs w:val="22"/>
        </w:rPr>
        <w:t xml:space="preserve">What does Video-Stimulated Recall reveal about the gap between teachers' intended and enacted assessment designs in AI-rich classrooms?</w:t>
      </w:r>
    </w:p>
    <w:p>
      <w:pPr>
        <w:spacing w:after="180" w:line="320"/>
        <w:ind w:firstLine="720"/>
        <w:jc w:val="both"/>
      </w:pPr>
      <w:r>
        <w:rPr>
          <w:rFonts w:ascii="Georgia" w:cs="Georgia" w:eastAsia="Georgia" w:hAnsi="Georgia"/>
          <w:b w:val="false"/>
          <w:bCs w:val="false"/>
          <w:i w:val="false"/>
          <w:iCs w:val="false"/>
          <w:color w:val="1A1F2E"/>
          <w:sz w:val="22"/>
          <w:szCs w:val="22"/>
        </w:rPr>
        <w:t xml:space="preserve">The paper is structured as follows. Section 2 reviews the conceptual grounding for interpretable evidence of learning and its relationship to assessment validity and student agency. Section 3 describes the inquiry context and the design of the two classroom projects that form the empirical basis of the paper. Section 4 reports findings across the three inquiry questions. Section 5 discusses implications for assessment practice, professional learning design, and research. Section 6 offers conclusions and a reflection on the limitations of this account.</w:t>
      </w:r>
    </w:p>
    <w:p>
      <w:pPr>
        <w:spacing w:after="300"/>
      </w:pPr>
    </w:p>
    <w:p>
      <w:pPr>
        <w:pBdr>
          <w:bottom w:val="single" w:color="CCCCCC" w:sz="1" w:space="6"/>
        </w:pBdr>
        <w:spacing w:after="0"/>
      </w:pPr>
    </w:p>
    <w:p>
      <w:pPr>
        <w:spacing w:after="300"/>
      </w:pPr>
    </w:p>
    <w:p>
      <w:pPr>
        <w:keepNext/>
        <w:spacing w:after="160" w:before="480"/>
      </w:pPr>
      <w:r>
        <w:rPr>
          <w:rFonts w:ascii="Georgia" w:cs="Georgia" w:eastAsia="Georgia" w:hAnsi="Georgia"/>
          <w:b/>
          <w:bCs/>
          <w:i w:val="false"/>
          <w:iCs w:val="false"/>
          <w:color w:val="1A1F2E"/>
          <w:sz w:val="24"/>
          <w:szCs w:val="24"/>
        </w:rPr>
        <w:t xml:space="preserve">2. Conceptual Framework</w:t>
      </w:r>
    </w:p>
    <w:p>
      <w:pPr>
        <w:keepNext/>
        <w:spacing w:after="120" w:before="280"/>
      </w:pPr>
      <w:r>
        <w:rPr>
          <w:rFonts w:ascii="Georgia" w:cs="Georgia" w:eastAsia="Georgia" w:hAnsi="Georgia"/>
          <w:b/>
          <w:bCs/>
          <w:i w:val="false"/>
          <w:iCs w:val="false"/>
          <w:color w:val="1A1F2E"/>
          <w:sz w:val="22"/>
          <w:szCs w:val="22"/>
        </w:rPr>
        <w:t xml:space="preserve">2.1 Interpretable Evidence of Learning</w:t>
      </w:r>
    </w:p>
    <w:p>
      <w:pPr>
        <w:spacing w:after="180" w:line="320"/>
        <w:ind/>
        <w:jc w:val="both"/>
      </w:pPr>
      <w:r>
        <w:rPr>
          <w:rFonts w:ascii="Georgia" w:cs="Georgia" w:eastAsia="Georgia" w:hAnsi="Georgia"/>
          <w:b w:val="false"/>
          <w:bCs w:val="false"/>
          <w:i w:val="false"/>
          <w:iCs w:val="false"/>
          <w:color w:val="1A1F2E"/>
          <w:sz w:val="22"/>
          <w:szCs w:val="22"/>
        </w:rPr>
        <w:t xml:space="preserve">The phrase interpretable evidence of learning is used in this paper to describe artifacts, decisions, revisions, explanations, reflections, and performances that allow a teacher to make defensible instructional inferences about how a student's understanding is developing. The modifier 'interpretable' is doing specific work: it signals that not all evidence is equally readable, and that readability is a function of both what the student produces and what the teacher is positioned to see.</w:t>
      </w:r>
    </w:p>
    <w:p>
      <w:pPr>
        <w:spacing w:after="180" w:line="320"/>
        <w:ind w:firstLine="720"/>
        <w:jc w:val="both"/>
      </w:pPr>
      <w:r>
        <w:rPr>
          <w:rFonts w:ascii="Georgia" w:cs="Georgia" w:eastAsia="Georgia" w:hAnsi="Georgia"/>
          <w:b w:val="false"/>
          <w:bCs w:val="false"/>
          <w:i w:val="false"/>
          <w:iCs w:val="false"/>
          <w:color w:val="1A1F2E"/>
          <w:sz w:val="22"/>
          <w:szCs w:val="22"/>
        </w:rPr>
        <w:t xml:space="preserve">Visible reasoning protocols — reasoning vlogs, annotated drafts, AI rejection logs, revision narratives, oral defences — are designed to make thinking interpretable by externalising it: they ask students to produce the reasoning that assessment products alone cannot show. The theoretical grounding for this approach is threefold. First, from assessment validity theory (Messick, 1989; Kane, 2013): interpretable evidence strengthens the inferential chain from student performance to the construct being assessed. Second, from the science of learning (Dehaene, 2020; Whitman &amp; Kelleher, 2016): making reasoning explicit supports the consolidation and transfer of understanding, not only its documentation. Third, from practitioner research traditions (Schön, 1983; Cochran-Smith &amp; Lytle, 2009): what becomes visible to the teacher changes what the teacher can do — diagnosis precedes response.</w:t>
      </w:r>
    </w:p>
    <w:p>
      <w:pPr>
        <w:spacing w:after="180" w:line="320"/>
        <w:ind w:firstLine="720"/>
        <w:jc w:val="both"/>
      </w:pPr>
      <w:r>
        <w:rPr>
          <w:rFonts w:ascii="Georgia" w:cs="Georgia" w:eastAsia="Georgia" w:hAnsi="Georgia"/>
          <w:b w:val="false"/>
          <w:bCs w:val="false"/>
          <w:i w:val="false"/>
          <w:iCs w:val="false"/>
          <w:color w:val="1A1F2E"/>
          <w:sz w:val="22"/>
          <w:szCs w:val="22"/>
        </w:rPr>
        <w:t xml:space="preserve">An important qualification: not all learning can be made visible. Some of the most significant understanding is tacit, emergent, or embodied — accessible through demonstration and performance but resistant to verbal externalisation. This inquiry does not claim that visible reasoning captures all learning. It claims that visible reasoning captures some evidence that final products cannot, and that this evidence is particularly valuable in AI-rich contexts where the product-to-understanding inferential chain is most disrupted.</w:t>
      </w:r>
    </w:p>
    <w:p>
      <w:pPr>
        <w:keepNext/>
        <w:spacing w:after="120" w:before="280"/>
      </w:pPr>
      <w:r>
        <w:rPr>
          <w:rFonts w:ascii="Georgia" w:cs="Georgia" w:eastAsia="Georgia" w:hAnsi="Georgia"/>
          <w:b/>
          <w:bCs/>
          <w:i w:val="false"/>
          <w:iCs w:val="false"/>
          <w:color w:val="1A1F2E"/>
          <w:sz w:val="22"/>
          <w:szCs w:val="22"/>
        </w:rPr>
        <w:t xml:space="preserve">2.2 Student Agency and the Conditions for Learning</w:t>
      </w:r>
    </w:p>
    <w:p>
      <w:pPr>
        <w:spacing w:after="180" w:line="320"/>
        <w:ind/>
        <w:jc w:val="both"/>
      </w:pPr>
      <w:r>
        <w:rPr>
          <w:rFonts w:ascii="Georgia" w:cs="Georgia" w:eastAsia="Georgia" w:hAnsi="Georgia"/>
          <w:b w:val="false"/>
          <w:bCs w:val="false"/>
          <w:i w:val="false"/>
          <w:iCs w:val="false"/>
          <w:color w:val="1A1F2E"/>
          <w:sz w:val="22"/>
          <w:szCs w:val="22"/>
        </w:rPr>
        <w:t xml:space="preserve">The observation that many students chose Flint over more capable AI tools requires theoretical framing that goes beyond tool comparison. The relevant construct is student cognitive agency — understood here as the capacity of learners to act as primary sense-makers, decision-makers, and arbiters of what counts as satisfactory understanding in their own work (Chiu, 2025; Bandura, 2001). Agency, in this sense, is not merely the freedom to make choices. It is the disposition to exercise that freedom in ways that serve learning rather than efficiency.</w:t>
      </w:r>
    </w:p>
    <w:p>
      <w:pPr>
        <w:spacing w:after="180" w:line="320"/>
        <w:ind w:firstLine="720"/>
        <w:jc w:val="both"/>
      </w:pPr>
      <w:r>
        <w:rPr>
          <w:rFonts w:ascii="Georgia" w:cs="Georgia" w:eastAsia="Georgia" w:hAnsi="Georgia"/>
          <w:b w:val="false"/>
          <w:bCs w:val="false"/>
          <w:i w:val="false"/>
          <w:iCs w:val="false"/>
          <w:color w:val="1A1F2E"/>
          <w:sz w:val="22"/>
          <w:szCs w:val="22"/>
        </w:rPr>
        <w:t xml:space="preserve">That disposition is shaped by context. Self-determination theory (Ryan &amp; Deci, 2000) identifies relatedness, competence, and autonomy as the conditions under which intrinsic motivation — including the motivation to choose harder intellectual work — is most likely to develop. Classroom culture research (Nolen &amp; Ward, 2008; Turner et al., 2014) shows that the degree to which students perceive intellectual work as genuinely valued — by the teacher, by peers, by the task structure — is a stronger predictor of engaged learning than any single instructional technique.</w:t>
      </w:r>
    </w:p>
    <w:p>
      <w:pPr>
        <w:spacing w:after="180" w:line="320"/>
        <w:ind w:firstLine="720"/>
        <w:jc w:val="both"/>
      </w:pPr>
      <w:r>
        <w:rPr>
          <w:rFonts w:ascii="Georgia" w:cs="Georgia" w:eastAsia="Georgia" w:hAnsi="Georgia"/>
          <w:b w:val="false"/>
          <w:bCs w:val="false"/>
          <w:i w:val="false"/>
          <w:iCs w:val="false"/>
          <w:color w:val="1A1F2E"/>
          <w:sz w:val="22"/>
          <w:szCs w:val="22"/>
        </w:rPr>
        <w:t xml:space="preserve">In the context of this inquiry, the Flint observation is best understood as evidence that classroom culture — the relational and normative environment the teacher and students have co-constructed — was sufficient to establish deeper thinking as a valuable choice. The implication is not that Flint should be prescribed. It is that the conditions that made Flint a meaningful choice are more important than Flint itself, and that those conditions are primarily created through teaching, not through tool selection.</w:t>
      </w:r>
    </w:p>
    <w:p>
      <w:pPr>
        <w:keepNext/>
        <w:spacing w:after="120" w:before="280"/>
      </w:pPr>
      <w:r>
        <w:rPr>
          <w:rFonts w:ascii="Georgia" w:cs="Georgia" w:eastAsia="Georgia" w:hAnsi="Georgia"/>
          <w:b/>
          <w:bCs/>
          <w:i w:val="false"/>
          <w:iCs w:val="false"/>
          <w:color w:val="1A1F2E"/>
          <w:sz w:val="22"/>
          <w:szCs w:val="22"/>
        </w:rPr>
        <w:t xml:space="preserve">2.3 The Intended–Enacted Gap in AI-Rich Assessment Design</w:t>
      </w:r>
    </w:p>
    <w:p>
      <w:pPr>
        <w:spacing w:after="180" w:line="320"/>
        <w:ind/>
        <w:jc w:val="both"/>
      </w:pPr>
      <w:r>
        <w:rPr>
          <w:rFonts w:ascii="Georgia" w:cs="Georgia" w:eastAsia="Georgia" w:hAnsi="Georgia"/>
          <w:b w:val="false"/>
          <w:bCs w:val="false"/>
          <w:i w:val="false"/>
          <w:iCs w:val="false"/>
          <w:color w:val="1A1F2E"/>
          <w:sz w:val="22"/>
          <w:szCs w:val="22"/>
        </w:rPr>
        <w:t xml:space="preserve">A third conceptual strand concerns what happens when teachers design AI-rich assessment experiences. Research on teacher knowledge frameworks (Mishra &amp; Koehler, 2006; Celik, 2023; Chiu, 2025) establishes that technology integration requires the simultaneous exercise of content knowledge, pedagogical knowledge, and technological knowledge — a combination that is not additive but emerges from their intersection. In AI-rich contexts, this integrated knowledge is developing rapidly, which means that the gap between what teachers intend and what they enact in the classroom is wider than in more stable technological contexts.</w:t>
      </w:r>
    </w:p>
    <w:p>
      <w:pPr>
        <w:spacing w:after="180" w:line="320"/>
        <w:ind w:firstLine="720"/>
        <w:jc w:val="both"/>
      </w:pPr>
      <w:r>
        <w:rPr>
          <w:rFonts w:ascii="Georgia" w:cs="Georgia" w:eastAsia="Georgia" w:hAnsi="Georgia"/>
          <w:b w:val="false"/>
          <w:bCs w:val="false"/>
          <w:i w:val="false"/>
          <w:iCs w:val="false"/>
          <w:color w:val="1A1F2E"/>
          <w:sz w:val="22"/>
          <w:szCs w:val="22"/>
        </w:rPr>
        <w:t xml:space="preserve">Video-Stimulated Recall (VSR) is a methodology for examining this gap. Developed in the reflective practice tradition (Schön, 1983) and applied in teacher professional learning contexts by Tiernan (2016) and Hulsman et al. (2009), VSR asks teachers to review video of their own practice and reconstruct what they were thinking at specific moments — what they expected students to do, what cues they were attending to, what decisions they made and why. The resulting data is qualitatively different from written reflection: it is temporally anchored to specific moments and surfaces tacit knowledge that written accounts tend to smooth over.</w:t>
      </w:r>
    </w:p>
    <w:p>
      <w:pPr>
        <w:spacing w:after="180" w:line="320"/>
        <w:ind w:firstLine="720"/>
        <w:jc w:val="both"/>
      </w:pPr>
      <w:r>
        <w:rPr>
          <w:rFonts w:ascii="Georgia" w:cs="Georgia" w:eastAsia="Georgia" w:hAnsi="Georgia"/>
          <w:b w:val="false"/>
          <w:bCs w:val="false"/>
          <w:i w:val="false"/>
          <w:iCs w:val="false"/>
          <w:color w:val="1A1F2E"/>
          <w:sz w:val="22"/>
          <w:szCs w:val="22"/>
        </w:rPr>
        <w:t xml:space="preserve">This paper uses VSR data to examine a specific question: when teachers design assessment tasks intended to generate interpretable evidence of learning in AI-rich contexts, what happens between intention and enactment? Where do students use AI in ways the teacher did not anticipate? Where does the visible reasoning protocol succeed or fail to generate the evidence the teacher was hoping for? The gap is not a failure. It is the most productive site for learning about what AI-rich assessment design actually requires.</w:t>
      </w:r>
    </w:p>
    <w:p>
      <w:pPr>
        <w:spacing w:after="300"/>
      </w:pPr>
    </w:p>
    <w:p>
      <w:pPr>
        <w:pBdr>
          <w:bottom w:val="single" w:color="CCCCCC" w:sz="1" w:space="6"/>
        </w:pBdr>
        <w:spacing w:after="0"/>
      </w:pPr>
    </w:p>
    <w:p>
      <w:pPr>
        <w:spacing w:after="300"/>
      </w:pPr>
    </w:p>
    <w:p>
      <w:pPr>
        <w:keepNext/>
        <w:spacing w:after="160" w:before="480"/>
      </w:pPr>
      <w:r>
        <w:rPr>
          <w:rFonts w:ascii="Georgia" w:cs="Georgia" w:eastAsia="Georgia" w:hAnsi="Georgia"/>
          <w:b/>
          <w:bCs/>
          <w:i w:val="false"/>
          <w:iCs w:val="false"/>
          <w:color w:val="1A1F2E"/>
          <w:sz w:val="24"/>
          <w:szCs w:val="24"/>
        </w:rPr>
        <w:t xml:space="preserve">3. Inquiry Context and Methodology</w:t>
      </w:r>
    </w:p>
    <w:p>
      <w:pPr>
        <w:keepNext/>
        <w:spacing w:after="120" w:before="280"/>
      </w:pPr>
      <w:r>
        <w:rPr>
          <w:rFonts w:ascii="Georgia" w:cs="Georgia" w:eastAsia="Georgia" w:hAnsi="Georgia"/>
          <w:b/>
          <w:bCs/>
          <w:i w:val="false"/>
          <w:iCs w:val="false"/>
          <w:color w:val="1A1F2E"/>
          <w:sz w:val="22"/>
          <w:szCs w:val="22"/>
        </w:rPr>
        <w:t xml:space="preserve">3.1 Context</w:t>
      </w:r>
    </w:p>
    <w:p>
      <w:pPr>
        <w:spacing w:after="180" w:line="320"/>
        <w:ind/>
        <w:jc w:val="both"/>
      </w:pPr>
      <w:r>
        <w:rPr>
          <w:rFonts w:ascii="Georgia" w:cs="Georgia" w:eastAsia="Georgia" w:hAnsi="Georgia"/>
          <w:b w:val="false"/>
          <w:bCs w:val="false"/>
          <w:i w:val="false"/>
          <w:iCs w:val="false"/>
          <w:color w:val="1A1F2E"/>
          <w:sz w:val="22"/>
          <w:szCs w:val="22"/>
        </w:rPr>
        <w:t xml:space="preserve">The inquiry was conducted in a bilingual international school in Latin America serving a demographically diverse student population in secondary education. The author is a mathematics teacher who also holds responsibilities related to AI and professional learning. The two projects reported in this paper were conducted in secondary mathematics classrooms: one in Algebra 2 (approximately age 16–17) and one in Accelerated Geometry (approximately age 14–15). Both were conducted in academic years when students had routine access to multiple AI tools, including general-purpose large language model interfaces and a pedagogically-oriented AI tool with a structured scaffolding approach.</w:t>
      </w:r>
    </w:p>
    <w:p>
      <w:pPr>
        <w:spacing w:after="180" w:line="320"/>
        <w:ind w:firstLine="720"/>
        <w:jc w:val="both"/>
      </w:pPr>
      <w:r>
        <w:rPr>
          <w:rFonts w:ascii="Georgia" w:cs="Georgia" w:eastAsia="Georgia" w:hAnsi="Georgia"/>
          <w:b w:val="false"/>
          <w:bCs w:val="false"/>
          <w:i w:val="false"/>
          <w:iCs w:val="false"/>
          <w:color w:val="1A1F2E"/>
          <w:sz w:val="22"/>
          <w:szCs w:val="22"/>
        </w:rPr>
        <w:t xml:space="preserve">The inquiry is conducted from within the institution, by the teacher responsible for designing and implementing the projects described. This positionality is both a resource and a limitation. As a resource: the insider perspective provides access to classroom dynamics, student relationships, and institutional context that external researchers rarely have. As a limitation: the author designed the assessment instruments being evaluated, taught the lessons being reflected upon, and analysed the evidence from within a perspective shaped by the inquiry's own premises. This dual role is a recognised condition in practitioner research (Cochran-Smith &amp; Lytle, 2009; Groundwater-Smith &amp; Mockler, 2006), where it is managed through transparent documentation, triangulated evidence, and critical reflexivity rather than through methodological distance.</w:t>
      </w:r>
    </w:p>
    <w:p>
      <w:pPr>
        <w:keepNext/>
        <w:spacing w:after="120" w:before="280"/>
      </w:pPr>
      <w:r>
        <w:rPr>
          <w:rFonts w:ascii="Georgia" w:cs="Georgia" w:eastAsia="Georgia" w:hAnsi="Georgia"/>
          <w:b/>
          <w:bCs/>
          <w:i w:val="false"/>
          <w:iCs w:val="false"/>
          <w:color w:val="1A1F2E"/>
          <w:sz w:val="22"/>
          <w:szCs w:val="22"/>
        </w:rPr>
        <w:t xml:space="preserve">3.2 Project Descriptions</w:t>
      </w:r>
    </w:p>
    <w:p>
      <w:pPr>
        <w:spacing w:after="180" w:line="320"/>
        <w:ind/>
        <w:jc w:val="both"/>
      </w:pPr>
      <w:r>
        <w:rPr>
          <w:rFonts w:ascii="Georgia" w:cs="Georgia" w:eastAsia="Georgia" w:hAnsi="Georgia"/>
          <w:b/>
          <w:bCs/>
          <w:i w:val="false"/>
          <w:iCs w:val="false"/>
          <w:color w:val="1A1F2E"/>
          <w:sz w:val="22"/>
          <w:szCs w:val="22"/>
        </w:rPr>
        <w:t xml:space="preserve">Project 1: Statistical Conspiracy</w:t>
      </w:r>
    </w:p>
    <w:p>
      <w:pPr>
        <w:spacing w:after="180" w:line="320"/>
        <w:ind w:firstLine="720"/>
        <w:jc w:val="both"/>
      </w:pPr>
      <w:r>
        <w:rPr>
          <w:rFonts w:ascii="Georgia" w:cs="Georgia" w:eastAsia="Georgia" w:hAnsi="Georgia"/>
          <w:b w:val="false"/>
          <w:bCs w:val="false"/>
          <w:i w:val="false"/>
          <w:iCs w:val="false"/>
          <w:color w:val="1A1F2E"/>
          <w:sz w:val="22"/>
          <w:szCs w:val="22"/>
        </w:rPr>
        <w:t xml:space="preserve">Students in Accelerated Geometry were given a real dataset with a genuine political and social dimension. Their task was not to interpret the data but to construct competing interpretations of it: to produce two or three different statistical representations, each of which was mathematically accurate, and to write an explicit account of the story each representation was designed to tell and the story it was designed to hide. AI tools were available throughout. Students were required to submit an AI disclosure reflection identifying which parts of the work AI had contributed to, what they had kept from those contributions, and what they had changed or rejected — and why.</w:t>
      </w:r>
    </w:p>
    <w:p>
      <w:pPr>
        <w:spacing w:after="180" w:line="320"/>
        <w:ind w:firstLine="720"/>
        <w:jc w:val="both"/>
      </w:pPr>
      <w:r>
        <w:rPr>
          <w:rFonts w:ascii="Georgia" w:cs="Georgia" w:eastAsia="Georgia" w:hAnsi="Georgia"/>
          <w:b w:val="false"/>
          <w:bCs w:val="false"/>
          <w:i w:val="false"/>
          <w:iCs w:val="false"/>
          <w:color w:val="1A1F2E"/>
          <w:sz w:val="22"/>
          <w:szCs w:val="22"/>
        </w:rPr>
        <w:t xml:space="preserve">The assessment was designed around a specific learning goal: not statistical procedural fluency, but what might be called statistical epistemic literacy — the capacity to read data as a constructed artifact shaped by choices about collection, representation, and framing. The visible reasoning protocol was designed to make those choices interpretable: not what the student represented, but how they decided what to show and hide.</w:t>
      </w:r>
    </w:p>
    <w:p>
      <w:pPr>
        <w:spacing w:after="180" w:line="320"/>
        <w:ind/>
        <w:jc w:val="both"/>
      </w:pPr>
      <w:r>
        <w:rPr>
          <w:rFonts w:ascii="Georgia" w:cs="Georgia" w:eastAsia="Georgia" w:hAnsi="Georgia"/>
          <w:b/>
          <w:bCs/>
          <w:i w:val="false"/>
          <w:iCs w:val="false"/>
          <w:color w:val="1A1F2E"/>
          <w:sz w:val="22"/>
          <w:szCs w:val="22"/>
        </w:rPr>
        <w:t xml:space="preserve">Project 2: Systems Under Pressure</w:t>
      </w:r>
    </w:p>
    <w:p>
      <w:pPr>
        <w:spacing w:after="180" w:line="320"/>
        <w:ind w:firstLine="720"/>
        <w:jc w:val="both"/>
      </w:pPr>
      <w:r>
        <w:rPr>
          <w:rFonts w:ascii="Georgia" w:cs="Georgia" w:eastAsia="Georgia" w:hAnsi="Georgia"/>
          <w:b w:val="false"/>
          <w:bCs w:val="false"/>
          <w:i w:val="false"/>
          <w:iCs w:val="false"/>
          <w:color w:val="1A1F2E"/>
          <w:sz w:val="22"/>
          <w:szCs w:val="22"/>
        </w:rPr>
        <w:t xml:space="preserve">Students in Algebra 2 selected an authentic system of personal interest — energy markets, food supply networks, housing affordability, water infrastructure, social indicators — and used AI tools to explore mathematical relationships they would not previously have known how to model. The task was not to produce a correct mathematical model of the system. It was to develop and interrogate a plausible one: identifying variables, proposing relationships, building models using sequences, exponential functions, and polynomial behavior, and — crucially — examining where the mathematics revealed something true about the system and where it failed or simplified in ways that mattered.</w:t>
      </w:r>
    </w:p>
    <w:p>
      <w:pPr>
        <w:spacing w:after="180" w:line="320"/>
        <w:ind w:firstLine="720"/>
        <w:jc w:val="both"/>
      </w:pPr>
      <w:r>
        <w:rPr>
          <w:rFonts w:ascii="Georgia" w:cs="Georgia" w:eastAsia="Georgia" w:hAnsi="Georgia"/>
          <w:b w:val="false"/>
          <w:bCs w:val="false"/>
          <w:i w:val="false"/>
          <w:iCs w:val="false"/>
          <w:color w:val="1A1F2E"/>
          <w:sz w:val="22"/>
          <w:szCs w:val="22"/>
        </w:rPr>
        <w:t xml:space="preserve">The visible reasoning component required students to document their mathematical thinking process across four stages: initial questions and conjectures; AI interactions and what the AI did and did not contribute; model development and revision; and critical examination of model limitations. The assessment was deliberately longitudinal — designed to make the arc of mathematical inquiry visible, not only its conclusions.</w:t>
      </w:r>
    </w:p>
    <w:p>
      <w:pPr>
        <w:keepNext/>
        <w:spacing w:after="120" w:before="280"/>
      </w:pPr>
      <w:r>
        <w:rPr>
          <w:rFonts w:ascii="Georgia" w:cs="Georgia" w:eastAsia="Georgia" w:hAnsi="Georgia"/>
          <w:b/>
          <w:bCs/>
          <w:i w:val="false"/>
          <w:iCs w:val="false"/>
          <w:color w:val="1A1F2E"/>
          <w:sz w:val="22"/>
          <w:szCs w:val="22"/>
        </w:rPr>
        <w:t xml:space="preserve">3.3 Data Sources and Analytical Approach</w:t>
      </w:r>
    </w:p>
    <w:p>
      <w:pPr>
        <w:spacing w:after="180" w:line="320"/>
        <w:ind/>
        <w:jc w:val="both"/>
      </w:pPr>
      <w:r>
        <w:rPr>
          <w:rFonts w:ascii="Georgia" w:cs="Georgia" w:eastAsia="Georgia" w:hAnsi="Georgia"/>
          <w:b w:val="false"/>
          <w:bCs w:val="false"/>
          <w:i w:val="false"/>
          <w:iCs w:val="false"/>
          <w:color w:val="1A1F2E"/>
          <w:sz w:val="22"/>
          <w:szCs w:val="22"/>
        </w:rPr>
        <w:t xml:space="preserve">The primary data sources for this inquiry are student reasoning artifacts (AI disclosure reflections, reasoning vlogs, annotated drafts, and revision narratives), teacher field notes and planning documents, and VSR transcripts. Student products are included for comparison but are not the primary analytical object. The analysis is iterative and inductive — characteristic of practitioner inquiry — and proceeds through repeated engagement with artifacts rather than through a predetermined coding scheme.</w:t>
      </w:r>
    </w:p>
    <w:p>
      <w:pPr>
        <w:spacing w:after="180" w:line="320"/>
        <w:ind w:firstLine="720"/>
        <w:jc w:val="both"/>
      </w:pPr>
      <w:r>
        <w:rPr>
          <w:rFonts w:ascii="Georgia" w:cs="Georgia" w:eastAsia="Georgia" w:hAnsi="Georgia"/>
          <w:b w:val="false"/>
          <w:bCs w:val="false"/>
          <w:i w:val="false"/>
          <w:iCs w:val="false"/>
          <w:color w:val="1A1F2E"/>
          <w:sz w:val="22"/>
          <w:szCs w:val="22"/>
        </w:rPr>
        <w:t xml:space="preserve">The paper reports findings that emerged as consistently significant across the two projects: types of evidence that appeared in reasoning artifacts but not in products; patterns in student tool choice and what they suggest about classroom conditions; and specific moments in the VSR data where the gap between intention and enactment was most informative. Direct quotations from student work and VSR transcripts are included where they are illustrative; all are anonymised.</w:t>
      </w:r>
    </w:p>
    <w:p>
      <w:pPr>
        <w:spacing w:after="300"/>
      </w:pPr>
    </w:p>
    <w:p>
      <w:pPr>
        <w:pBdr>
          <w:bottom w:val="single" w:color="CCCCCC" w:sz="1" w:space="6"/>
        </w:pBdr>
        <w:spacing w:after="0"/>
      </w:pPr>
    </w:p>
    <w:p>
      <w:pPr>
        <w:spacing w:after="300"/>
      </w:pPr>
    </w:p>
    <w:p>
      <w:pPr>
        <w:keepNext/>
        <w:spacing w:after="160" w:before="480"/>
      </w:pPr>
      <w:r>
        <w:rPr>
          <w:rFonts w:ascii="Georgia" w:cs="Georgia" w:eastAsia="Georgia" w:hAnsi="Georgia"/>
          <w:b/>
          <w:bCs/>
          <w:i w:val="false"/>
          <w:iCs w:val="false"/>
          <w:color w:val="1A1F2E"/>
          <w:sz w:val="24"/>
          <w:szCs w:val="24"/>
        </w:rPr>
        <w:t xml:space="preserve">4. Findings</w:t>
      </w:r>
    </w:p>
    <w:p>
      <w:pPr>
        <w:keepNext/>
        <w:spacing w:after="120" w:before="280"/>
      </w:pPr>
      <w:r>
        <w:rPr>
          <w:rFonts w:ascii="Georgia" w:cs="Georgia" w:eastAsia="Georgia" w:hAnsi="Georgia"/>
          <w:b/>
          <w:bCs/>
          <w:i w:val="false"/>
          <w:iCs w:val="false"/>
          <w:color w:val="1A1F2E"/>
          <w:sz w:val="22"/>
          <w:szCs w:val="22"/>
        </w:rPr>
        <w:t xml:space="preserve">4.1 What Reasoning Artifacts Made Visible</w:t>
      </w:r>
    </w:p>
    <w:p>
      <w:pPr>
        <w:spacing w:after="180" w:line="320"/>
        <w:ind/>
        <w:jc w:val="both"/>
      </w:pPr>
      <w:r>
        <w:rPr>
          <w:rFonts w:ascii="Georgia" w:cs="Georgia" w:eastAsia="Georgia" w:hAnsi="Georgia"/>
          <w:b w:val="false"/>
          <w:bCs w:val="false"/>
          <w:i w:val="false"/>
          <w:iCs w:val="false"/>
          <w:color w:val="1A1F2E"/>
          <w:sz w:val="22"/>
          <w:szCs w:val="22"/>
        </w:rPr>
        <w:t xml:space="preserve">Across both projects, the visible reasoning protocols generated evidence that final products consistently could not. Four categories of evidence were recurrent:</w:t>
      </w:r>
    </w:p>
    <w:p>
      <w:pPr>
        <w:spacing w:after="180" w:line="320"/>
        <w:ind/>
        <w:jc w:val="both"/>
      </w:pPr>
      <w:r>
        <w:rPr>
          <w:rFonts w:ascii="Georgia" w:cs="Georgia" w:eastAsia="Georgia" w:hAnsi="Georgia"/>
          <w:b/>
          <w:bCs/>
          <w:i w:val="false"/>
          <w:iCs w:val="false"/>
          <w:color w:val="1A1F2E"/>
          <w:sz w:val="22"/>
          <w:szCs w:val="22"/>
        </w:rPr>
        <w:t xml:space="preserve">Conceptual revision: </w:t>
      </w:r>
      <w:r>
        <w:rPr>
          <w:rFonts w:ascii="Georgia" w:cs="Georgia" w:eastAsia="Georgia" w:hAnsi="Georgia"/>
          <w:b w:val="false"/>
          <w:bCs w:val="false"/>
          <w:i w:val="false"/>
          <w:iCs w:val="false"/>
          <w:color w:val="1A1F2E"/>
          <w:sz w:val="22"/>
          <w:szCs w:val="22"/>
        </w:rPr>
        <w:t xml:space="preserve">Students documented moments where their understanding changed — specifically naming what they had believed before and what changed it. These moments were entirely absent from final products, where revised understanding appears as settled knowledge. In reasoning artifacts, they appeared as junctures: 'I initially thought exponential growth would fit because the data looks curved, but when I applied the regression the residuals showed a pattern — which means the model is wrong in a systematic way, not just noisy.' That sentence is interpretable evidence of genuine mathematical understanding. The final graph is not.</w:t>
      </w:r>
    </w:p>
    <w:p>
      <w:pPr>
        <w:spacing w:after="180" w:line="320"/>
        <w:ind/>
        <w:jc w:val="both"/>
      </w:pPr>
      <w:r>
        <w:rPr>
          <w:rFonts w:ascii="Georgia" w:cs="Georgia" w:eastAsia="Georgia" w:hAnsi="Georgia"/>
          <w:b/>
          <w:bCs/>
          <w:i w:val="false"/>
          <w:iCs w:val="false"/>
          <w:color w:val="1A1F2E"/>
          <w:sz w:val="22"/>
          <w:szCs w:val="22"/>
        </w:rPr>
        <w:t xml:space="preserve">AI rejection reasoning: </w:t>
      </w:r>
      <w:r>
        <w:rPr>
          <w:rFonts w:ascii="Georgia" w:cs="Georgia" w:eastAsia="Georgia" w:hAnsi="Georgia"/>
          <w:b w:val="false"/>
          <w:bCs w:val="false"/>
          <w:i w:val="false"/>
          <w:iCs w:val="false"/>
          <w:color w:val="1A1F2E"/>
          <w:sz w:val="22"/>
          <w:szCs w:val="22"/>
        </w:rPr>
        <w:t xml:space="preserve">Students were required to document AI suggestions they had evaluated and rejected, with brief accounts of why. These rejection logs produced some of the most informative evidence in the inquiry. A student who can say 'I asked ChatGPT to interpret the labour market data and it said wages are primarily determined by skill levels, but that misses the role of collective bargaining in this specific industry, so I used a different framing' is demonstrating disciplinary understanding that no product could show. The ability to evaluate and reject AI output is, in practice, indistinguishable from the ability to evaluate and reject any other knowledge claim — which is precisely what disciplinary thinking requires.</w:t>
      </w:r>
    </w:p>
    <w:p>
      <w:pPr>
        <w:spacing w:after="180" w:line="320"/>
        <w:ind/>
        <w:jc w:val="both"/>
      </w:pPr>
      <w:r>
        <w:rPr>
          <w:rFonts w:ascii="Georgia" w:cs="Georgia" w:eastAsia="Georgia" w:hAnsi="Georgia"/>
          <w:b/>
          <w:bCs/>
          <w:i w:val="false"/>
          <w:iCs w:val="false"/>
          <w:color w:val="1A1F2E"/>
          <w:sz w:val="22"/>
          <w:szCs w:val="22"/>
        </w:rPr>
        <w:t xml:space="preserve">Sustained uncertainty: </w:t>
      </w:r>
      <w:r>
        <w:rPr>
          <w:rFonts w:ascii="Georgia" w:cs="Georgia" w:eastAsia="Georgia" w:hAnsi="Georgia"/>
          <w:b w:val="false"/>
          <w:bCs w:val="false"/>
          <w:i w:val="false"/>
          <w:iCs w:val="false"/>
          <w:color w:val="1A1F2E"/>
          <w:sz w:val="22"/>
          <w:szCs w:val="22"/>
        </w:rPr>
        <w:t xml:space="preserve">Several students documented questions they could not resolve — aspects of their models they knew were inadequate but did not know how to fix. 'I know my polynomial model fits the historical data but I can't figure out whether the relationship I've modelled is causal or just correlational, and I'm not sure it matters for prediction but I think it matters for understanding.' Unresolved questions are evidence of genuine engagement. Products, by contrast, tend to present resolved conclusions — often because AI has filled the gaps the student could not.</w:t>
      </w:r>
    </w:p>
    <w:p>
      <w:pPr>
        <w:spacing w:after="180" w:line="320"/>
        <w:ind/>
        <w:jc w:val="both"/>
      </w:pPr>
      <w:r>
        <w:rPr>
          <w:rFonts w:ascii="Georgia" w:cs="Georgia" w:eastAsia="Georgia" w:hAnsi="Georgia"/>
          <w:b/>
          <w:bCs/>
          <w:i w:val="false"/>
          <w:iCs w:val="false"/>
          <w:color w:val="1A1F2E"/>
          <w:sz w:val="22"/>
          <w:szCs w:val="22"/>
        </w:rPr>
        <w:t xml:space="preserve">Metacognitive awareness of AI's epistemic character: </w:t>
      </w:r>
      <w:r>
        <w:rPr>
          <w:rFonts w:ascii="Georgia" w:cs="Georgia" w:eastAsia="Georgia" w:hAnsi="Georgia"/>
          <w:b w:val="false"/>
          <w:bCs w:val="false"/>
          <w:i w:val="false"/>
          <w:iCs w:val="false"/>
          <w:color w:val="1A1F2E"/>
          <w:sz w:val="22"/>
          <w:szCs w:val="22"/>
        </w:rPr>
        <w:t xml:space="preserve">Over the course of the projects, several students developed language for what AI does and does not do with knowledge. 'It gives you the most common answer, not necessarily the right answer for your specific situation.' 'It sounds confident even when it's wrong.' These observations — arrived at through encounter rather than instruction — represent a form of AI literacy that is not captured by any product-level assessment.</w:t>
      </w:r>
    </w:p>
    <w:p>
      <w:pPr>
        <w:keepNext/>
        <w:spacing w:after="120" w:before="280"/>
      </w:pPr>
      <w:r>
        <w:rPr>
          <w:rFonts w:ascii="Georgia" w:cs="Georgia" w:eastAsia="Georgia" w:hAnsi="Georgia"/>
          <w:b/>
          <w:bCs/>
          <w:i w:val="false"/>
          <w:iCs w:val="false"/>
          <w:color w:val="1A1F2E"/>
          <w:sz w:val="22"/>
          <w:szCs w:val="22"/>
        </w:rPr>
        <w:t xml:space="preserve">4.2 Student Agency and Tool Choice: The Conditions Matter More Than the Tools</w:t>
      </w:r>
    </w:p>
    <w:p>
      <w:pPr>
        <w:spacing w:after="180" w:line="320"/>
        <w:ind/>
        <w:jc w:val="both"/>
      </w:pPr>
      <w:r>
        <w:rPr>
          <w:rFonts w:ascii="Georgia" w:cs="Georgia" w:eastAsia="Georgia" w:hAnsi="Georgia"/>
          <w:b w:val="false"/>
          <w:bCs w:val="false"/>
          <w:i w:val="false"/>
          <w:iCs w:val="false"/>
          <w:color w:val="1A1F2E"/>
          <w:sz w:val="22"/>
          <w:szCs w:val="22"/>
        </w:rPr>
        <w:t xml:space="preserve">The pattern of students choosing a less capable but more scaffolded AI tool over more powerful alternatives was consistent across both projects and recurred when students were asked to explain their choices. Analysis of these explanations and of classroom interactions during the inquiry suggests three conditions that appear to have been necessary for this kind of agency to be exercised.</w:t>
      </w:r>
    </w:p>
    <w:p>
      <w:pPr>
        <w:spacing w:after="180" w:line="320"/>
        <w:ind/>
        <w:jc w:val="both"/>
      </w:pPr>
      <w:r>
        <w:rPr>
          <w:rFonts w:ascii="Georgia" w:cs="Georgia" w:eastAsia="Georgia" w:hAnsi="Georgia"/>
          <w:b/>
          <w:bCs/>
          <w:i w:val="false"/>
          <w:iCs w:val="false"/>
          <w:color w:val="1A1F2E"/>
          <w:sz w:val="22"/>
          <w:szCs w:val="22"/>
        </w:rPr>
        <w:t xml:space="preserve">A classroom culture in which thinking visibly mattered: </w:t>
      </w:r>
      <w:r>
        <w:rPr>
          <w:rFonts w:ascii="Georgia" w:cs="Georgia" w:eastAsia="Georgia" w:hAnsi="Georgia"/>
          <w:b w:val="false"/>
          <w:bCs w:val="false"/>
          <w:i w:val="false"/>
          <w:iCs w:val="false"/>
          <w:color w:val="1A1F2E"/>
          <w:sz w:val="22"/>
          <w:szCs w:val="22"/>
        </w:rPr>
        <w:t xml:space="preserve">Students in both projects had extended experience, prior to these projects, of assessments in which their reasoning — not only their answers — was attended to by the teacher. The teacher had established, through repeated practice, that thinking about the problem was the subject of classroom discussion, not just the means to the answer. This prior relationship appears to be necessary context for tool choice that favours intellectual challenge over efficiency.</w:t>
      </w:r>
    </w:p>
    <w:p>
      <w:pPr>
        <w:spacing w:after="180" w:line="320"/>
        <w:ind/>
        <w:jc w:val="both"/>
      </w:pPr>
      <w:r>
        <w:rPr>
          <w:rFonts w:ascii="Georgia" w:cs="Georgia" w:eastAsia="Georgia" w:hAnsi="Georgia"/>
          <w:b/>
          <w:bCs/>
          <w:i w:val="false"/>
          <w:iCs w:val="false"/>
          <w:color w:val="1A1F2E"/>
          <w:sz w:val="22"/>
          <w:szCs w:val="22"/>
        </w:rPr>
        <w:t xml:space="preserve">Assessment design that made AI assistance visible rather than invisible: </w:t>
      </w:r>
      <w:r>
        <w:rPr>
          <w:rFonts w:ascii="Georgia" w:cs="Georgia" w:eastAsia="Georgia" w:hAnsi="Georgia"/>
          <w:b w:val="false"/>
          <w:bCs w:val="false"/>
          <w:i w:val="false"/>
          <w:iCs w:val="false"/>
          <w:color w:val="1A1F2E"/>
          <w:sz w:val="22"/>
          <w:szCs w:val="22"/>
        </w:rPr>
        <w:t xml:space="preserve">The AI disclosure reflection requirement meant that AI contributions to work were not simply incorporated but were named, evaluated, and accounted for. This changed the relationship between students and AI use: rather than being a shortcut that could be hidden, AI became an interlocutor whose contributions had to be justified. Several students reported that knowing they would have to explain their AI interactions changed how they engaged with them — they were more selective, more critical, and more deliberate.</w:t>
      </w:r>
    </w:p>
    <w:p>
      <w:pPr>
        <w:spacing w:after="180" w:line="320"/>
        <w:ind/>
        <w:jc w:val="both"/>
      </w:pPr>
      <w:r>
        <w:rPr>
          <w:rFonts w:ascii="Georgia" w:cs="Georgia" w:eastAsia="Georgia" w:hAnsi="Georgia"/>
          <w:b/>
          <w:bCs/>
          <w:i w:val="false"/>
          <w:iCs w:val="false"/>
          <w:color w:val="1A1F2E"/>
          <w:sz w:val="22"/>
          <w:szCs w:val="22"/>
        </w:rPr>
        <w:t xml:space="preserve">Peer norms around intellectual challenge: </w:t>
      </w:r>
      <w:r>
        <w:rPr>
          <w:rFonts w:ascii="Georgia" w:cs="Georgia" w:eastAsia="Georgia" w:hAnsi="Georgia"/>
          <w:b w:val="false"/>
          <w:bCs w:val="false"/>
          <w:i w:val="false"/>
          <w:iCs w:val="false"/>
          <w:color w:val="1A1F2E"/>
          <w:sz w:val="22"/>
          <w:szCs w:val="22"/>
        </w:rPr>
        <w:t xml:space="preserve">In both projects, students shared their observations about AI tools with each other during working time. The observation that Flint was more useful for thinking — as opposed to more useful for producing — spread through classroom discussion rather than through teacher instruction. This suggests that peer culture was an active participant in establishing the conditions for agency-toward-learning, not merely a neutral backdrop.</w:t>
      </w:r>
    </w:p>
    <w:p>
      <w:pPr>
        <w:spacing w:after="180" w:line="320"/>
        <w:ind w:firstLine="720"/>
        <w:jc w:val="both"/>
      </w:pPr>
      <w:r>
        <w:rPr>
          <w:rFonts w:ascii="Georgia" w:cs="Georgia" w:eastAsia="Georgia" w:hAnsi="Georgia"/>
          <w:b w:val="false"/>
          <w:bCs w:val="false"/>
          <w:i w:val="false"/>
          <w:iCs w:val="false"/>
          <w:color w:val="1A1F2E"/>
          <w:sz w:val="22"/>
          <w:szCs w:val="22"/>
        </w:rPr>
        <w:t xml:space="preserve">The implication is direct: the conditions that made students choose deeper intellectual work were primarily established through teaching relationships, classroom culture, and assessment design — not through the selection or restriction of specific tools. This is not a finding about Flint. It is a finding about what it takes for AI-rich classrooms to function as learning environments rather than production environments.</w:t>
      </w:r>
    </w:p>
    <w:p>
      <w:pPr>
        <w:keepNext/>
        <w:spacing w:after="120" w:before="280"/>
      </w:pPr>
      <w:r>
        <w:rPr>
          <w:rFonts w:ascii="Georgia" w:cs="Georgia" w:eastAsia="Georgia" w:hAnsi="Georgia"/>
          <w:b/>
          <w:bCs/>
          <w:i w:val="false"/>
          <w:iCs w:val="false"/>
          <w:color w:val="1A1F2E"/>
          <w:sz w:val="22"/>
          <w:szCs w:val="22"/>
        </w:rPr>
        <w:t xml:space="preserve">4.3 The Intended–Enacted Gap: What VSR Revealed</w:t>
      </w:r>
    </w:p>
    <w:p>
      <w:pPr>
        <w:spacing w:after="180" w:line="320"/>
        <w:ind/>
        <w:jc w:val="both"/>
      </w:pPr>
      <w:r>
        <w:rPr>
          <w:rFonts w:ascii="Georgia" w:cs="Georgia" w:eastAsia="Georgia" w:hAnsi="Georgia"/>
          <w:b w:val="false"/>
          <w:bCs w:val="false"/>
          <w:i w:val="false"/>
          <w:iCs w:val="false"/>
          <w:color w:val="1A1F2E"/>
          <w:sz w:val="22"/>
          <w:szCs w:val="22"/>
        </w:rPr>
        <w:t xml:space="preserve">VSR sessions following both projects produced consistent evidence of a specific pattern: teachers (including the author) designed tasks with particular reasoning moments in mind, and those moments were systematically different from where reasoning actually surfaced in the classroom. Two types of gap were most informative.</w:t>
      </w:r>
    </w:p>
    <w:p>
      <w:pPr>
        <w:spacing w:after="180" w:line="320"/>
        <w:ind/>
        <w:jc w:val="both"/>
      </w:pPr>
      <w:r>
        <w:rPr>
          <w:rFonts w:ascii="Georgia" w:cs="Georgia" w:eastAsia="Georgia" w:hAnsi="Georgia"/>
          <w:b/>
          <w:bCs/>
          <w:i w:val="false"/>
          <w:iCs w:val="false"/>
          <w:color w:val="1A1F2E"/>
          <w:sz w:val="22"/>
          <w:szCs w:val="22"/>
        </w:rPr>
        <w:t xml:space="preserve">AI appeared earlier and more pervasively than intended: </w:t>
      </w:r>
      <w:r>
        <w:rPr>
          <w:rFonts w:ascii="Georgia" w:cs="Georgia" w:eastAsia="Georgia" w:hAnsi="Georgia"/>
          <w:b w:val="false"/>
          <w:bCs w:val="false"/>
          <w:i w:val="false"/>
          <w:iCs w:val="false"/>
          <w:color w:val="1A1F2E"/>
          <w:sz w:val="22"/>
          <w:szCs w:val="22"/>
        </w:rPr>
        <w:t xml:space="preserve">In both projects, the intended design placed AI as a resource for specific stages — exploration, alternative perspective generation, feedback on existing drafts. In enactment, students began using AI at the task's opening, before any independent engagement with the problem. This earlier entry point changed the nature of the reasoning artifacts: students were often documenting AI interactions from the outset rather than bringing their own initial thinking to the encounter with AI. The visible reasoning protocol captured this pattern — it was visible in the sequence of reasoning documentation — but the task design had not anticipated it.</w:t>
      </w:r>
    </w:p>
    <w:p>
      <w:pPr>
        <w:spacing w:after="180" w:line="320"/>
        <w:ind/>
        <w:jc w:val="both"/>
      </w:pPr>
      <w:r>
        <w:rPr>
          <w:rFonts w:ascii="Georgia" w:cs="Georgia" w:eastAsia="Georgia" w:hAnsi="Georgia"/>
          <w:b/>
          <w:bCs/>
          <w:i w:val="false"/>
          <w:iCs w:val="false"/>
          <w:color w:val="1A1F2E"/>
          <w:sz w:val="22"/>
          <w:szCs w:val="22"/>
        </w:rPr>
        <w:t xml:space="preserve">Reasoning protocol completion depended on relationships, not just task requirements: </w:t>
      </w:r>
      <w:r>
        <w:rPr>
          <w:rFonts w:ascii="Georgia" w:cs="Georgia" w:eastAsia="Georgia" w:hAnsi="Georgia"/>
          <w:b w:val="false"/>
          <w:bCs w:val="false"/>
          <w:i w:val="false"/>
          <w:iCs w:val="false"/>
          <w:color w:val="1A1F2E"/>
          <w:sz w:val="22"/>
          <w:szCs w:val="22"/>
        </w:rPr>
        <w:t xml:space="preserve">Students who had established strong working relationships with the teacher were more likely to produce genuine reasoning documentation — to write honestly about uncertainty, to document rejected AI contributions, to name conceptual changes. Students who felt less securely related to the teacher tended to produce reasoning documentation that looked complete but was performative: documenting certainty rather than process, AI contributions framed as student thinking, revisions that were nominal rather than substantive. The VSR data was crucial for identifying this pattern: reviewing classroom interactions made the relational dynamics visible in ways that artifact analysis alone could not.</w:t>
      </w:r>
    </w:p>
    <w:p>
      <w:pPr>
        <w:spacing w:after="180" w:line="320"/>
        <w:ind w:firstLine="720"/>
        <w:jc w:val="both"/>
      </w:pPr>
      <w:r>
        <w:rPr>
          <w:rFonts w:ascii="Georgia" w:cs="Georgia" w:eastAsia="Georgia" w:hAnsi="Georgia"/>
          <w:b w:val="false"/>
          <w:bCs w:val="false"/>
          <w:i w:val="false"/>
          <w:iCs w:val="false"/>
          <w:color w:val="1A1F2E"/>
          <w:sz w:val="22"/>
          <w:szCs w:val="22"/>
        </w:rPr>
        <w:t xml:space="preserve">Both findings are generative rather than discouraging. The first suggests that future iterations of visible reasoning protocols should anticipate early AI use and design the first documentation prompt accordingly — asking students to document what questions they started with before engaging AI, not only what AI contributed. The second suggests that visible reasoning protocols are not pedagogically neutral: they depend on the classroom conditions discussed in Finding 4.2, and their design must account for the relational work required to make genuine documentation possible.</w:t>
      </w:r>
    </w:p>
    <w:p>
      <w:pPr>
        <w:spacing w:after="300"/>
      </w:pPr>
    </w:p>
    <w:p>
      <w:pPr>
        <w:pBdr>
          <w:bottom w:val="single" w:color="CCCCCC" w:sz="1" w:space="6"/>
        </w:pBdr>
        <w:spacing w:after="0"/>
      </w:pPr>
    </w:p>
    <w:p>
      <w:pPr>
        <w:spacing w:after="300"/>
      </w:pPr>
    </w:p>
    <w:p>
      <w:pPr>
        <w:keepNext/>
        <w:spacing w:after="160" w:before="480"/>
      </w:pPr>
      <w:r>
        <w:rPr>
          <w:rFonts w:ascii="Georgia" w:cs="Georgia" w:eastAsia="Georgia" w:hAnsi="Georgia"/>
          <w:b/>
          <w:bCs/>
          <w:i w:val="false"/>
          <w:iCs w:val="false"/>
          <w:color w:val="1A1F2E"/>
          <w:sz w:val="24"/>
          <w:szCs w:val="24"/>
        </w:rPr>
        <w:t xml:space="preserve">5. Discussion</w:t>
      </w:r>
    </w:p>
    <w:p>
      <w:pPr>
        <w:keepNext/>
        <w:spacing w:after="120" w:before="280"/>
      </w:pPr>
      <w:r>
        <w:rPr>
          <w:rFonts w:ascii="Georgia" w:cs="Georgia" w:eastAsia="Georgia" w:hAnsi="Georgia"/>
          <w:b/>
          <w:bCs/>
          <w:i w:val="false"/>
          <w:iCs w:val="false"/>
          <w:color w:val="1A1F2E"/>
          <w:sz w:val="22"/>
          <w:szCs w:val="22"/>
        </w:rPr>
        <w:t xml:space="preserve">5.1 What Assessment Design Must Now Do</w:t>
      </w:r>
    </w:p>
    <w:p>
      <w:pPr>
        <w:spacing w:after="180" w:line="320"/>
        <w:ind/>
        <w:jc w:val="both"/>
      </w:pPr>
      <w:r>
        <w:rPr>
          <w:rFonts w:ascii="Georgia" w:cs="Georgia" w:eastAsia="Georgia" w:hAnsi="Georgia"/>
          <w:b w:val="false"/>
          <w:bCs w:val="false"/>
          <w:i w:val="false"/>
          <w:iCs w:val="false"/>
          <w:color w:val="1A1F2E"/>
          <w:sz w:val="22"/>
          <w:szCs w:val="22"/>
        </w:rPr>
        <w:t xml:space="preserve">The core claim of this paper is that assessment design in AI-rich classrooms faces a task it did not previously face: ensuring that the evidence generated is interpretable in the specific sense that it allows defensible inferences about student understanding rather than about students' capacity to direct AI. This requires deliberate attention to what visible reasoning protocols produce, when they are appropriate, and what relational and cultural conditions are necessary for them to function as genuine evidence rather than performance.</w:t>
      </w:r>
    </w:p>
    <w:p>
      <w:pPr>
        <w:spacing w:after="180" w:line="320"/>
        <w:ind w:firstLine="720"/>
        <w:jc w:val="both"/>
      </w:pPr>
      <w:r>
        <w:rPr>
          <w:rFonts w:ascii="Georgia" w:cs="Georgia" w:eastAsia="Georgia" w:hAnsi="Georgia"/>
          <w:b w:val="false"/>
          <w:bCs w:val="false"/>
          <w:i w:val="false"/>
          <w:iCs w:val="false"/>
          <w:color w:val="1A1F2E"/>
          <w:sz w:val="22"/>
          <w:szCs w:val="22"/>
        </w:rPr>
        <w:t xml:space="preserve">Backwards design (Wiggins &amp; McTighe, 1998, 2005) provides the appropriate starting logic. The question to ask before designing any task in an AI-rich context is not 'how do I use AI?' but 'what learning do I want to see, and what would count as interpretable evidence of it?' The visible reasoning protocol is not the answer to that question — it is a way of pursuing it. Different disciplines will require different forms of visible reasoning, and not every assessment requires visible reasoning at all. The findings of this inquiry suggest a simpler prior question that teachers can use as a diagnostic: if a student could use AI to complete this task from start to finish, what learning would disappear? When the answer is substantial, visible reasoning is warranted. When the answer is minimal, the task design may already be working.</w:t>
      </w:r>
    </w:p>
    <w:p>
      <w:pPr>
        <w:keepNext/>
        <w:spacing w:after="120" w:before="280"/>
      </w:pPr>
      <w:r>
        <w:rPr>
          <w:rFonts w:ascii="Georgia" w:cs="Georgia" w:eastAsia="Georgia" w:hAnsi="Georgia"/>
          <w:b/>
          <w:bCs/>
          <w:i w:val="false"/>
          <w:iCs w:val="false"/>
          <w:color w:val="1A1F2E"/>
          <w:sz w:val="22"/>
          <w:szCs w:val="22"/>
        </w:rPr>
        <w:t xml:space="preserve">5.2 Implications for Professional Learning Design</w:t>
      </w:r>
    </w:p>
    <w:p>
      <w:pPr>
        <w:spacing w:after="180" w:line="320"/>
        <w:ind/>
        <w:jc w:val="both"/>
      </w:pPr>
      <w:r>
        <w:rPr>
          <w:rFonts w:ascii="Georgia" w:cs="Georgia" w:eastAsia="Georgia" w:hAnsi="Georgia"/>
          <w:b w:val="false"/>
          <w:bCs w:val="false"/>
          <w:i w:val="false"/>
          <w:iCs w:val="false"/>
          <w:color w:val="1A1F2E"/>
          <w:sz w:val="22"/>
          <w:szCs w:val="22"/>
        </w:rPr>
        <w:t xml:space="preserve">The inquiry described in this paper was not only a study of student learning. It was a form of teacher professional learning, and its design — iterative, disciplinary, grounded in specific tasks and student evidence — has implications for how AI-related professional development is structured in schools.</w:t>
      </w:r>
    </w:p>
    <w:p>
      <w:pPr>
        <w:spacing w:after="180" w:line="320"/>
        <w:ind w:firstLine="720"/>
        <w:jc w:val="both"/>
      </w:pPr>
      <w:r>
        <w:rPr>
          <w:rFonts w:ascii="Georgia" w:cs="Georgia" w:eastAsia="Georgia" w:hAnsi="Georgia"/>
          <w:b w:val="false"/>
          <w:bCs w:val="false"/>
          <w:i w:val="false"/>
          <w:iCs w:val="false"/>
          <w:color w:val="1A1F2E"/>
          <w:sz w:val="22"/>
          <w:szCs w:val="22"/>
        </w:rPr>
        <w:t xml:space="preserve">Several things appear necessary that most professional development does not provide. First, sustained engagement with specific assessment designs over time — not a workshop on AI tools, but repeated return to the same question: does this task generate evidence I can interpret? Second, a mechanism for examining the gap between intention and enactment — VSR is one such mechanism, but any structured approach to examining what actually happened against what was planned would serve this function. Third, professional learning that is disciplinary rather than generic: a chemistry teacher's questions about AI and evidence are different from a history teacher's questions, and effective professional learning addresses those differences rather than abstracting them away.</w:t>
      </w:r>
    </w:p>
    <w:p>
      <w:pPr>
        <w:spacing w:after="180" w:line="320"/>
        <w:ind w:firstLine="720"/>
        <w:jc w:val="both"/>
      </w:pPr>
      <w:r>
        <w:rPr>
          <w:rFonts w:ascii="Georgia" w:cs="Georgia" w:eastAsia="Georgia" w:hAnsi="Georgia"/>
          <w:b w:val="false"/>
          <w:bCs w:val="false"/>
          <w:i w:val="false"/>
          <w:iCs w:val="false"/>
          <w:color w:val="1A1F2E"/>
          <w:sz w:val="22"/>
          <w:szCs w:val="22"/>
        </w:rPr>
        <w:t xml:space="preserve">The fellowship design described in the author's ongoing work attempts to provide all three: iterative assessment redesign cycles, VSR as a central reflective mechanism, and disciplinary pair structures that allow teachers to develop AI-specific assessment knowledge within their own subject contexts. This paper reports the classroom evidence that motivates that design, not the fellowship outcomes themselves — which are the subject of a subsequent inquiry.</w:t>
      </w:r>
    </w:p>
    <w:p>
      <w:pPr>
        <w:keepNext/>
        <w:spacing w:after="120" w:before="280"/>
      </w:pPr>
      <w:r>
        <w:rPr>
          <w:rFonts w:ascii="Georgia" w:cs="Georgia" w:eastAsia="Georgia" w:hAnsi="Georgia"/>
          <w:b/>
          <w:bCs/>
          <w:i w:val="false"/>
          <w:iCs w:val="false"/>
          <w:color w:val="1A1F2E"/>
          <w:sz w:val="22"/>
          <w:szCs w:val="22"/>
        </w:rPr>
        <w:t xml:space="preserve">5.3 The Broader Argument: AI Is the Context, Not the Subject</w:t>
      </w:r>
    </w:p>
    <w:p>
      <w:pPr>
        <w:spacing w:after="180" w:line="320"/>
        <w:ind/>
        <w:jc w:val="both"/>
      </w:pPr>
      <w:r>
        <w:rPr>
          <w:rFonts w:ascii="Georgia" w:cs="Georgia" w:eastAsia="Georgia" w:hAnsi="Georgia"/>
          <w:b w:val="false"/>
          <w:bCs w:val="false"/>
          <w:i w:val="false"/>
          <w:iCs w:val="false"/>
          <w:color w:val="1A1F2E"/>
          <w:sz w:val="22"/>
          <w:szCs w:val="22"/>
        </w:rPr>
        <w:t xml:space="preserve">This paper has been framed around AI because that is the context in which the assessment validity problem is currently acute. But the deeper questions — what counts as credible evidence of learning? what makes reasoning interpretable? how do teachers make professional judgments about student understanding? what supports student agency? what becomes visible or invisible through assessment design? — predate AI and will outlast the current generation of tools.</w:t>
      </w:r>
    </w:p>
    <w:p>
      <w:pPr>
        <w:spacing w:after="180" w:line="320"/>
        <w:ind w:firstLine="720"/>
        <w:jc w:val="both"/>
      </w:pPr>
      <w:r>
        <w:rPr>
          <w:rFonts w:ascii="Georgia" w:cs="Georgia" w:eastAsia="Georgia" w:hAnsi="Georgia"/>
          <w:b w:val="false"/>
          <w:bCs w:val="false"/>
          <w:i w:val="false"/>
          <w:iCs w:val="false"/>
          <w:color w:val="1A1F2E"/>
          <w:sz w:val="22"/>
          <w:szCs w:val="22"/>
        </w:rPr>
        <w:t xml:space="preserve">The most durable contribution this inquiry can make is not a set of protocols for AI-era assessment. It is a set of questions that remain relevant regardless of which tools are present. A teacher who has learned to ask 'if this task were completed for the student, what learning would disappear?' has a question that works for AI, for tutors, for older siblings, for any context in which the work can be done by someone other than the learner. That question belongs to the long history of assessment design, not only to its AI-era chapter.</w:t>
      </w:r>
    </w:p>
    <w:p>
      <w:pPr>
        <w:spacing w:after="300"/>
      </w:pPr>
    </w:p>
    <w:p>
      <w:pPr>
        <w:pBdr>
          <w:bottom w:val="single" w:color="CCCCCC" w:sz="1" w:space="6"/>
        </w:pBdr>
        <w:spacing w:after="0"/>
      </w:pPr>
    </w:p>
    <w:p>
      <w:pPr>
        <w:spacing w:after="300"/>
      </w:pPr>
    </w:p>
    <w:p>
      <w:pPr>
        <w:keepNext/>
        <w:spacing w:after="160" w:before="480"/>
      </w:pPr>
      <w:r>
        <w:rPr>
          <w:rFonts w:ascii="Georgia" w:cs="Georgia" w:eastAsia="Georgia" w:hAnsi="Georgia"/>
          <w:b/>
          <w:bCs/>
          <w:i w:val="false"/>
          <w:iCs w:val="false"/>
          <w:color w:val="1A1F2E"/>
          <w:sz w:val="24"/>
          <w:szCs w:val="24"/>
        </w:rPr>
        <w:t xml:space="preserve">6. Conclusions and Limitations</w:t>
      </w:r>
    </w:p>
    <w:p>
      <w:pPr>
        <w:spacing w:after="180" w:line="320"/>
        <w:ind/>
        <w:jc w:val="both"/>
      </w:pPr>
      <w:r>
        <w:rPr>
          <w:rFonts w:ascii="Georgia" w:cs="Georgia" w:eastAsia="Georgia" w:hAnsi="Georgia"/>
          <w:b w:val="false"/>
          <w:bCs w:val="false"/>
          <w:i w:val="false"/>
          <w:iCs w:val="false"/>
          <w:color w:val="1A1F2E"/>
          <w:sz w:val="22"/>
          <w:szCs w:val="22"/>
        </w:rPr>
        <w:t xml:space="preserve">This paper has argued for a reorientation of assessment design in AI-rich classrooms: from evaluating products to generating interpretable evidence of the processes — the reasoning, the revision, the disciplinary judgment — that products alone can no longer reliably show. The argument is grounded in classroom-based practitioner inquiry and is provisional in the way practitioner inquiry always is: situated, perspectival, and offered as a contribution to ongoing professional and research conversation rather than as a settled conclusion.</w:t>
      </w:r>
    </w:p>
    <w:p>
      <w:pPr>
        <w:spacing w:after="180" w:line="320"/>
        <w:ind w:firstLine="720"/>
        <w:jc w:val="both"/>
      </w:pPr>
      <w:r>
        <w:rPr>
          <w:rFonts w:ascii="Georgia" w:cs="Georgia" w:eastAsia="Georgia" w:hAnsi="Georgia"/>
          <w:b w:val="false"/>
          <w:bCs w:val="false"/>
          <w:i w:val="false"/>
          <w:iCs w:val="false"/>
          <w:color w:val="1A1F2E"/>
          <w:sz w:val="22"/>
          <w:szCs w:val="22"/>
        </w:rPr>
        <w:t xml:space="preserve">Several limitations warrant explicit acknowledgement. First, the inquiry is conducted by the person who designed the assessment instruments being evaluated — a positionality that introduces the possibility of confirmation bias that methodological transparency can mitigate but not eliminate. Second, the inquiry is conducted in a specific institutional context — an international school with particular resources, student demographics, and teacher professional culture — that limits the generalisability of the findings. Third, the findings reported here are based on two projects across two classroom contexts; they are illustrative of possibilities rather than representative of outcomes.</w:t>
      </w:r>
    </w:p>
    <w:p>
      <w:pPr>
        <w:spacing w:after="180" w:line="320"/>
        <w:ind w:firstLine="720"/>
        <w:jc w:val="both"/>
      </w:pPr>
      <w:r>
        <w:rPr>
          <w:rFonts w:ascii="Georgia" w:cs="Georgia" w:eastAsia="Georgia" w:hAnsi="Georgia"/>
          <w:b w:val="false"/>
          <w:bCs w:val="false"/>
          <w:i w:val="false"/>
          <w:iCs w:val="false"/>
          <w:color w:val="1A1F2E"/>
          <w:sz w:val="22"/>
          <w:szCs w:val="22"/>
        </w:rPr>
        <w:t xml:space="preserve">What the inquiry does establish, with reasonable confidence, is this: when assessment is designed to make student reasoning visible, teachers gain access to evidence that products cannot show; and the conditions under which students exercise agency toward deeper thinking in AI-rich classrooms are primarily relational and cultural rather than technological. Both findings have practical implications for teachers and practical implications for researchers, and both point in the same direction: toward sustained, disciplinary, relationship-centred professional learning as the most productive response to AI's disruption of classroom assessment.</w:t>
      </w:r>
    </w:p>
    <w:p>
      <w:pPr>
        <w:spacing w:after="300"/>
      </w:pPr>
    </w:p>
    <w:p>
      <w:pPr>
        <w:pBdr>
          <w:bottom w:val="single" w:color="CCCCCC" w:sz="1" w:space="6"/>
        </w:pBdr>
        <w:spacing w:after="0"/>
      </w:pPr>
    </w:p>
    <w:p>
      <w:pPr>
        <w:spacing w:after="300"/>
      </w:pPr>
    </w:p>
    <w:p>
      <w:pPr>
        <w:keepNext/>
        <w:spacing w:after="160" w:before="480"/>
      </w:pPr>
      <w:r>
        <w:rPr>
          <w:rFonts w:ascii="Georgia" w:cs="Georgia" w:eastAsia="Georgia" w:hAnsi="Georgia"/>
          <w:b/>
          <w:bCs/>
          <w:i w:val="false"/>
          <w:iCs w:val="false"/>
          <w:color w:val="1A1F2E"/>
          <w:sz w:val="24"/>
          <w:szCs w:val="24"/>
        </w:rPr>
        <w:t xml:space="preserve">References</w:t>
      </w:r>
    </w:p>
    <w:p>
      <w:pPr>
        <w:spacing w:after="180" w:line="320"/>
        <w:ind/>
        <w:jc w:val="both"/>
      </w:pPr>
      <w:r>
        <w:rPr>
          <w:rFonts w:ascii="Georgia" w:cs="Georgia" w:eastAsia="Georgia" w:hAnsi="Georgia"/>
          <w:b w:val="false"/>
          <w:bCs w:val="false"/>
          <w:i w:val="false"/>
          <w:iCs w:val="false"/>
          <w:color w:val="1A1F2E"/>
          <w:sz w:val="22"/>
          <w:szCs w:val="22"/>
        </w:rPr>
        <w:t xml:space="preserve">Bandura, A. (2001). Social cognitive theory: An agentic perspective. Annual Review of Psychology, 52(1), 1–26.</w:t>
      </w:r>
    </w:p>
    <w:p>
      <w:pPr>
        <w:spacing w:after="180" w:line="320"/>
        <w:ind/>
        <w:jc w:val="both"/>
      </w:pPr>
      <w:r>
        <w:rPr>
          <w:rFonts w:ascii="Georgia" w:cs="Georgia" w:eastAsia="Georgia" w:hAnsi="Georgia"/>
          <w:b w:val="false"/>
          <w:bCs w:val="false"/>
          <w:i w:val="false"/>
          <w:iCs w:val="false"/>
          <w:color w:val="1A1F2E"/>
          <w:sz w:val="22"/>
          <w:szCs w:val="22"/>
        </w:rPr>
        <w:t xml:space="preserve">Bender, E. M., Gebru, T., McMillan-Major, A., &amp; Shmitchell, S. (2021). On the dangers of stochastic parrots: Can language models be too big? Proceedings of FAccT 2021. https://doi.org/10.1145/3442188.3445922</w:t>
      </w:r>
    </w:p>
    <w:p>
      <w:pPr>
        <w:spacing w:after="180" w:line="320"/>
        <w:ind/>
        <w:jc w:val="both"/>
      </w:pPr>
      <w:r>
        <w:rPr>
          <w:rFonts w:ascii="Georgia" w:cs="Georgia" w:eastAsia="Georgia" w:hAnsi="Georgia"/>
          <w:b w:val="false"/>
          <w:bCs w:val="false"/>
          <w:i w:val="false"/>
          <w:iCs w:val="false"/>
          <w:color w:val="1A1F2E"/>
          <w:sz w:val="22"/>
          <w:szCs w:val="22"/>
        </w:rPr>
        <w:t xml:space="preserve">Celik, I. (2023). Towards Intelligent-TPACK: An empirical study on teachers' professional knowledge to ethically integrate artificial intelligence. Computers in Human Behavior, 138, 107468.</w:t>
      </w:r>
    </w:p>
    <w:p>
      <w:pPr>
        <w:spacing w:after="180" w:line="320"/>
        <w:ind/>
        <w:jc w:val="both"/>
      </w:pPr>
      <w:r>
        <w:rPr>
          <w:rFonts w:ascii="Georgia" w:cs="Georgia" w:eastAsia="Georgia" w:hAnsi="Georgia"/>
          <w:b w:val="false"/>
          <w:bCs w:val="false"/>
          <w:i w:val="false"/>
          <w:iCs w:val="false"/>
          <w:color w:val="1A1F2E"/>
          <w:sz w:val="22"/>
          <w:szCs w:val="22"/>
        </w:rPr>
        <w:t xml:space="preserve">Chiu, T. K. F. (2025). A holistic approach to the roles of AI in education. Educational Technology Research and Development. Advance online publication.</w:t>
      </w:r>
    </w:p>
    <w:p>
      <w:pPr>
        <w:spacing w:after="180" w:line="320"/>
        <w:ind/>
        <w:jc w:val="both"/>
      </w:pPr>
      <w:r>
        <w:rPr>
          <w:rFonts w:ascii="Georgia" w:cs="Georgia" w:eastAsia="Georgia" w:hAnsi="Georgia"/>
          <w:b w:val="false"/>
          <w:bCs w:val="false"/>
          <w:i w:val="false"/>
          <w:iCs w:val="false"/>
          <w:color w:val="1A1F2E"/>
          <w:sz w:val="22"/>
          <w:szCs w:val="22"/>
        </w:rPr>
        <w:t xml:space="preserve">Cochran-Smith, M., &amp; Lytle, S. L. (2009). Inquiry as stance: Practitioner research for the next generation. Teachers College Press.</w:t>
      </w:r>
    </w:p>
    <w:p>
      <w:pPr>
        <w:spacing w:after="180" w:line="320"/>
        <w:ind/>
        <w:jc w:val="both"/>
      </w:pPr>
      <w:r>
        <w:rPr>
          <w:rFonts w:ascii="Georgia" w:cs="Georgia" w:eastAsia="Georgia" w:hAnsi="Georgia"/>
          <w:b w:val="false"/>
          <w:bCs w:val="false"/>
          <w:i w:val="false"/>
          <w:iCs w:val="false"/>
          <w:color w:val="1A1F2E"/>
          <w:sz w:val="22"/>
          <w:szCs w:val="22"/>
        </w:rPr>
        <w:t xml:space="preserve">Dehaene, S. (2020). How we learn: Why brains learn better than any machine — for now. Viking.</w:t>
      </w:r>
    </w:p>
    <w:p>
      <w:pPr>
        <w:spacing w:after="180" w:line="320"/>
        <w:ind/>
        <w:jc w:val="both"/>
      </w:pPr>
      <w:r>
        <w:rPr>
          <w:rFonts w:ascii="Georgia" w:cs="Georgia" w:eastAsia="Georgia" w:hAnsi="Georgia"/>
          <w:b w:val="false"/>
          <w:bCs w:val="false"/>
          <w:i w:val="false"/>
          <w:iCs w:val="false"/>
          <w:color w:val="1A1F2E"/>
          <w:sz w:val="22"/>
          <w:szCs w:val="22"/>
        </w:rPr>
        <w:t xml:space="preserve">Groundwater-Smith, S., &amp; Mockler, N. (2006). Research that counts: Practitioner research and the academy. Review of Education, 52(2), 109–127.</w:t>
      </w:r>
    </w:p>
    <w:p>
      <w:pPr>
        <w:spacing w:after="180" w:line="320"/>
        <w:ind/>
        <w:jc w:val="both"/>
      </w:pPr>
      <w:r>
        <w:rPr>
          <w:rFonts w:ascii="Georgia" w:cs="Georgia" w:eastAsia="Georgia" w:hAnsi="Georgia"/>
          <w:b w:val="false"/>
          <w:bCs w:val="false"/>
          <w:i w:val="false"/>
          <w:iCs w:val="false"/>
          <w:color w:val="1A1F2E"/>
          <w:sz w:val="22"/>
          <w:szCs w:val="22"/>
        </w:rPr>
        <w:t xml:space="preserve">Hargreaves, A., &amp; O’Connor, M. T. (2018). Collaborative professionalism: When teaching together means learning for all. Corwin.</w:t>
      </w:r>
    </w:p>
    <w:p>
      <w:pPr>
        <w:spacing w:after="180" w:line="320"/>
        <w:ind/>
        <w:jc w:val="both"/>
      </w:pPr>
      <w:r>
        <w:rPr>
          <w:rFonts w:ascii="Georgia" w:cs="Georgia" w:eastAsia="Georgia" w:hAnsi="Georgia"/>
          <w:b w:val="false"/>
          <w:bCs w:val="false"/>
          <w:i w:val="false"/>
          <w:iCs w:val="false"/>
          <w:color w:val="1A1F2E"/>
          <w:sz w:val="22"/>
          <w:szCs w:val="22"/>
        </w:rPr>
        <w:t xml:space="preserve">Horn, I. S., &amp; Little, J. W. (2010). Attending to problems of practice: Routines and resources for professional learning in teachers' workplace interactions. American Educational Research Journal, 47(1), 181–217.</w:t>
      </w:r>
    </w:p>
    <w:p>
      <w:pPr>
        <w:spacing w:after="180" w:line="320"/>
        <w:ind/>
        <w:jc w:val="both"/>
      </w:pPr>
      <w:r>
        <w:rPr>
          <w:rFonts w:ascii="Georgia" w:cs="Georgia" w:eastAsia="Georgia" w:hAnsi="Georgia"/>
          <w:b w:val="false"/>
          <w:bCs w:val="false"/>
          <w:i w:val="false"/>
          <w:iCs w:val="false"/>
          <w:color w:val="1A1F2E"/>
          <w:sz w:val="22"/>
          <w:szCs w:val="22"/>
        </w:rPr>
        <w:t xml:space="preserve">Hulsman, R. L., Harmsen, A. B., &amp; Fabriek, M. (2009). Reflective teaching of medical communication skills with DiViDU: Assessing the level of student reflection on recorded consultations with simulated patients. Patient Education and Counseling, 74(2), 142–149.</w:t>
      </w:r>
    </w:p>
    <w:p>
      <w:pPr>
        <w:spacing w:after="180" w:line="320"/>
        <w:ind/>
        <w:jc w:val="both"/>
      </w:pPr>
      <w:r>
        <w:rPr>
          <w:rFonts w:ascii="Georgia" w:cs="Georgia" w:eastAsia="Georgia" w:hAnsi="Georgia"/>
          <w:b w:val="false"/>
          <w:bCs w:val="false"/>
          <w:i w:val="false"/>
          <w:iCs w:val="false"/>
          <w:color w:val="1A1F2E"/>
          <w:sz w:val="22"/>
          <w:szCs w:val="22"/>
        </w:rPr>
        <w:t xml:space="preserve">Kane, M. T. (2013). Validating the interpretations and uses of test scores. Journal of Educational Measurement, 50(1), 1–73.</w:t>
      </w:r>
    </w:p>
    <w:p>
      <w:pPr>
        <w:spacing w:after="180" w:line="320"/>
        <w:ind/>
        <w:jc w:val="both"/>
      </w:pPr>
      <w:r>
        <w:rPr>
          <w:rFonts w:ascii="Georgia" w:cs="Georgia" w:eastAsia="Georgia" w:hAnsi="Georgia"/>
          <w:b w:val="false"/>
          <w:bCs w:val="false"/>
          <w:i w:val="false"/>
          <w:iCs w:val="false"/>
          <w:color w:val="1A1F2E"/>
          <w:sz w:val="22"/>
          <w:szCs w:val="22"/>
        </w:rPr>
        <w:t xml:space="preserve">Messick, S. (1989). Validity. In R. L. Linn (Ed.), Educational measurement (3rd ed., pp. 13–103). American Council on Education/Macmillan.</w:t>
      </w:r>
    </w:p>
    <w:p>
      <w:pPr>
        <w:spacing w:after="180" w:line="320"/>
        <w:ind/>
        <w:jc w:val="both"/>
      </w:pPr>
      <w:r>
        <w:rPr>
          <w:rFonts w:ascii="Georgia" w:cs="Georgia" w:eastAsia="Georgia" w:hAnsi="Georgia"/>
          <w:b w:val="false"/>
          <w:bCs w:val="false"/>
          <w:i w:val="false"/>
          <w:iCs w:val="false"/>
          <w:color w:val="1A1F2E"/>
          <w:sz w:val="22"/>
          <w:szCs w:val="22"/>
        </w:rPr>
        <w:t xml:space="preserve">Mishra, P., &amp; Koehler, M. J. (2006). Technological pedagogical content knowledge: A framework for teacher knowledge. Teachers College Record, 108(6), 1017–1054.</w:t>
      </w:r>
    </w:p>
    <w:p>
      <w:pPr>
        <w:spacing w:after="180" w:line="320"/>
        <w:ind/>
        <w:jc w:val="both"/>
      </w:pPr>
      <w:r>
        <w:rPr>
          <w:rFonts w:ascii="Georgia" w:cs="Georgia" w:eastAsia="Georgia" w:hAnsi="Georgia"/>
          <w:b w:val="false"/>
          <w:bCs w:val="false"/>
          <w:i w:val="false"/>
          <w:iCs w:val="false"/>
          <w:color w:val="1A1F2E"/>
          <w:sz w:val="22"/>
          <w:szCs w:val="22"/>
        </w:rPr>
        <w:t xml:space="preserve">Nolen, S. B., &amp; Ward, C. J. (2008). Sociocultural and situative research on motivation. In M. L. Maehr, S. A. Karabenick, &amp; T. C. Urdan (Eds.), Social psychological perspectives (Advances in Motivation and Achievement, Vol. 15, pp. 428–460). Emerald.</w:t>
      </w:r>
    </w:p>
    <w:p>
      <w:pPr>
        <w:spacing w:after="180" w:line="320"/>
        <w:ind/>
        <w:jc w:val="both"/>
      </w:pPr>
      <w:r>
        <w:rPr>
          <w:rFonts w:ascii="Georgia" w:cs="Georgia" w:eastAsia="Georgia" w:hAnsi="Georgia"/>
          <w:b w:val="false"/>
          <w:bCs w:val="false"/>
          <w:i w:val="false"/>
          <w:iCs w:val="false"/>
          <w:color w:val="1A1F2E"/>
          <w:sz w:val="22"/>
          <w:szCs w:val="22"/>
        </w:rPr>
        <w:t xml:space="preserve">Ryan, R. M., &amp; Deci, E. L. (2000). Self-determination theory and the facilitation of intrinsic motivation, social development, and well-being. American Psychologist, 55(1), 68–78.</w:t>
      </w:r>
    </w:p>
    <w:p>
      <w:pPr>
        <w:spacing w:after="180" w:line="320"/>
        <w:ind/>
        <w:jc w:val="both"/>
      </w:pPr>
      <w:r>
        <w:rPr>
          <w:rFonts w:ascii="Georgia" w:cs="Georgia" w:eastAsia="Georgia" w:hAnsi="Georgia"/>
          <w:b w:val="false"/>
          <w:bCs w:val="false"/>
          <w:i w:val="false"/>
          <w:iCs w:val="false"/>
          <w:color w:val="1A1F2E"/>
          <w:sz w:val="22"/>
          <w:szCs w:val="22"/>
        </w:rPr>
        <w:t xml:space="preserve">Schön, D. A. (1983). The reflective practitioner: How professionals think in action. Basic Books.</w:t>
      </w:r>
    </w:p>
    <w:p>
      <w:pPr>
        <w:spacing w:after="180" w:line="320"/>
        <w:ind/>
        <w:jc w:val="both"/>
      </w:pPr>
      <w:r>
        <w:rPr>
          <w:rFonts w:ascii="Georgia" w:cs="Georgia" w:eastAsia="Georgia" w:hAnsi="Georgia"/>
          <w:b w:val="false"/>
          <w:bCs w:val="false"/>
          <w:i w:val="false"/>
          <w:iCs w:val="false"/>
          <w:color w:val="1A1F2E"/>
          <w:sz w:val="22"/>
          <w:szCs w:val="22"/>
        </w:rPr>
        <w:t xml:space="preserve">Tiernan, P. (2016). Video-stimulated recall as a method for exploring practitioner cognition: An analysis of the method. Teacher Development, 20(5), 595–610.</w:t>
      </w:r>
    </w:p>
    <w:p>
      <w:pPr>
        <w:spacing w:after="180" w:line="320"/>
        <w:ind/>
        <w:jc w:val="both"/>
      </w:pPr>
      <w:r>
        <w:rPr>
          <w:rFonts w:ascii="Georgia" w:cs="Georgia" w:eastAsia="Georgia" w:hAnsi="Georgia"/>
          <w:b w:val="false"/>
          <w:bCs w:val="false"/>
          <w:i w:val="false"/>
          <w:iCs w:val="false"/>
          <w:color w:val="1A1F2E"/>
          <w:sz w:val="22"/>
          <w:szCs w:val="22"/>
        </w:rPr>
        <w:t xml:space="preserve">Timperley, H., Wilson, A., Barrar, H., &amp; Fung, I. (2007). Teacher professional learning and development: Best evidence synthesis iteration. Ministry of Education (New Zealand).</w:t>
      </w:r>
    </w:p>
    <w:p>
      <w:pPr>
        <w:spacing w:after="180" w:line="320"/>
        <w:ind/>
        <w:jc w:val="both"/>
      </w:pPr>
      <w:r>
        <w:rPr>
          <w:rFonts w:ascii="Georgia" w:cs="Georgia" w:eastAsia="Georgia" w:hAnsi="Georgia"/>
          <w:b w:val="false"/>
          <w:bCs w:val="false"/>
          <w:i w:val="false"/>
          <w:iCs w:val="false"/>
          <w:color w:val="1A1F2E"/>
          <w:sz w:val="22"/>
          <w:szCs w:val="22"/>
        </w:rPr>
        <w:t xml:space="preserve">Turner, J. C., Christensen, A., Kackar-Cam, H. Z., Fulmer, S. M., &amp; Trucano, M. (2014). The development of professional learning communities and their teacher leaders: An activity systems analysis. Journal of the Learning Sciences, 23(1), 92–140.</w:t>
      </w:r>
    </w:p>
    <w:p>
      <w:pPr>
        <w:spacing w:after="180" w:line="320"/>
        <w:ind/>
        <w:jc w:val="both"/>
      </w:pPr>
      <w:r>
        <w:rPr>
          <w:rFonts w:ascii="Georgia" w:cs="Georgia" w:eastAsia="Georgia" w:hAnsi="Georgia"/>
          <w:b w:val="false"/>
          <w:bCs w:val="false"/>
          <w:i w:val="false"/>
          <w:iCs w:val="false"/>
          <w:color w:val="1A1F2E"/>
          <w:sz w:val="22"/>
          <w:szCs w:val="22"/>
        </w:rPr>
        <w:t xml:space="preserve">Whitman, G., &amp; Kelleher, I. (2016). Neuroteach: Brain science and the future of education. Rowman &amp; Littlefield.</w:t>
      </w:r>
    </w:p>
    <w:p>
      <w:pPr>
        <w:spacing w:after="180" w:line="320"/>
        <w:ind/>
        <w:jc w:val="both"/>
      </w:pPr>
      <w:r>
        <w:rPr>
          <w:rFonts w:ascii="Georgia" w:cs="Georgia" w:eastAsia="Georgia" w:hAnsi="Georgia"/>
          <w:b w:val="false"/>
          <w:bCs w:val="false"/>
          <w:i w:val="false"/>
          <w:iCs w:val="false"/>
          <w:color w:val="1A1F2E"/>
          <w:sz w:val="22"/>
          <w:szCs w:val="22"/>
        </w:rPr>
        <w:t xml:space="preserve">Wiggins, G., &amp; McTighe, J. (1998). Understanding by design. ASCD.</w:t>
      </w:r>
    </w:p>
    <w:p>
      <w:pPr>
        <w:spacing w:after="180" w:line="320"/>
        <w:ind/>
        <w:jc w:val="both"/>
      </w:pPr>
      <w:r>
        <w:rPr>
          <w:rFonts w:ascii="Georgia" w:cs="Georgia" w:eastAsia="Georgia" w:hAnsi="Georgia"/>
          <w:b w:val="false"/>
          <w:bCs w:val="false"/>
          <w:i w:val="false"/>
          <w:iCs w:val="false"/>
          <w:color w:val="1A1F2E"/>
          <w:sz w:val="22"/>
          <w:szCs w:val="22"/>
        </w:rPr>
        <w:t xml:space="preserve">Wiggins, G., &amp; McTighe, J. (2005). Understanding by design (expanded 2nd ed.). ASCD.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2026-06-07T01:51:48.566Z</dcterms:created>
  <dcterms:modified xsi:type="dcterms:W3CDTF">2026-06-07T01:51:48.567Z</dcterms:modified>
</cp:coreProperties>
</file>

<file path=docProps/custom.xml><?xml version="1.0" encoding="utf-8"?>
<Properties xmlns="http://schemas.openxmlformats.org/officeDocument/2006/custom-properties" xmlns:vt="http://schemas.openxmlformats.org/officeDocument/2006/docPropsVTypes"/>
</file>