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Borders>
              <w:top w:val="none"/>
              <w:left w:val="none"/>
              <w:bottom w:val="none"/>
              <w:right w:val="none"/>
            </w:tcBorders>
            <w:vAlign w:val="center"/>
          </w:tcPr>
          <w:p>
            <w:pPr>
              <w:spacing w:after="0"/>
              <w:jc w:val="left"/>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tc>
        <w:tc>
          <w:tcPr>
            <w:tcBorders>
              <w:top w:val="none"/>
              <w:left w:val="none"/>
              <w:bottom w:val="none"/>
              <w:right w:val="none"/>
            </w:tcBorders>
            <w:vAlign w:val="center"/>
          </w:tcPr>
          <w:p>
            <w:pPr>
              <w:spacing w:after="40"/>
              <w:jc w:val="center"/>
            </w:pPr>
            <w:r>
              <w:rPr>
                <w:rFonts w:ascii="Georgia" w:cs="Georgia" w:eastAsia="Georgia" w:hAnsi="Georgia"/>
                <w:b/>
                <w:bCs/>
                <w:color w:val="0F2236"/>
                <w:sz w:val="26"/>
                <w:szCs w:val="26"/>
              </w:rPr>
              <w:t xml:space="preserve">CNG AI Innovation Fellowship 2026–2027</w:t>
            </w:r>
          </w:p>
          <w:p>
            <w:pPr>
              <w:spacing w:after="0"/>
              <w:jc w:val="center"/>
            </w:pPr>
            <w:r>
              <w:rPr>
                <w:rFonts w:ascii="Georgia" w:cs="Georgia" w:eastAsia="Georgia" w:hAnsi="Georgia"/>
                <w:i/>
                <w:iCs/>
                <w:color w:val="1A6B7A"/>
                <w:sz w:val="20"/>
                <w:szCs w:val="20"/>
              </w:rPr>
              <w:t xml:space="preserve">Designing Human-Centered Learning in AI-Rich Classrooms</w:t>
            </w:r>
          </w:p>
        </w:tc>
        <w:tc>
          <w:tcPr>
            <w:tcBorders>
              <w:top w:val="none"/>
              <w:left w:val="none"/>
              <w:bottom w:val="none"/>
              <w:right w:val="none"/>
            </w:tcBorders>
            <w:vAlign w:val="center"/>
          </w:tcPr>
          <w:p>
            <w:pPr>
              <w:spacing w:after="0"/>
              <w:jc w:val="right"/>
            </w:pPr>
            <w:r>
              <w:drawing>
                <wp:inline distT="0" distB="0" distL="0" distR="0">
                  <wp:extent cx="10477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219075"/>
                          </a:xfrm>
                          <a:prstGeom prst="rect">
                            <a:avLst/>
                          </a:prstGeom>
                        </pic:spPr>
                      </pic:pic>
                    </a:graphicData>
                  </a:graphic>
                </wp:inline>
              </w:drawing>
            </w:r>
          </w:p>
        </w:tc>
      </w:tr>
    </w:tbl>
    <w:p>
      <w:pPr>
        <w:spacing w:after="80"/>
      </w:pPr>
    </w:p>
    <w:p>
      <w:pPr>
        <w:spacing w:after="0"/>
        <w:jc w:val="center"/>
      </w:pPr>
      <w:r>
        <w:rPr>
          <w:rFonts w:ascii="Georgia" w:cs="Georgia" w:eastAsia="Georgia" w:hAnsi="Georgia"/>
          <w:color w:val="8BA8B5"/>
          <w:sz w:val="18"/>
          <w:szCs w:val="18"/>
        </w:rPr>
        <w:t xml:space="preserve">Andrew Cajina  ·  High School Mathematics  ·  Colegio Nueva Granada  ·  June 2026</w:t>
      </w:r>
    </w:p>
    <w:p>
      <w:pPr>
        <w:spacing w:after="80"/>
      </w:pPr>
    </w:p>
    <w:p>
      <w:pPr>
        <w:pBdr>
          <w:bottom w:val="single" w:color="C4861A" w:sz="3" w:space="6"/>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A" w:sz="2"/>
              <w:left w:val="single" w:color="1A6B7A" w:sz="2"/>
              <w:bottom w:val="single" w:color="1A6B7A" w:sz="2"/>
              <w:right w:val="single" w:color="1A6B7A" w:sz="2"/>
            </w:tcBorders>
            <w:shd w:fill="F0F4F8" w:val="clear"/>
            <w:tcMar>
              <w:top w:type="dxa" w:w="120"/>
              <w:left w:type="dxa" w:w="200"/>
              <w:bottom w:type="dxa" w:w="120"/>
              <w:right w:type="dxa" w:w="200"/>
            </w:tcMar>
          </w:tcPr>
          <w:p>
            <w:pPr>
              <w:spacing w:after="0"/>
            </w:pPr>
            <w:r>
              <w:rPr>
                <w:rFonts w:ascii="Georgia" w:cs="Georgia" w:eastAsia="Georgia" w:hAnsi="Georgia"/>
                <w:i/>
                <w:iCs/>
                <w:color w:val="0F2236"/>
                <w:sz w:val="20"/>
                <w:szCs w:val="20"/>
              </w:rPr>
              <w:t xml:space="preserve">"Artificial intelligence challenges us not to abandon assessment, but to rediscover its human core — dialogue, reasoning, and voice."
— Phillip Dawson, Defending Assessment in the Age of Artificial Intelligence (2021)</w:t>
            </w:r>
          </w:p>
        </w:tc>
      </w:tr>
    </w:tbl>
    <w:p>
      <w:pPr>
        <w:spacing w:after="120"/>
      </w:pPr>
    </w:p>
    <w:p>
      <w:pPr>
        <w:spacing w:after="80" w:before="220"/>
      </w:pPr>
      <w:r>
        <w:rPr>
          <w:rFonts w:ascii="Georgia" w:cs="Georgia" w:eastAsia="Georgia" w:hAnsi="Georgia"/>
          <w:b/>
          <w:bCs/>
          <w:color w:val="C4861A"/>
          <w:spacing w:val="120"/>
          <w:sz w:val="18"/>
          <w:szCs w:val="18"/>
        </w:rPr>
        <w:t xml:space="preserve">PROJECT TITLE</w:t>
      </w:r>
    </w:p>
    <w:p>
      <w:pPr>
        <w:pBdr>
          <w:bottom w:val="single" w:color="1A6B7A" w:sz="3" w:space="6"/>
        </w:pBdr>
        <w:spacing w:after="0"/>
      </w:pPr>
    </w:p>
    <w:p>
      <w:pPr>
        <w:spacing w:after="60"/>
      </w:pPr>
    </w:p>
    <w:p>
      <w:pPr>
        <w:pStyle w:val="Normal"/>
        <w:spacing w:after="120"/>
      </w:pPr>
      <w:r>
        <w:rPr>
          <w:rFonts w:ascii="Georgia" w:cs="Georgia" w:eastAsia="Georgia" w:hAnsi="Georgia"/>
          <w:b/>
          <w:bCs/>
          <w:color w:val="0F2236"/>
          <w:sz w:val="20"/>
          <w:szCs w:val="20"/>
        </w:rPr>
        <w:t xml:space="preserve">Designing Human-Centered Learning in AI-Rich Classrooms: </w:t>
      </w:r>
      <w:r>
        <w:rPr>
          <w:rFonts w:ascii="Georgia" w:cs="Georgia" w:eastAsia="Georgia" w:hAnsi="Georgia"/>
          <w:color w:val="1A1F2E"/>
          <w:sz w:val="20"/>
          <w:szCs w:val="20"/>
        </w:rPr>
        <w:t xml:space="preserve">A Teacher Capacity Fellowship in Assessment Redesign, Visible Reasoning, and AI-Informed Practice</w:t>
      </w:r>
    </w:p>
    <w:p>
      <w:pPr>
        <w:pStyle w:val="Normal"/>
        <w:spacing w:after="120"/>
      </w:pPr>
      <w:r>
        <w:rPr>
          <w:rFonts w:ascii="Georgia" w:cs="Georgia" w:eastAsia="Georgia" w:hAnsi="Georgia"/>
          <w:i/>
          <w:iCs/>
          <w:color w:val="1A1F2E"/>
          <w:sz w:val="20"/>
          <w:szCs w:val="20"/>
        </w:rPr>
        <w:t xml:space="preserve">Making dialogue, reasoning, voice, and judgment visible when AI can produce the work.</w:t>
      </w:r>
    </w:p>
    <w:p>
      <w:pPr>
        <w:spacing w:after="80"/>
      </w:pPr>
    </w:p>
    <w:p>
      <w:pPr>
        <w:spacing w:after="80" w:before="220"/>
      </w:pPr>
      <w:r>
        <w:rPr>
          <w:rFonts w:ascii="Georgia" w:cs="Georgia" w:eastAsia="Georgia" w:hAnsi="Georgia"/>
          <w:b/>
          <w:bCs/>
          <w:color w:val="C4861A"/>
          <w:spacing w:val="120"/>
          <w:sz w:val="18"/>
          <w:szCs w:val="18"/>
        </w:rPr>
        <w:t xml:space="preserve">PROBLEM OF PRACTICE</w:t>
      </w:r>
    </w:p>
    <w:p>
      <w:pPr>
        <w:pBdr>
          <w:bottom w:val="single" w:color="1A6B7A" w:sz="3" w:space="6"/>
        </w:pBdr>
        <w:spacing w:after="0"/>
      </w:pPr>
    </w:p>
    <w:p>
      <w:pPr>
        <w:spacing w:after="60"/>
      </w:pPr>
    </w:p>
    <w:p>
      <w:pPr>
        <w:pStyle w:val="Normal"/>
        <w:spacing w:after="120"/>
      </w:pPr>
      <w:r>
        <w:rPr>
          <w:rFonts w:ascii="Georgia" w:cs="Georgia" w:eastAsia="Georgia" w:hAnsi="Georgia"/>
          <w:color w:val="1A1F2E"/>
          <w:sz w:val="20"/>
          <w:szCs w:val="20"/>
        </w:rPr>
        <w:t xml:space="preserve">Phillip Dawson (2021) argues that AI does not create an assessment crisis — it reveals one that already existed. We have long mistaken polished products for learning, completion for understanding, and performance for reasoning. AI makes that assumption untenable.</w:t>
      </w:r>
    </w:p>
    <w:p>
      <w:pPr>
        <w:pStyle w:val="Normal"/>
        <w:spacing w:after="120"/>
      </w:pPr>
      <w:r>
        <w:rPr>
          <w:rFonts w:ascii="Georgia" w:cs="Georgia" w:eastAsia="Georgia" w:hAnsi="Georgia"/>
          <w:color w:val="1A1F2E"/>
          <w:sz w:val="20"/>
          <w:szCs w:val="20"/>
        </w:rPr>
        <w:t xml:space="preserve">When generative AI can produce polished essays, mathematical analyses, and lab reports, final products no longer reliably tell teachers what students actually understand. This is not primarily an integrity problem — it is an </w:t>
      </w:r>
      <w:r>
        <w:rPr>
          <w:rFonts w:ascii="Georgia" w:cs="Georgia" w:eastAsia="Georgia" w:hAnsi="Georgia"/>
          <w:b/>
          <w:bCs/>
          <w:color w:val="0F2236"/>
          <w:sz w:val="20"/>
          <w:szCs w:val="20"/>
        </w:rPr>
        <w:t xml:space="preserve">assessment validity problem</w:t>
      </w:r>
      <w:r>
        <w:rPr>
          <w:rFonts w:ascii="Georgia" w:cs="Georgia" w:eastAsia="Georgia" w:hAnsi="Georgia"/>
          <w:color w:val="1A1F2E"/>
          <w:sz w:val="20"/>
          <w:szCs w:val="20"/>
        </w:rPr>
        <w:t xml:space="preserve">, and it predates AI. AI simply made it impossible to ignore.</w:t>
      </w:r>
    </w:p>
    <w:p>
      <w:pPr>
        <w:pStyle w:val="Normal"/>
        <w:spacing w:after="120"/>
      </w:pPr>
      <w:r>
        <w:rPr>
          <w:rFonts w:ascii="Georgia" w:cs="Georgia" w:eastAsia="Georgia" w:hAnsi="Georgia"/>
          <w:color w:val="1A1F2E"/>
          <w:sz w:val="20"/>
          <w:szCs w:val="20"/>
        </w:rPr>
        <w:t xml:space="preserve">The real problem is that </w:t>
      </w:r>
      <w:r>
        <w:rPr>
          <w:rFonts w:ascii="Georgia" w:cs="Georgia" w:eastAsia="Georgia" w:hAnsi="Georgia"/>
          <w:b/>
          <w:bCs/>
          <w:color w:val="0F2236"/>
          <w:sz w:val="20"/>
          <w:szCs w:val="20"/>
        </w:rPr>
        <w:t xml:space="preserve">dialogue, reasoning, voice, and judgment</w:t>
      </w:r>
      <w:r>
        <w:rPr>
          <w:rFonts w:ascii="Georgia" w:cs="Georgia" w:eastAsia="Georgia" w:hAnsi="Georgia"/>
          <w:color w:val="1A1F2E"/>
          <w:sz w:val="20"/>
          <w:szCs w:val="20"/>
        </w:rPr>
        <w:t xml:space="preserve"> — the human core of learning — were already becoming invisible behind finished products. CNG teachers increasingly face classrooms where they can evaluate polished outputs but cannot interpret student thinking. The question this fellowship addresses is not how to protect assessment from AI. It is how to </w:t>
      </w:r>
      <w:r>
        <w:rPr>
          <w:rFonts w:ascii="Georgia" w:cs="Georgia" w:eastAsia="Georgia" w:hAnsi="Georgia"/>
          <w:b/>
          <w:bCs/>
          <w:color w:val="0F2236"/>
          <w:sz w:val="20"/>
          <w:szCs w:val="20"/>
        </w:rPr>
        <w:t xml:space="preserve">rediscover its human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861A" w:sz="2"/>
              <w:left w:val="single" w:color="C4861A" w:sz="2"/>
              <w:bottom w:val="single" w:color="C4861A" w:sz="2"/>
              <w:right w:val="single" w:color="C4861A" w:sz="2"/>
            </w:tcBorders>
            <w:shd w:fill="FBF4E8" w:val="clear"/>
            <w:tcMar>
              <w:top w:type="dxa" w:w="120"/>
              <w:left w:type="dxa" w:w="200"/>
              <w:bottom w:type="dxa" w:w="120"/>
              <w:right w:type="dxa" w:w="200"/>
            </w:tcMar>
          </w:tcPr>
          <w:p>
            <w:pPr>
              <w:spacing w:after="0"/>
            </w:pPr>
            <w:r>
              <w:rPr>
                <w:rFonts w:ascii="Georgia" w:cs="Georgia" w:eastAsia="Georgia" w:hAnsi="Georgia"/>
                <w:i/>
                <w:iCs/>
                <w:color w:val="0F2236"/>
                <w:sz w:val="20"/>
                <w:szCs w:val="20"/>
              </w:rPr>
              <w:t xml:space="preserve">"If AI completed this task perfectly, what learning would disappear?" — When the answer is everything, the task needs redesign. When the answer is nothing significant, the design is working.</w:t>
            </w:r>
          </w:p>
        </w:tc>
      </w:tr>
    </w:tbl>
    <w:p>
      <w:pPr>
        <w:spacing w:after="120"/>
      </w:pPr>
    </w:p>
    <w:p>
      <w:pPr>
        <w:spacing w:after="80" w:before="220"/>
      </w:pPr>
      <w:r>
        <w:rPr>
          <w:rFonts w:ascii="Georgia" w:cs="Georgia" w:eastAsia="Georgia" w:hAnsi="Georgia"/>
          <w:b/>
          <w:bCs/>
          <w:color w:val="C4861A"/>
          <w:spacing w:val="120"/>
          <w:sz w:val="18"/>
          <w:szCs w:val="18"/>
        </w:rPr>
        <w:t xml:space="preserve">ALIGNMENT WITH CNG PRIORITIES AND THE SCIENCE OF LEARNING</w:t>
      </w:r>
    </w:p>
    <w:p>
      <w:pPr>
        <w:pBdr>
          <w:bottom w:val="single" w:color="1A6B7A" w:sz="3" w:space="6"/>
        </w:pBdr>
        <w:spacing w:after="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CNG Mission &amp; Vision</w:t>
            </w:r>
          </w:p>
        </w:tc>
        <w:tc>
          <w:tcPr>
            <w:tcW w:type="dxa" w:w="67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Developing teachers who design learning that remains meaningful, visible, and assessable when AI shapes how academic work is produced — so that assessment still tells us what students actually understand.</w:t>
            </w:r>
          </w:p>
        </w:tc>
      </w:tr>
      <w:tr>
        <w:trPr>
          <w:cantSplit/>
        </w:trPr>
        <w:tc>
          <w:tcPr>
            <w:tcW w:type="dxa" w:w="26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Science of Learning
Dehaene (2020)</w:t>
            </w:r>
          </w:p>
        </w:tc>
        <w:tc>
          <w:tcPr>
            <w:tcW w:type="dxa" w:w="67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Dehaene's four pillars: attention, active engagement, error feedback, consolidation. AI-bypassed tasks violate at least three. The VISTA Protocol asks whether each task still produces the conditions under which brains learn. Assessment redesign is neurological necessity.</w:t>
            </w:r>
          </w:p>
        </w:tc>
      </w:tr>
      <w:tr>
        <w:trPr>
          <w:cantSplit/>
        </w:trPr>
        <w:tc>
          <w:tcPr>
            <w:tcW w:type="dxa" w:w="26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Neuroteach
Whitman &amp; Kelleher (2016)</w:t>
            </w:r>
          </w:p>
        </w:tc>
        <w:tc>
          <w:tcPr>
            <w:tcW w:type="dxa" w:w="67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Three principles applied directly: (1) desirable difficulty — tasks must require effortful processing; (2) retrieval practice — visible reasoning artifacts require students to reconstruct understanding; (3) metacognition — VSR and reflection cycles build the habit of examining one's own thinking.</w:t>
            </w:r>
          </w:p>
        </w:tc>
      </w:tr>
      <w:tr>
        <w:trPr>
          <w:cantSplit/>
        </w:trPr>
        <w:tc>
          <w:tcPr>
            <w:tcW w:type="dxa" w:w="26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Responsible &amp; Ethical AI</w:t>
            </w:r>
          </w:p>
        </w:tc>
        <w:tc>
          <w:tcPr>
            <w:tcW w:type="dxa" w:w="67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Augmented Human Thinking Routine teaches teachers to critique AI output for accuracy, bias, and hollowness before trusting it — and models the critical stance we want students to develop. SAIL framework embedded in every redesigned assessment.</w:t>
            </w:r>
          </w:p>
        </w:tc>
      </w:tr>
      <w:tr>
        <w:trPr>
          <w:cantSplit/>
        </w:trPr>
        <w:tc>
          <w:tcPr>
            <w:tcW w:type="dxa" w:w="26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Authentic Assessment in the Age of AI</w:t>
            </w:r>
          </w:p>
        </w:tc>
        <w:tc>
          <w:tcPr>
            <w:tcW w:type="dxa" w:w="67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fellowship's entire focus. Every redesigned assessment must generate evidence of genuine student thinking that AI alone cannot produce. VISTA operationalises this directly.</w:t>
            </w:r>
          </w:p>
        </w:tc>
      </w:tr>
      <w:tr>
        <w:trPr>
          <w:cantSplit/>
        </w:trPr>
        <w:tc>
          <w:tcPr>
            <w:tcW w:type="dxa" w:w="26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AI-Powered Learning Supports</w:t>
            </w:r>
          </w:p>
        </w:tc>
        <w:tc>
          <w:tcPr>
            <w:tcW w:type="dxa" w:w="67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fellowship proposes a CNG-specific AI chatbot as a Year 2 output: a disciplinary thinking partner trained on CNG's own frameworks, SAIL levels, and student reasoning exemplars from Year 1.</w:t>
            </w:r>
          </w:p>
        </w:tc>
      </w:tr>
      <w:tr>
        <w:trPr>
          <w:cantSplit/>
        </w:trPr>
        <w:tc>
          <w:tcPr>
            <w:tcW w:type="dxa" w:w="26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Shareable &amp; Scalable</w:t>
            </w:r>
          </w:p>
        </w:tc>
        <w:tc>
          <w:tcPr>
            <w:tcW w:type="dxa" w:w="67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All tools, protocols, and iteration records are designed for transfer: to the AI Task Force, across departments and divisions. The VISTA website is bilingual, open-access, and discipline-agnostic.</w:t>
            </w:r>
          </w:p>
        </w:tc>
      </w:tr>
    </w:tbl>
    <w:p>
      <w:pPr>
        <w:spacing w:after="120"/>
      </w:pPr>
    </w:p>
    <w:p>
      <w:pPr>
        <w:spacing w:after="80" w:before="220"/>
      </w:pPr>
      <w:r>
        <w:rPr>
          <w:rFonts w:ascii="Georgia" w:cs="Georgia" w:eastAsia="Georgia" w:hAnsi="Georgia"/>
          <w:b/>
          <w:bCs/>
          <w:color w:val="C4861A"/>
          <w:spacing w:val="120"/>
          <w:sz w:val="18"/>
          <w:szCs w:val="18"/>
        </w:rPr>
        <w:t xml:space="preserve">PROJECT DESCRIPTION</w:t>
      </w:r>
    </w:p>
    <w:p>
      <w:pPr>
        <w:pBdr>
          <w:bottom w:val="single" w:color="1A6B7A" w:sz="3" w:space="6"/>
        </w:pBdr>
        <w:spacing w:after="0"/>
      </w:pPr>
    </w:p>
    <w:p>
      <w:pPr>
        <w:spacing w:after="60"/>
      </w:pPr>
    </w:p>
    <w:p>
      <w:pPr>
        <w:pStyle w:val="Normal"/>
        <w:spacing w:after="120"/>
      </w:pPr>
      <w:r>
        <w:rPr>
          <w:rFonts w:ascii="Georgia" w:cs="Georgia" w:eastAsia="Georgia" w:hAnsi="Georgia"/>
          <w:color w:val="1A1F2E"/>
          <w:sz w:val="20"/>
          <w:szCs w:val="20"/>
        </w:rPr>
        <w:t xml:space="preserve">Six High School teachers work in three mixed-experience pairs (2 experienced AI integrators, 2 developing/curious, 2 skeptical/resistant) across one academic year. Each teacher selects one existing assessment, audits it using VISTA (Visibility Into Student Thinking and Agency), redesigns it to make student reasoning visible, teaches it, collects evidence, and reflects through two structured cycles.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rPr>
          <w:cantSplit/>
        </w:trPr>
        <w:tc>
          <w:tcPr>
            <w:tcW w:type="dxa" w:w="19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Cycle 1
Aug–Feb
Supported</w:t>
            </w:r>
          </w:p>
        </w:tc>
        <w:tc>
          <w:tcPr>
            <w:tcW w:type="dxa" w:w="74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Cajina models VISTA live. Teacher audits alone. Co-redesign: Cajina contributes AI-specific design knowledge; teacher leads content and pedagogy. Co-plan and supported enactment. Student reasoning artifacts collected. VSR Session 1 with Cajina. Monthly lunch PLC (1 hour).</w:t>
            </w:r>
          </w:p>
        </w:tc>
      </w:tr>
      <w:tr>
        <w:trPr>
          <w:cantSplit/>
        </w:trPr>
        <w:tc>
          <w:tcPr>
            <w:tcW w:type="dxa" w:w="19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Cycle 2
Feb–Jun
Supported
Independence</w:t>
            </w:r>
          </w:p>
        </w:tc>
        <w:tc>
          <w:tcPr>
            <w:tcW w:type="dxa" w:w="74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 redesigns independently. One structured written feedback pass from Cajina before enactment. Teacher enacts alone. VSR Session 2 peer-facilitated; Cajina attends as silent moderator. June: each teacher brings their two-cycle arc to their own department.</w:t>
            </w:r>
          </w:p>
        </w:tc>
      </w:tr>
    </w:tbl>
    <w:p>
      <w:pPr>
        <w:spacing w:after="80"/>
      </w:pPr>
    </w:p>
    <w:p>
      <w:pPr>
        <w:pStyle w:val="Normal"/>
        <w:spacing w:after="120"/>
      </w:pPr>
      <w:r>
        <w:rPr>
          <w:rFonts w:ascii="Georgia" w:cs="Georgia" w:eastAsia="Georgia" w:hAnsi="Georgia"/>
          <w:b/>
          <w:bCs/>
          <w:color w:val="0F2236"/>
          <w:sz w:val="20"/>
          <w:szCs w:val="20"/>
        </w:rPr>
        <w:t xml:space="preserve">VISTA (Visibility Into Student Thinking and Agency) </w:t>
      </w:r>
      <w:r>
        <w:rPr>
          <w:rFonts w:ascii="Georgia" w:cs="Georgia" w:eastAsia="Georgia" w:hAnsi="Georgia"/>
          <w:color w:val="1A1F2E"/>
          <w:sz w:val="20"/>
          <w:szCs w:val="20"/>
        </w:rPr>
        <w:t xml:space="preserve">operationalises Dawson's challenge. Rather than evaluating what students produce, it asks what processes are visible behind the product: dialogue, reasoning, voice, and agency — the four dimensions AI cannot replicate and traditional assessment has long allowed to disappear.</w:t>
      </w:r>
    </w:p>
    <w:p>
      <w:pPr>
        <w:pStyle w:val="Normal"/>
        <w:spacing w:after="120"/>
      </w:pPr>
      <w:r>
        <w:rPr>
          <w:rFonts w:ascii="Georgia" w:cs="Georgia" w:eastAsia="Georgia" w:hAnsi="Georgia"/>
          <w:b/>
          <w:bCs/>
          <w:color w:val="0F2236"/>
          <w:sz w:val="20"/>
          <w:szCs w:val="20"/>
        </w:rPr>
        <w:t xml:space="preserve">The Augmented Human Thinking Routine </w:t>
      </w:r>
      <w:r>
        <w:rPr>
          <w:rFonts w:ascii="Georgia" w:cs="Georgia" w:eastAsia="Georgia" w:hAnsi="Georgia"/>
          <w:color w:val="1A1F2E"/>
          <w:sz w:val="20"/>
          <w:szCs w:val="20"/>
        </w:rPr>
        <w:t xml:space="preserve">is the fellowship's digital coaching mechanism — four guided moves teachers run on any task: What can AI do with this? How much can you trust it? What would happen in your room? Who does what — student or AI? Think first. AI extends what you can see. By Cycle 2, teachers run it alone.</w:t>
      </w:r>
    </w:p>
    <w:p>
      <w:pPr>
        <w:pStyle w:val="Normal"/>
        <w:spacing w:after="120"/>
      </w:pPr>
      <w:r>
        <w:rPr>
          <w:rFonts w:ascii="Georgia" w:cs="Georgia" w:eastAsia="Georgia" w:hAnsi="Georgia"/>
          <w:b/>
          <w:bCs/>
          <w:color w:val="0F2236"/>
          <w:sz w:val="20"/>
          <w:szCs w:val="20"/>
        </w:rPr>
        <w:t xml:space="preserve">The CNG Chatbot (Year 2 proposal). </w:t>
      </w:r>
      <w:r>
        <w:rPr>
          <w:rFonts w:ascii="Georgia" w:cs="Georgia" w:eastAsia="Georgia" w:hAnsi="Georgia"/>
          <w:color w:val="1A1F2E"/>
          <w:sz w:val="20"/>
          <w:szCs w:val="20"/>
        </w:rPr>
        <w:t xml:space="preserve">Year 1 produces the knowledge base — SAIL levels, disciplinary reasoning standards, student reasoning exemplars — from which a CNG-specific AI thinking partner could be built: one that knows what CNG students are supposed to be learning and scaffolds toward those expectations.</w:t>
      </w:r>
    </w:p>
    <w:p>
      <w:pPr>
        <w:spacing w:after="120"/>
      </w:pPr>
    </w:p>
    <w:p>
      <w:pPr>
        <w:spacing w:after="80" w:before="220"/>
      </w:pPr>
      <w:r>
        <w:rPr>
          <w:rFonts w:ascii="Georgia" w:cs="Georgia" w:eastAsia="Georgia" w:hAnsi="Georgia"/>
          <w:b/>
          <w:bCs/>
          <w:color w:val="C4861A"/>
          <w:spacing w:val="120"/>
          <w:sz w:val="18"/>
          <w:szCs w:val="18"/>
        </w:rPr>
        <w:t xml:space="preserve">DELIVERABLES</w:t>
      </w:r>
    </w:p>
    <w:p>
      <w:pPr>
        <w:pBdr>
          <w:bottom w:val="single" w:color="1A6B7A" w:sz="3" w:space="6"/>
        </w:pBdr>
        <w:spacing w:after="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VISTA Protocol Website</w:t>
            </w:r>
          </w:p>
        </w:tc>
        <w:tc>
          <w:tcPr>
            <w:tcW w:type="dxa" w:w="65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Interactive, bilingual (EN/ES) assessment audit tool — Initial Audit, Augmented Human Thinking Routine, Final Audit. Open-access, discipline-agnostic. vista-fellowship.vercel.app</w:t>
            </w:r>
          </w:p>
        </w:tc>
      </w:tr>
      <w:tr>
        <w:trPr>
          <w:cantSplit/>
        </w:trPr>
        <w:tc>
          <w:tcPr>
            <w:tcW w:type="dxa" w:w="28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VISTA Paper Audit</w:t>
            </w:r>
          </w:p>
        </w:tc>
        <w:tc>
          <w:tcPr>
            <w:tcW w:type="dxa" w:w="65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Printable bilingual one-page audit — identical questions, no browser or AI required. Non-AI pathway for teachers and students who decline AI use.</w:t>
            </w:r>
          </w:p>
        </w:tc>
      </w:tr>
      <w:tr>
        <w:trPr>
          <w:cantSplit/>
        </w:trPr>
        <w:tc>
          <w:tcPr>
            <w:tcW w:type="dxa" w:w="28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6 Teacher Iteration Records</w:t>
            </w:r>
          </w:p>
        </w:tc>
        <w:tc>
          <w:tcPr>
            <w:tcW w:type="dxa" w:w="65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Complete two-cycle arcs: VISTA audits, redesigned assessments, student reasoning artifacts, VSR transcripts, revision notes.</w:t>
            </w:r>
          </w:p>
        </w:tc>
      </w:tr>
      <w:tr>
        <w:trPr>
          <w:cantSplit/>
        </w:trPr>
        <w:tc>
          <w:tcPr>
            <w:tcW w:type="dxa" w:w="28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AI-TPACK Development Evidence</w:t>
            </w:r>
          </w:p>
        </w:tc>
        <w:tc>
          <w:tcPr>
            <w:tcW w:type="dxa" w:w="65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Before/after TIAI competence measures for all 6 teachers across both cycles.</w:t>
            </w:r>
          </w:p>
        </w:tc>
      </w:tr>
      <w:tr>
        <w:trPr>
          <w:cantSplit/>
        </w:trPr>
        <w:tc>
          <w:tcPr>
            <w:tcW w:type="dxa" w:w="28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Monthly Lunch PLC Protocol</w:t>
            </w:r>
          </w:p>
        </w:tc>
        <w:tc>
          <w:tcPr>
            <w:tcW w:type="dxa" w:w="65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Facilitation guide for 1-hour department-accessible PLC sessions. Replicable for Year 2 without Cajina.</w:t>
            </w:r>
          </w:p>
        </w:tc>
      </w:tr>
      <w:tr>
        <w:trPr>
          <w:cantSplit/>
        </w:trPr>
        <w:tc>
          <w:tcPr>
            <w:tcW w:type="dxa" w:w="28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Cognitive Agency Knowledge Hub</w:t>
            </w:r>
          </w:p>
        </w:tc>
        <w:tc>
          <w:tcPr>
            <w:tcW w:type="dxa" w:w="65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Cross-disciplinary archive of VISTA artifacts, student reasoning exemplars, VSR notes — and the training corpus for a CNG chatbot.</w:t>
            </w:r>
          </w:p>
        </w:tc>
      </w:tr>
      <w:tr>
        <w:trPr>
          <w:cantSplit/>
        </w:trPr>
        <w:tc>
          <w:tcPr>
            <w:tcW w:type="dxa" w:w="28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CNG Chatbot Specification</w:t>
            </w:r>
          </w:p>
        </w:tc>
        <w:tc>
          <w:tcPr>
            <w:tcW w:type="dxa" w:w="65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Design specification and prototype brief for a CNG-specific AI thinking partner. Ready for Year 2 development.</w:t>
            </w:r>
          </w:p>
        </w:tc>
      </w:tr>
      <w:tr>
        <w:trPr>
          <w:cantSplit/>
        </w:trPr>
        <w:tc>
          <w:tcPr>
            <w:tcW w:type="dxa" w:w="28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AI Task Force Handoff Package</w:t>
            </w:r>
          </w:p>
        </w:tc>
        <w:tc>
          <w:tcPr>
            <w:tcW w:type="dxa" w:w="65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Everything needed to run Year 2 without Cajina as primary facilitator.</w:t>
            </w:r>
          </w:p>
        </w:tc>
      </w:tr>
    </w:tbl>
    <w:p>
      <w:pPr>
        <w:spacing w:after="120"/>
      </w:pPr>
    </w:p>
    <w:p>
      <w:pPr>
        <w:spacing w:after="80" w:before="220"/>
      </w:pPr>
      <w:r>
        <w:rPr>
          <w:rFonts w:ascii="Georgia" w:cs="Georgia" w:eastAsia="Georgia" w:hAnsi="Georgia"/>
          <w:b/>
          <w:bCs/>
          <w:color w:val="C4861A"/>
          <w:spacing w:val="120"/>
          <w:sz w:val="18"/>
          <w:szCs w:val="18"/>
        </w:rPr>
        <w:t xml:space="preserve">TIMELINE</w:t>
      </w:r>
    </w:p>
    <w:p>
      <w:pPr>
        <w:pBdr>
          <w:bottom w:val="single" w:color="1A6B7A" w:sz="3" w:space="6"/>
        </w:pBdr>
        <w:spacing w:after="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June 11, 2026</w:t>
            </w:r>
          </w:p>
        </w:tc>
        <w:tc>
          <w:tcPr>
            <w:tcW w:type="dxa" w:w="69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Proposal submitted</w:t>
            </w:r>
          </w:p>
        </w:tc>
      </w:tr>
      <w:tr>
        <w:trPr>
          <w:cantSplit/>
        </w:trPr>
        <w:tc>
          <w:tcPr>
            <w:tcW w:type="dxa" w:w="24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August 2026</w:t>
            </w:r>
          </w:p>
        </w:tc>
        <w:tc>
          <w:tcPr>
            <w:tcW w:type="dxa" w:w="69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Fellowship launch · VISTA modelling session · Pairs identify Cycle 1 assessments</w:t>
            </w:r>
          </w:p>
        </w:tc>
      </w:tr>
      <w:tr>
        <w:trPr>
          <w:cantSplit/>
        </w:trPr>
        <w:tc>
          <w:tcPr>
            <w:tcW w:type="dxa" w:w="24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Sep–Nov 2026</w:t>
            </w:r>
          </w:p>
        </w:tc>
        <w:tc>
          <w:tcPr>
            <w:tcW w:type="dxa" w:w="69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Cycle 1 VISTA audits · Co-redesign · Augmented Human Thinking Routine · Supported enactment · Artifacts collected</w:t>
            </w:r>
          </w:p>
        </w:tc>
      </w:tr>
      <w:tr>
        <w:trPr>
          <w:cantSplit/>
        </w:trPr>
        <w:tc>
          <w:tcPr>
            <w:tcW w:type="dxa" w:w="24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November 2026</w:t>
            </w:r>
          </w:p>
        </w:tc>
        <w:tc>
          <w:tcPr>
            <w:tcW w:type="dxa" w:w="69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PLC Session 1 — monthly lunch, 1 hour · Artifact share · Cycle 2 priorities named</w:t>
            </w:r>
          </w:p>
        </w:tc>
      </w:tr>
      <w:tr>
        <w:trPr>
          <w:cantSplit/>
        </w:trPr>
        <w:tc>
          <w:tcPr>
            <w:tcW w:type="dxa" w:w="24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Jan–Feb 2027</w:t>
            </w:r>
          </w:p>
        </w:tc>
        <w:tc>
          <w:tcPr>
            <w:tcW w:type="dxa" w:w="69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VSR Session 1 (Cajina facilitates) · Assessment revision · Cycle 2 planning</w:t>
            </w:r>
          </w:p>
        </w:tc>
      </w:tr>
      <w:tr>
        <w:trPr>
          <w:cantSplit/>
        </w:trPr>
        <w:tc>
          <w:tcPr>
            <w:tcW w:type="dxa" w:w="24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Feb–Apr 2027</w:t>
            </w:r>
          </w:p>
        </w:tc>
        <w:tc>
          <w:tcPr>
            <w:tcW w:type="dxa" w:w="69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Cycle 2 supported independence · Teachers redesign and enact independently</w:t>
            </w:r>
          </w:p>
        </w:tc>
      </w:tr>
      <w:tr>
        <w:trPr>
          <w:cantSplit/>
        </w:trPr>
        <w:tc>
          <w:tcPr>
            <w:tcW w:type="dxa" w:w="24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April 2027</w:t>
            </w:r>
          </w:p>
        </w:tc>
        <w:tc>
          <w:tcPr>
            <w:tcW w:type="dxa" w:w="69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PLC Session 2 — monthly lunch, 1 hour · Cycle 2 check-in · Transfer preparation</w:t>
            </w:r>
          </w:p>
        </w:tc>
      </w:tr>
      <w:tr>
        <w:trPr>
          <w:cantSplit/>
        </w:trPr>
        <w:tc>
          <w:tcPr>
            <w:tcW w:type="dxa" w:w="24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Apr–May 2027</w:t>
            </w:r>
          </w:p>
        </w:tc>
        <w:tc>
          <w:tcPr>
            <w:tcW w:type="dxa" w:w="69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VSR Session 2 (peer-facilitated; Cajina moderates silently) · CNG chatbot specification drafted</w:t>
            </w:r>
          </w:p>
        </w:tc>
      </w:tr>
      <w:tr>
        <w:trPr>
          <w:cantSplit/>
        </w:trPr>
        <w:tc>
          <w:tcPr>
            <w:tcW w:type="dxa" w:w="24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May–June 2027</w:t>
            </w:r>
          </w:p>
        </w:tc>
        <w:tc>
          <w:tcPr>
            <w:tcW w:type="dxa" w:w="69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Department transfer sessions · Full cohort showcase · AI Task Force handoff</w:t>
            </w:r>
          </w:p>
        </w:tc>
      </w:tr>
      <w:tr>
        <w:trPr>
          <w:cantSplit/>
        </w:trPr>
        <w:tc>
          <w:tcPr>
            <w:tcW w:type="dxa" w:w="24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June 2027</w:t>
            </w:r>
          </w:p>
        </w:tc>
        <w:tc>
          <w:tcPr>
            <w:tcW w:type="dxa" w:w="69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Final Showcase (aligns with CNG Fellowship calendar)</w:t>
            </w:r>
          </w:p>
        </w:tc>
      </w:tr>
    </w:tbl>
    <w:p>
      <w:pPr>
        <w:spacing w:after="120"/>
      </w:pPr>
    </w:p>
    <w:p>
      <w:pPr>
        <w:spacing w:after="80" w:before="220"/>
      </w:pPr>
      <w:r>
        <w:rPr>
          <w:rFonts w:ascii="Georgia" w:cs="Georgia" w:eastAsia="Georgia" w:hAnsi="Georgia"/>
          <w:b/>
          <w:bCs/>
          <w:color w:val="C4861A"/>
          <w:spacing w:val="120"/>
          <w:sz w:val="18"/>
          <w:szCs w:val="18"/>
        </w:rPr>
        <w:t xml:space="preserve">EXPECTED IMPACT AND SUCCESS INDICATORS</w:t>
      </w:r>
    </w:p>
    <w:p>
      <w:pPr>
        <w:pBdr>
          <w:bottom w:val="single" w:color="1A6B7A" w:sz="3" w:space="6"/>
        </w:pBdr>
        <w:spacing w:after="0"/>
      </w:pPr>
    </w:p>
    <w:p>
      <w:pPr>
        <w:spacing w:after="60"/>
      </w:pPr>
    </w:p>
    <w:p>
      <w:pPr>
        <w:pStyle w:val="Normal"/>
        <w:spacing w:after="120"/>
      </w:pPr>
      <w:r>
        <w:rPr>
          <w:rFonts w:ascii="Georgia" w:cs="Georgia" w:eastAsia="Georgia" w:hAnsi="Georgia"/>
          <w:b/>
          <w:bCs/>
          <w:color w:val="0F2236"/>
          <w:sz w:val="20"/>
          <w:szCs w:val="20"/>
        </w:rPr>
        <w:t xml:space="preserve">Teacher level: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VISTA audit competence</w:t>
            </w:r>
          </w:p>
        </w:tc>
        <w:tc>
          <w:tcPr>
            <w:tcW w:type="dxa" w:w="63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All 6 teachers complete two independent VISTA audits. Cycle 2 requires no co-planning.</w:t>
            </w:r>
          </w:p>
        </w:tc>
      </w:tr>
      <w:tr>
        <w:trPr>
          <w:cantSplit/>
        </w:trPr>
        <w:tc>
          <w:tcPr>
            <w:tcW w:type="dxa" w:w="30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AI-TPACK development</w:t>
            </w:r>
          </w:p>
        </w:tc>
        <w:tc>
          <w:tcPr>
            <w:tcW w:type="dxa" w:w="63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Measurable shift in TIAI (Teacher Integration of AI-TPACK Instrument) Aug 2026 → Jun 2027.</w:t>
            </w:r>
          </w:p>
        </w:tc>
      </w:tr>
      <w:tr>
        <w:trPr>
          <w:cantSplit/>
        </w:trPr>
        <w:tc>
          <w:tcPr>
            <w:tcW w:type="dxa" w:w="30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Assessment redesign judgment</w:t>
            </w:r>
          </w:p>
        </w:tc>
        <w:tc>
          <w:tcPr>
            <w:tcW w:type="dxa" w:w="63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Teachers can name, with specific evidence, why a redesigned task generates interpretable evidence the original did not.</w:t>
            </w:r>
          </w:p>
        </w:tc>
      </w:tr>
      <w:tr>
        <w:trPr>
          <w:cantSplit/>
        </w:trPr>
        <w:tc>
          <w:tcPr>
            <w:tcW w:type="dxa" w:w="30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Independent routine use</w:t>
            </w:r>
          </w:p>
        </w:tc>
        <w:tc>
          <w:tcPr>
            <w:tcW w:type="dxa" w:w="63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Teachers run the Augmented Human Thinking Routine independently on any task by Cycle 2.</w:t>
            </w:r>
          </w:p>
        </w:tc>
      </w:tr>
    </w:tbl>
    <w:p>
      <w:pPr>
        <w:spacing w:after="80"/>
      </w:pPr>
    </w:p>
    <w:p>
      <w:pPr>
        <w:pStyle w:val="Normal"/>
        <w:spacing w:after="120"/>
      </w:pPr>
      <w:r>
        <w:rPr>
          <w:rFonts w:ascii="Georgia" w:cs="Georgia" w:eastAsia="Georgia" w:hAnsi="Georgia"/>
          <w:b/>
          <w:bCs/>
          <w:color w:val="0F2236"/>
          <w:sz w:val="20"/>
          <w:szCs w:val="20"/>
        </w:rPr>
        <w:t xml:space="preserve">Student level: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Visible reasoning</w:t>
            </w:r>
          </w:p>
        </w:tc>
        <w:tc>
          <w:tcPr>
            <w:tcW w:type="dxa" w:w="63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Student reasoning artifacts present in all redesigned assessments.</w:t>
            </w:r>
          </w:p>
        </w:tc>
      </w:tr>
      <w:tr>
        <w:trPr>
          <w:cantSplit/>
        </w:trPr>
        <w:tc>
          <w:tcPr>
            <w:tcW w:type="dxa" w:w="30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Agency</w:t>
            </w:r>
          </w:p>
        </w:tc>
        <w:tc>
          <w:tcPr>
            <w:tcW w:type="dxa" w:w="63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Students make deliberate AI-use decisions aligned with SAIL level, documented and discussable.</w:t>
            </w:r>
          </w:p>
        </w:tc>
      </w:tr>
      <w:tr>
        <w:trPr>
          <w:cantSplit/>
        </w:trPr>
        <w:tc>
          <w:tcPr>
            <w:tcW w:type="dxa" w:w="30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Science of Learning alignment</w:t>
            </w:r>
          </w:p>
        </w:tc>
        <w:tc>
          <w:tcPr>
            <w:tcW w:type="dxa" w:w="63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Redesigned tasks produce conditions Dehaene and Neuroteach identify as necessary: effortful retrieval, error feedback, metacognitive reflection.</w:t>
            </w:r>
          </w:p>
        </w:tc>
      </w:tr>
    </w:tbl>
    <w:p>
      <w:pPr>
        <w:spacing w:after="80"/>
      </w:pPr>
    </w:p>
    <w:p>
      <w:pPr>
        <w:pStyle w:val="Normal"/>
        <w:spacing w:after="120"/>
      </w:pPr>
      <w:r>
        <w:rPr>
          <w:rFonts w:ascii="Georgia" w:cs="Georgia" w:eastAsia="Georgia" w:hAnsi="Georgia"/>
          <w:b/>
          <w:bCs/>
          <w:color w:val="0F2236"/>
          <w:sz w:val="20"/>
          <w:szCs w:val="20"/>
        </w:rPr>
        <w:t xml:space="preserve">Institutional level: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Scalable Year 2</w:t>
            </w:r>
          </w:p>
        </w:tc>
        <w:tc>
          <w:tcPr>
            <w:tcW w:type="dxa" w:w="63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AI Task Force receives complete handoff. Year 1 teachers become mentors. Department leadership joins.</w:t>
            </w:r>
          </w:p>
        </w:tc>
      </w:tr>
      <w:tr>
        <w:trPr>
          <w:cantSplit/>
        </w:trPr>
        <w:tc>
          <w:tcPr>
            <w:tcW w:type="dxa" w:w="30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CNG Chatbot foundation</w:t>
            </w:r>
          </w:p>
        </w:tc>
        <w:tc>
          <w:tcPr>
            <w:tcW w:type="dxa" w:w="63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Design specification grounded in Year 1 student reasoning exemplars and CNG's own pedagogical frameworks.</w:t>
            </w:r>
          </w:p>
        </w:tc>
      </w:tr>
      <w:tr>
        <w:trPr>
          <w:cantSplit/>
        </w:trPr>
        <w:tc>
          <w:tcPr>
            <w:tcW w:type="dxa" w:w="300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Shared professional language</w:t>
            </w:r>
          </w:p>
        </w:tc>
        <w:tc>
          <w:tcPr>
            <w:tcW w:type="dxa" w:w="6360"/>
            <w:tcBorders>
              <w:top w:val="single" w:color="E0D8CE" w:sz="1"/>
              <w:left w:val="single" w:color="E0D8CE" w:sz="1"/>
              <w:bottom w:val="single" w:color="E0D8CE" w:sz="1"/>
              <w:right w:val="single" w:color="E0D8CE" w:sz="1"/>
            </w:tcBorders>
            <w:shd w:fill="FBF4E8"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Six department transfer sessions produce cross-disciplinary evidence of what language and frameworks travel — foundation for a CNG-wide AI pedagogy vocabulary.</w:t>
            </w:r>
          </w:p>
        </w:tc>
      </w:tr>
      <w:tr>
        <w:trPr>
          <w:cantSplit/>
        </w:trPr>
        <w:tc>
          <w:tcPr>
            <w:tcW w:type="dxa" w:w="300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b/>
                <w:bCs/>
                <w:color w:val="0F2236"/>
                <w:sz w:val="20"/>
                <w:szCs w:val="20"/>
              </w:rPr>
              <w:t xml:space="preserve">Cost</w:t>
            </w:r>
          </w:p>
        </w:tc>
        <w:tc>
          <w:tcPr>
            <w:tcW w:type="dxa" w:w="6360"/>
            <w:tcBorders>
              <w:top w:val="single" w:color="E0D8CE" w:sz="1"/>
              <w:left w:val="single" w:color="E0D8CE" w:sz="1"/>
              <w:bottom w:val="single" w:color="E0D8CE" w:sz="1"/>
              <w:right w:val="single" w:color="E0D8CE" w:sz="1"/>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$700 USD · 7–9 teacher-hours across 11 months</w:t>
            </w:r>
          </w:p>
        </w:tc>
      </w:tr>
    </w:tbl>
    <w:p>
      <w:pPr>
        <w:spacing w:after="120"/>
      </w:pPr>
    </w:p>
    <w:p>
      <w:pPr>
        <w:pBdr>
          <w:bottom w:val="single" w:color="C4861A" w:sz="3" w:space="6"/>
        </w:pBdr>
        <w:spacing w:after="0"/>
      </w:pPr>
    </w:p>
    <w:p>
      <w:pPr>
        <w:spacing w:after="100"/>
      </w:pPr>
    </w:p>
    <w:p>
      <w:pPr>
        <w:pStyle w:val="Normal"/>
        <w:spacing w:after="120"/>
      </w:pPr>
      <w:r>
        <w:rPr>
          <w:rFonts w:ascii="Georgia" w:cs="Georgia" w:eastAsia="Georgia" w:hAnsi="Georgia"/>
          <w:color w:val="1A1F2E"/>
          <w:sz w:val="20"/>
          <w:szCs w:val="20"/>
        </w:rPr>
        <w:t xml:space="preserve">Phillip Dawson argues that AI challenges us not to abandon assessment, but to rediscover its human core. This fellowship takes that challenge literally: six teachers, two cycles, one question asked of every task they redesign. The tools and protocols they produce will outlast the current generation of AI tools — because they are grounded not in AI behaviour, but in what learning has always required: dialogue, reasoning, voice, and judgment. And what good assessment has always needed to make visible.</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Georgia" w:cs="Georgia" w:eastAsia="Georgia" w:hAnsi="Georgia"/>
        <w:color w:val="8BA8B5"/>
        <w:sz w:val="16"/>
        <w:szCs w:val="16"/>
      </w:rPr>
      <w:t xml:space="preserve">Andrew Cajina  ·  High School Mathematics  ·  Colegio Nueva Granada  ·  </w:t>
    </w:r>
    <w:r>
      <w:rPr>
        <w:rFonts w:ascii="Georgia" w:cs="Georgia" w:eastAsia="Georgia" w:hAnsi="Georgia"/>
        <w:color w:val="8BA8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left w:val="none"/>
            <w:bottom w:val="single" w:color="E0D8CE" w:sz="2"/>
            <w:right w:val="none"/>
          </w:tcBorders>
        </w:tcPr>
        <w:p>
          <w:pPr>
            <w:spacing w:after="0"/>
          </w:pPr>
          <w:r>
            <w:rPr>
              <w:rFonts w:ascii="Georgia" w:cs="Georgia" w:eastAsia="Georgia" w:hAnsi="Georgia"/>
              <w:color w:val="8BA8B5"/>
              <w:sz w:val="16"/>
              <w:szCs w:val="16"/>
            </w:rPr>
            <w:t xml:space="preserve">CNG AI Innovation Fellowship 2026–2027</w:t>
          </w:r>
        </w:p>
      </w:tc>
      <w:tc>
        <w:tcPr>
          <w:tcBorders>
            <w:top w:val="none"/>
            <w:left w:val="none"/>
            <w:bottom w:val="single" w:color="E0D8CE" w:sz="2"/>
            <w:right w:val="none"/>
          </w:tcBorders>
        </w:tcPr>
        <w:p>
          <w:pPr>
            <w:spacing w:after="0"/>
            <w:jc w:val="right"/>
          </w:pPr>
          <w:r>
            <w:drawing>
              <wp:inline distT="0" distB="0" distL="0" distR="0">
                <wp:extent cx="8572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1809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76" w:lineRule="auto"/>
    </w:pPr>
    <w:rPr>
      <w:rFonts w:ascii="Georgia" w:cs="Georgia" w:eastAsia="Georgia" w:hAnsi="Georgia"/>
      <w:color w:val="1A1F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f3820fa2422e68bbeef666bf83ad17b92297ea.undefined"/><Relationship Id="rId10" Type="http://schemas.openxmlformats.org/officeDocument/2006/relationships/image" Target="media/86c2255137f983994e36dfd9f83b88a25770ef58.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6c2255137f983994e36dfd9f83b88a25770ef58.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2026-06-09T01:54:51.443Z</dcterms:created>
  <dcterms:modified xsi:type="dcterms:W3CDTF">2026-06-09T01:54:51.454Z</dcterms:modified>
</cp:coreProperties>
</file>

<file path=docProps/custom.xml><?xml version="1.0" encoding="utf-8"?>
<Properties xmlns="http://schemas.openxmlformats.org/officeDocument/2006/custom-properties" xmlns:vt="http://schemas.openxmlformats.org/officeDocument/2006/docPropsVTypes"/>
</file>