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Borders>
              <w:top w:val="none"/>
              <w:left w:val="none"/>
              <w:bottom w:val="none"/>
              <w:right w:val="none"/>
            </w:tcBorders>
            <w:vAlign w:val="center"/>
          </w:tcPr>
          <w:p>
            <w:pPr>
              <w:spacing w:after="0"/>
              <w:jc w:val="left"/>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c>
        <w:tc>
          <w:tcPr>
            <w:tcBorders>
              <w:top w:val="none"/>
              <w:left w:val="none"/>
              <w:bottom w:val="none"/>
              <w:right w:val="none"/>
            </w:tcBorders>
            <w:vAlign w:val="center"/>
          </w:tcPr>
          <w:p>
            <w:pPr>
              <w:spacing w:after="0"/>
              <w:jc w:val="center"/>
            </w:pPr>
            <w:r>
              <w:rPr>
                <w:rFonts w:ascii="Georgia" w:cs="Georgia" w:eastAsia="Georgia" w:hAnsi="Georgia"/>
                <w:sz w:val="10"/>
                <w:szCs w:val="10"/>
              </w:rPr>
              <w:t xml:space="preserve"/>
            </w:r>
          </w:p>
        </w:tc>
        <w:tc>
          <w:tcPr>
            <w:tcBorders>
              <w:top w:val="none"/>
              <w:left w:val="none"/>
              <w:bottom w:val="none"/>
              <w:right w:val="none"/>
            </w:tcBorders>
            <w:vAlign w:val="center"/>
          </w:tcPr>
          <w:p>
            <w:pPr>
              <w:spacing w:after="0"/>
              <w:jc w:val="right"/>
            </w:pPr>
            <w:r>
              <w:drawing>
                <wp:inline distT="0" distB="0" distL="0" distR="0">
                  <wp:extent cx="10477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19075"/>
                          </a:xfrm>
                          <a:prstGeom prst="rect">
                            <a:avLst/>
                          </a:prstGeom>
                        </pic:spPr>
                      </pic:pic>
                    </a:graphicData>
                  </a:graphic>
                </wp:inline>
              </w:drawing>
            </w:r>
          </w:p>
        </w:tc>
      </w:tr>
    </w:tbl>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720"/>
              <w:left w:type="dxa" w:w="600"/>
              <w:bottom w:type="dxa" w:w="720"/>
              <w:right w:type="dxa" w:w="600"/>
            </w:tcMar>
          </w:tcPr>
          <w:p>
            <w:pPr>
              <w:spacing w:after="200"/>
              <w:jc w:val="center"/>
            </w:pPr>
            <w:r>
              <w:rPr>
                <w:rFonts w:ascii="Arial" w:cs="Arial" w:eastAsia="Arial" w:hAnsi="Arial"/>
                <w:b/>
                <w:bCs/>
                <w:caps/>
                <w:color w:val="C9952A"/>
                <w:sz w:val="20"/>
                <w:szCs w:val="20"/>
              </w:rPr>
              <w:t xml:space="preserve">CNG AI INNOVATION FELLOWSHIP  ·  2026–2027</w:t>
            </w:r>
          </w:p>
          <w:p>
            <w:pPr>
              <w:spacing w:after="120"/>
              <w:jc w:val="center"/>
            </w:pPr>
            <w:r>
              <w:rPr>
                <w:rFonts w:ascii="Arial" w:cs="Arial" w:eastAsia="Arial" w:hAnsi="Arial"/>
                <w:b/>
                <w:bCs/>
                <w:color w:val="FFFFFF"/>
                <w:sz w:val="38"/>
                <w:szCs w:val="38"/>
              </w:rPr>
              <w:t xml:space="preserve">Designing Human-Centered Learning</w:t>
            </w:r>
          </w:p>
          <w:p>
            <w:pPr>
              <w:spacing w:after="120"/>
              <w:jc w:val="center"/>
            </w:pPr>
            <w:r>
              <w:rPr>
                <w:rFonts w:ascii="Arial" w:cs="Arial" w:eastAsia="Arial" w:hAnsi="Arial"/>
                <w:b/>
                <w:bCs/>
                <w:color w:val="FFFFFF"/>
                <w:sz w:val="34"/>
                <w:szCs w:val="34"/>
              </w:rPr>
              <w:t xml:space="preserve">in AI-Rich Classrooms</w:t>
            </w:r>
          </w:p>
          <w:p>
            <w:pPr>
              <w:spacing w:after="360"/>
              <w:jc w:val="center"/>
            </w:pPr>
            <w:r>
              <w:rPr>
                <w:rFonts w:ascii="Arial" w:cs="Arial" w:eastAsia="Arial" w:hAnsi="Arial"/>
                <w:i/>
                <w:iCs/>
                <w:color w:val="C5DCE4"/>
                <w:sz w:val="22"/>
                <w:szCs w:val="22"/>
              </w:rPr>
              <w:t xml:space="preserve">Orchestrating Agency, Judgment, and Interpretable Evidence of Learning</w:t>
            </w:r>
          </w:p>
          <w:p>
            <w:pPr>
              <w:spacing w:after="100"/>
              <w:jc w:val="center"/>
            </w:pPr>
            <w:r>
              <w:rPr>
                <w:rFonts w:ascii="Arial" w:cs="Arial" w:eastAsia="Arial" w:hAnsi="Arial"/>
                <w:b/>
                <w:bCs/>
                <w:color w:val="C9952A"/>
                <w:sz w:val="30"/>
                <w:szCs w:val="30"/>
              </w:rPr>
              <w:t xml:space="preserve">Andrew Cajina</w:t>
            </w:r>
          </w:p>
          <w:p>
            <w:pPr>
              <w:spacing w:after="80"/>
              <w:jc w:val="center"/>
            </w:pPr>
            <w:r>
              <w:rPr>
                <w:rFonts w:ascii="Arial" w:cs="Arial" w:eastAsia="Arial" w:hAnsi="Arial"/>
                <w:i/>
                <w:iCs/>
                <w:color w:val="C5DCE4"/>
                <w:sz w:val="19"/>
                <w:szCs w:val="19"/>
              </w:rPr>
              <w:t xml:space="preserve">Graduate Diploma, Generative AI and Educational Innovation  ·  University of Calgary</w:t>
            </w:r>
          </w:p>
          <w:p>
            <w:pPr>
              <w:spacing w:after="120"/>
              <w:jc w:val="center"/>
            </w:pPr>
            <w:r>
              <w:rPr>
                <w:rFonts w:ascii="Arial" w:cs="Arial" w:eastAsia="Arial" w:hAnsi="Arial"/>
                <w:i/>
                <w:iCs/>
                <w:color w:val="C5DCE4"/>
                <w:sz w:val="19"/>
                <w:szCs w:val="19"/>
              </w:rPr>
              <w:t xml:space="preserve">BSc Sciences/Mathematics  ·  BEd Secondary Education  ·  University of Alberta, Campus Saint-Jean</w:t>
            </w:r>
          </w:p>
          <w:p>
            <w:pPr>
              <w:spacing w:after="80"/>
              <w:jc w:val="center"/>
            </w:pPr>
            <w:r>
              <w:rPr>
                <w:rFonts w:ascii="Arial" w:cs="Arial" w:eastAsia="Arial" w:hAnsi="Arial"/>
                <w:color w:val="FFFFFF"/>
                <w:sz w:val="20"/>
                <w:szCs w:val="20"/>
              </w:rPr>
              <w:t xml:space="preserve">High School Mathematics Teacher</w:t>
            </w:r>
          </w:p>
          <w:p>
            <w:pPr>
              <w:spacing w:after="40"/>
              <w:jc w:val="center"/>
            </w:pPr>
            <w:r>
              <w:rPr>
                <w:rFonts w:ascii="Arial" w:cs="Arial" w:eastAsia="Arial" w:hAnsi="Arial"/>
                <w:color w:val="FFFFFF"/>
                <w:sz w:val="22"/>
                <w:szCs w:val="22"/>
              </w:rPr>
              <w:t xml:space="preserve">Colegio Nueva Granada  ·  Bogotá, Colombia</w:t>
            </w:r>
          </w:p>
          <w:p>
            <w:pPr>
              <w:spacing w:after="0"/>
              <w:jc w:val="center"/>
            </w:pPr>
            <w:r>
              <w:rPr>
                <w:rFonts w:ascii="Arial" w:cs="Arial" w:eastAsia="Arial" w:hAnsi="Arial"/>
                <w:i/>
                <w:iCs/>
                <w:color w:val="C5DCE4"/>
                <w:sz w:val="20"/>
                <w:szCs w:val="20"/>
              </w:rPr>
              <w:t xml:space="preserve">Fellowship Proposal  ·  Academic Year 2026–2027</w:t>
            </w:r>
          </w:p>
        </w:tc>
      </w:tr>
    </w:tbl>
    <w:p>
      <w:pPr>
        <w:keepNext/>
        <w:spacing w:after="600"/>
      </w:pPr>
      <w:r>
        <w:rPr>
          <w:rFonts w:ascii="Georgia" w:cs="Georgia" w:eastAsia="Georgia" w:hAnsi="Georgia"/>
          <w:sz w:val="24"/>
          <w:szCs w:val="24"/>
        </w:rPr>
        <w:t xml:space="preserve"/>
      </w:r>
    </w:p>
    <w:p>
      <w:pPr>
        <w:spacing w:after="80"/>
        <w:jc w:val="center"/>
      </w:pPr>
      <w:r>
        <w:rPr>
          <w:rFonts w:ascii="Georgia" w:cs="Georgia" w:eastAsia="Georgia" w:hAnsi="Georgia"/>
          <w:i/>
          <w:iCs/>
          <w:sz w:val="24"/>
          <w:szCs w:val="24"/>
        </w:rPr>
        <w:t xml:space="preserve">Submitted in response to the CNG AI Innovation Fellowship Call, 2026–2027</w:t>
      </w:r>
    </w:p>
    <w:p>
      <w:pPr>
        <w:spacing w:after="480"/>
        <w:jc w:val="center"/>
      </w:pPr>
      <w:r>
        <w:rPr>
          <w:rFonts w:ascii="Georgia" w:cs="Georgia" w:eastAsia="Georgia" w:hAnsi="Georgia"/>
          <w:i/>
          <w:iCs/>
          <w:sz w:val="24"/>
          <w:szCs w:val="24"/>
        </w:rPr>
        <w:t xml:space="preserve">Colegio Nueva Granada AI Core Team  ·  Proposed by Mr. Andrew Cajina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Fellowship Thesis</w:t>
            </w:r>
          </w:p>
          <w:p>
            <w:pPr>
              <w:spacing w:after="0"/>
            </w:pPr>
            <w:r>
              <w:rPr>
                <w:rFonts w:ascii="Georgia" w:cs="Georgia" w:eastAsia="Georgia" w:hAnsi="Georgia"/>
                <w:sz w:val="24"/>
                <w:szCs w:val="24"/>
              </w:rPr>
              <w:t xml:space="preserve">In an AI-rich world, the central challenge of assessment is no longer evaluating what students produce, but interpreting evidence of how they think. The fellowship is organized around one design question: If AI completed this task perfectly, what learning would disappear? Everything else follows from that question.</w:t>
            </w:r>
          </w:p>
        </w:tc>
      </w:tr>
    </w:tbl>
    <w:p>
      <w:pPr>
        <w:spacing w:after="0"/>
      </w:pPr>
      <w:r>
        <w:br/>
      </w:r>
    </w:p>
    <w:p>
      <w:pPr>
        <w:keepNext/>
        <w:spacing w:after="240" w:before="0"/>
        <w:jc w:val="center"/>
      </w:pPr>
      <w:r>
        <w:rPr>
          <w:rFonts w:ascii="Arial" w:cs="Arial" w:eastAsia="Arial" w:hAnsi="Arial"/>
          <w:b/>
          <w:bCs/>
          <w:color w:val="1B3A5C"/>
          <w:sz w:val="28"/>
          <w:szCs w:val="28"/>
        </w:rPr>
        <w:t xml:space="preserve">Table of Contents</w:t>
      </w:r>
    </w:p>
    <w:p>
      <w:pPr>
        <w:keepNext/>
        <w:spacing w:after="320" w:before="0"/>
        <w:jc w:val="center"/>
      </w:pPr>
      <w:r>
        <w:rPr>
          <w:rFonts w:ascii="Arial" w:cs="Arial" w:eastAsia="Arial" w:hAnsi="Arial"/>
          <w:i/>
          <w:iCs/>
          <w:color w:val="2E7D8C"/>
          <w:sz w:val="18"/>
          <w:szCs w:val="18"/>
        </w:rPr>
        <w:t xml:space="preserve">Open in Word → right-click → Update Field to populate page numbers.</w:t>
      </w:r>
    </w:p>
    <w:p>
      <w:pPr>
        <w:keepLines/>
        <w:tabs>
          <w:tab w:val="right" w:pos="9720" w:leader="dot"/>
        </w:tabs>
        <w:spacing w:after="120"/>
      </w:pPr>
      <w:r>
        <w:rPr>
          <w:rFonts w:ascii="Georgia" w:cs="Georgia" w:eastAsia="Georgia" w:hAnsi="Georgia"/>
          <w:b/>
          <w:bCs/>
          <w:color w:val="1B3A5C"/>
          <w:sz w:val="24"/>
          <w:szCs w:val="24"/>
        </w:rPr>
        <w:t xml:space="preserve">1.  Executive Summary</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2.1–2.6  Problem of Practice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2.  Why This Fellowship Exists / Problem of Practice</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3.  Theoretical Framework</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3.1  Fellowship Logic Chain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3.2  HCAP — The Orienting Philosophy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3.3  Core Constructs</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3.4  Teacher Knowledge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3.5  Mr. Cajina’s Role: Year 1 Facilitation</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4.  Research Base</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4.1  Assessment Design and Validity</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4.2  Mind, Brain, and Education: Science of Learning Foundation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4.3  Validity Argument and Measurement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4.4  Disciplinary Sciences of Teaching and I-CK Development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4.5  Extended TPACK Framework</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4.6  CNG Pilot Evidence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5.  Fellowship Design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5.1  Structure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5.2  Year 1 Participant Profile — High School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5.3  Detailed Logistics and Check-In Schedule</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5.4  Decision Rules for Visible Reasoning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5.5  Accessibility First: UDL and Multiple Ways of Knowing</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5.6  Teacher-Friendly Language</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6.  CNG Tool Ecosystem</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7.  Cognitive Agency Knowledge Hub</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8.  Departmental PLC and Curriculum Integration</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8.1  Why Departments Are the Right Unit</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8.2  Department Cognitive Agency PLC Protocol</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8.3  Curriculum Review Integration</w:t>
      </w:r>
      <w:r>
        <w:rPr>
          <w:rFonts w:ascii="Georgia" w:cs="Georgia" w:eastAsia="Georgia" w:hAnsi="Georgia"/>
          <w:sz w:val="22"/>
          <w:szCs w:val="22"/>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8.4  emerging shared language: Shared Language Across Disciplines</w:t>
      </w:r>
      <w:r>
        <w:rPr>
          <w:rFonts w:ascii="Georgia" w:cs="Georgia" w:eastAsia="Georgia" w:hAnsi="Georgia"/>
          <w:sz w:val="22"/>
          <w:szCs w:val="22"/>
        </w:rPr>
        <w:t xml:space="preserve">	</w:t>
      </w:r>
    </w:p>
    <w:p>
      <w:pPr>
        <w:keepLines/>
        <w:tabs>
          <w:tab w:val="right" w:pos="9720" w:leader="dot"/>
        </w:tabs>
        <w:spacing w:after="120"/>
      </w:pPr>
      <w:r>
        <w:rPr>
          <w:rFonts w:ascii="Georgia" w:cs="Georgia" w:eastAsia="Georgia" w:hAnsi="Georgia"/>
          <w:b/>
          <w:bCs/>
          <w:color w:val="1B3A5C"/>
          <w:sz w:val="24"/>
          <w:szCs w:val="24"/>
        </w:rPr>
        <w:t xml:space="preserve">9.  Deliverables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10.  Evaluation and Research Design</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11.  Sustainability and Institutional Rollout</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12.  Direct Alignment with CNG School Priorities</w:t>
      </w:r>
      <w:r>
        <w:rPr>
          <w:rFonts w:ascii="Georgia" w:cs="Georgia" w:eastAsia="Georgia" w:hAnsi="Georgia"/>
          <w:sz w:val="24"/>
          <w:szCs w:val="24"/>
        </w:rPr>
        <w:t xml:space="preserve">	</w:t>
      </w:r>
    </w:p>
    <w:p>
      <w:pPr>
        <w:keepLines/>
        <w:tabs>
          <w:tab w:val="right" w:pos="9720" w:leader="dot"/>
        </w:tabs>
        <w:spacing w:after="120"/>
      </w:pPr>
      <w:r>
        <w:rPr>
          <w:rFonts w:ascii="Georgia" w:cs="Georgia" w:eastAsia="Georgia" w:hAnsi="Georgia"/>
          <w:b/>
          <w:bCs/>
          <w:color w:val="1B3A5C"/>
          <w:sz w:val="24"/>
          <w:szCs w:val="24"/>
        </w:rPr>
        <w:t xml:space="preserve">13.  References</w:t>
      </w:r>
      <w:r>
        <w:rPr>
          <w:rFonts w:ascii="Georgia" w:cs="Georgia" w:eastAsia="Georgia" w:hAnsi="Georgia"/>
          <w:sz w:val="24"/>
          <w:szCs w:val="24"/>
        </w:rPr>
        <w:t xml:space="preserve">	</w:t>
      </w:r>
    </w:p>
    <w:p>
      <w:pPr>
        <w:keepLines/>
        <w:tabs>
          <w:tab w:val="right" w:pos="9720" w:leader="none"/>
        </w:tabs>
        <w:spacing w:after="60"/>
      </w:pPr>
      <w:r>
        <w:rPr>
          <w:rFonts w:ascii="Georgia" w:cs="Georgia" w:eastAsia="Georgia" w:hAnsi="Georgia"/>
          <w:b w:val="false"/>
          <w:bCs w:val="false"/>
          <w:color w:val="444444"/>
          <w:sz w:val="22"/>
          <w:szCs w:val="22"/>
        </w:rPr>
        <w:t xml:space="preserve">      Appendices A–H</w:t>
      </w:r>
      <w:r>
        <w:rPr>
          <w:rFonts w:ascii="Georgia" w:cs="Georgia" w:eastAsia="Georgia" w:hAnsi="Georgi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none" w:color="FFFFFF" w:sz="0"/>
              <w:bottom w:val="none" w:color="FFFFFF" w:sz="0"/>
              <w:right w:val="none" w:color="FFFFFF" w:sz="0"/>
            </w:tcBorders>
            <w:shd w:fill="F0F4F8" w:val="clear"/>
            <w:tcMar>
              <w:top w:type="dxa" w:w="160"/>
              <w:left w:type="dxa" w:w="300"/>
              <w:bottom w:type="dxa" w:w="160"/>
              <w:right w:type="dxa" w:w="300"/>
            </w:tcMar>
          </w:tcPr>
          <w:p>
            <w:pPr>
              <w:spacing w:after="100"/>
            </w:pPr>
            <w:r>
              <w:rPr>
                <w:rFonts w:ascii="Georgia" w:cs="Georgia" w:eastAsia="Georgia" w:hAnsi="Georgia"/>
                <w:i/>
                <w:iCs/>
                <w:color w:val="1B3A5C"/>
                <w:sz w:val="22"/>
                <w:szCs w:val="22"/>
              </w:rPr>
              <w:t xml:space="preserve">“Artificial intelligence challenges us not to abandon assessment, but to rediscover its human core—dialogue, reasoning, and voice.”</w:t>
            </w:r>
          </w:p>
          <w:p>
            <w:pPr>
              <w:spacing w:after="0"/>
            </w:pPr>
            <w:r>
              <w:rPr>
                <w:rFonts w:ascii="Georgia" w:cs="Georgia" w:eastAsia="Georgia" w:hAnsi="Georgia"/>
                <w:color w:val="C5DCE4"/>
                <w:sz w:val="18"/>
                <w:szCs w:val="18"/>
              </w:rPr>
              <w:t xml:space="preserve">— Phillip Dawson, Defending Assessment in the Age of Artificial Intelligence (2021)</w:t>
            </w:r>
          </w:p>
        </w:tc>
      </w:tr>
    </w:tbl>
    <w:p>
      <w:pPr>
        <w:keepNext/>
        <w:spacing w:after="1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A Fellowship, Not a Research Project</w:t>
            </w:r>
          </w:p>
          <w:p>
            <w:pPr>
              <w:spacing w:after="0"/>
            </w:pPr>
            <w:r>
              <w:rPr>
                <w:rFonts w:ascii="Georgia" w:cs="Georgia" w:eastAsia="Georgia" w:hAnsi="Georgia"/>
                <w:sz w:val="24"/>
                <w:szCs w:val="24"/>
              </w:rPr>
              <w:t xml:space="preserve">This is a professional learning fellowship that develops teacher capacity to design assessments generating interpretable evidence of student learning in AI-rich classrooms. Teachers redesign their own assessments, enact them, collect student reasoning evidence, and reflect through two structured cycles. Practitioner inquiry is the methodology that guides this work — teachers investigate their own practice rather than implementing a predetermined solution — but the center of gravity is teacher capacity, assessment redesign, AI-TPACK development, and CNG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VISTA: Visibility Into Student Thinking and Agency</w:t>
            </w:r>
          </w:p>
          <w:p>
            <w:pPr>
              <w:spacing w:after="0"/>
            </w:pPr>
            <w:r>
              <w:rPr>
                <w:rFonts w:ascii="Georgia" w:cs="Georgia" w:eastAsia="Georgia" w:hAnsi="Georgia"/>
                <w:sz w:val="24"/>
                <w:szCs w:val="24"/>
              </w:rPr>
              <w:t xml:space="preserve">Phillip Dawson argues that AI challenges educators not to abandon assessment, but to rediscover its human core — dialogue, reasoning, voice, and judgment. VISTA operationalises that challenge directly: making those four dimensions visible in every redesigned assessment, so that what teachers evaluate is genuine thinking rather than polished products. VISTA (Visibility Into Student Thinking and Agency) is the protocol framework at the center of this fellowship.</w:t>
            </w:r>
          </w:p>
        </w:tc>
      </w:tr>
    </w:tbl>
    <w:p>
      <w:pPr>
        <w:keepLines/>
        <w:spacing w:after="160" w:line="280"/>
      </w:pPr>
      <w:r>
        <w:rPr>
          <w:rFonts w:ascii="Georgia" w:cs="Georgia" w:eastAsia="Georgia" w:hAnsi="Georgia"/>
          <w:sz w:val="24"/>
          <w:szCs w:val="24"/>
        </w:rPr>
        <w:t xml:space="preserve">This proposal is submitted in response to the 2026–2027 CNG AI Innovation Fellowship call. It addresses one of the most consequential pedagogical problems facing CNG teachers: generative AI has made polished academic performance dramatically more accessible, but assessment designs were built for a world where polished performance required corresponding cognitive effort.</w:t>
      </w:r>
    </w:p>
    <w:p>
      <w:pPr>
        <w:keepLines/>
        <w:spacing w:after="160" w:line="280"/>
      </w:pPr>
      <w:r>
        <w:rPr>
          <w:rFonts w:ascii="Georgia" w:cs="Georgia" w:eastAsia="Georgia" w:hAnsi="Georgia"/>
          <w:sz w:val="24"/>
          <w:szCs w:val="24"/>
        </w:rPr>
        <w:t xml:space="preserve">The fellowship is organized around a single design question: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That question reorients assessment from evaluating outputs to generating interpretable evidence of thinking — and it is a question every teacher can ask of every task, in every discipline, on any day of the year.</w:t>
      </w:r>
    </w:p>
    <w:p>
      <w:pPr>
        <w:keepLines/>
        <w:spacing w:after="160" w:line="280"/>
      </w:pPr>
      <w:r>
        <w:rPr>
          <w:rFonts w:ascii="Georgia" w:cs="Georgia" w:eastAsia="Georgia" w:hAnsi="Georgia"/>
          <w:sz w:val="24"/>
          <w:szCs w:val="24"/>
        </w:rPr>
        <w:t xml:space="preserve">Across classroom pilots at CNG — Systems Under Pressure (Algebra 2) and Statistical Conspiracy (Accelerated Geometry) — reasoning artifacts revealed forms of learning that would otherwise have remained completely invisible. Teachers could see what students actually understood, where understanding changed, where AI changed their thinking, where students accepted AI suggestions and where they rejected them, and why. They could see moments of epistemic vigilance and moments of superficial AI use side by side. They could see not only verbal reasoning but the traces of creation, embodied thinking, and tacit disciplinary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The Most Important Finding</w:t>
            </w:r>
          </w:p>
          <w:p>
            <w:pPr>
              <w:spacing w:after="0"/>
            </w:pPr>
            <w:r>
              <w:rPr>
                <w:rFonts w:ascii="Georgia" w:cs="Georgia" w:eastAsia="Georgia" w:hAnsi="Georgia"/>
                <w:sz w:val="24"/>
                <w:szCs w:val="24"/>
              </w:rPr>
              <w:t xml:space="preserve">The strongest evidence of learning often appeared not in the final product, but in the student’s explanation of how and why their thinking changed. That insight drives the design of every protocol in this fellowship.</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fellowship is not ultimately about AI. AI is the pressure that makes an existing assessment design problem visible. The lasting contribution is a framework for designing assessments that generate </w:t>
      </w:r>
      <w:r>
        <w:rPr>
          <w:rFonts w:ascii="Georgia" w:cs="Georgia" w:eastAsia="Georgia" w:hAnsi="Georgia"/>
          <w:b/>
          <w:bCs/>
          <w:sz w:val="24"/>
          <w:szCs w:val="24"/>
        </w:rPr>
        <w:t xml:space="preserve">interpretable evidence of learning</w:t>
      </w:r>
      <w:r>
        <w:rPr>
          <w:rFonts w:ascii="Georgia" w:cs="Georgia" w:eastAsia="Georgia" w:hAnsi="Georgia"/>
          <w:sz w:val="24"/>
          <w:szCs w:val="24"/>
        </w:rPr>
        <w:t xml:space="preserve"> — evidence that will remain relevant as AI tools change, grounded in disciplinary thinking rather than in tool behavior.</w:t>
      </w:r>
    </w:p>
    <w:p>
      <w:pPr>
        <w:keepLines/>
        <w:spacing w:after="160" w:line="280"/>
      </w:pPr>
      <w:r>
        <w:rPr>
          <w:rFonts w:ascii="Georgia" w:cs="Georgia" w:eastAsia="Georgia" w:hAnsi="Georgia"/>
          <w:sz w:val="24"/>
          <w:szCs w:val="24"/>
        </w:rPr>
        <w:t xml:space="preserve">Long-term sustainability rests on </w:t>
      </w:r>
      <w:r>
        <w:rPr>
          <w:rFonts w:ascii="Georgia" w:cs="Georgia" w:eastAsia="Georgia" w:hAnsi="Georgia"/>
          <w:b/>
          <w:bCs/>
          <w:sz w:val="24"/>
          <w:szCs w:val="24"/>
        </w:rPr>
        <w:t xml:space="preserve">departmental PLC structures</w:t>
      </w:r>
      <w:r>
        <w:rPr>
          <w:rFonts w:ascii="Georgia" w:cs="Georgia" w:eastAsia="Georgia" w:hAnsi="Georgia"/>
          <w:sz w:val="24"/>
          <w:szCs w:val="24"/>
        </w:rPr>
        <w:t xml:space="preserve"> that already share Content Knowledge, Pedagogical Knowledge, and Pedagogical Content Knowledge. The fellowship targets the domains most affected by AI: AI-TPACK, Ethical TPACK, Contextual Knowledge (XK), and HAIC-K — building those capacities iteratively and embedding the resulting routines into existing departmental structures where they can persist regardless of individual participation (Fullan, 2016; DuFour &amp; Eaker, 1998; Coburn, 2003; Bryk et al., 2015).</w:t>
      </w:r>
    </w:p>
    <w:p>
      <w:pPr>
        <w:keepLines/>
        <w:spacing w:after="160" w:line="280"/>
      </w:pPr>
      <w:r>
        <w:rPr>
          <w:rFonts w:ascii="Georgia" w:cs="Georgia" w:eastAsia="Georgia" w:hAnsi="Georgia"/>
          <w:sz w:val="24"/>
          <w:szCs w:val="24"/>
        </w:rPr>
        <w:t xml:space="preserve">In Year 1, Mr. Andrew Cajina — CNG High School Mathematics teacher — leads facilitation and feedback. 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that role, distributing capacity institutionally.</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Element</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Description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Title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Designing Human-Centered Learning in AI-Rich Classrooms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Subtitle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Orchestrating Agency, Judgment, and Interpretable Evidence of Learning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Scope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6 High School teachers; design→enact→revise iteration cycle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Central Question</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If AI completed this task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Core Mechanism</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Assessment audit + visible reasoning + iteration with feedback</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Theoretical Frame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HCAP → AI-TPACK → Ethical TPACK → XK → HAIC-K → Assessment Design → Agency</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Long-term Unit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Departmental PLCs — not individual teachers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Scaling</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 HS pilot → Year 2: expanded pilot, all divisions → Year 3: LC/Makerspace → Year 4: institutional integration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CNG Alignment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Vision, Mission, Core Values, Innovation Learning Initiative, SAIL, SRP</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The Fellowship at a Glance: What Happens</w:t>
      </w:r>
    </w:p>
    <w:p>
      <w:pPr>
        <w:keepLines/>
        <w:spacing w:after="160" w:line="280"/>
      </w:pPr>
      <w:r>
        <w:rPr>
          <w:rFonts w:ascii="Georgia" w:cs="Georgia" w:eastAsia="Georgia" w:hAnsi="Georgia"/>
          <w:sz w:val="24"/>
          <w:szCs w:val="24"/>
        </w:rPr>
        <w:t xml:space="preserve">Before the theoretical grounding and detailed design, here is what Year 1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Moment</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Happens</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August — Launch</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Full cohort session (60 min). Cajina models VISTA live on his own assessment. Each pair identifies their assessment.</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Sep–Nov — Cycle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completes their initial VISTA audit. Cajina reviews before enactment. Co-planning session: Cajina on AI-TPACK, teacher on content and pedagogy. Co-teaching or co-observation where appropriate. Student reasoning artifacts collected.</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November — PLC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Pairs share what the artifacts revealed. Each teacher names one redesign priority for Cycle 2.</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February — VSR 1</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reviews a short classroom clip with Cajina. What did I think would happen here, and what actually happened? The gap between intention and enactment is the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Feb–Apr — Cycle 2</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teaches independently. Cajina responds on request. VSR Session 2 is peer-facilitated by the pair partner, with Cajina present as a silent moderator.</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May–June — Transfer</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Each teacher brings their two-cycle arc to their own department — iteration records, VISTA artifacts, student reasoning evidence. Cajina documents what transfers.</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Two Things to Keep in Mind</w:t>
            </w:r>
          </w:p>
          <w:p>
            <w:pPr>
              <w:spacing w:after="0"/>
            </w:pPr>
            <w:r>
              <w:rPr>
                <w:rFonts w:ascii="Georgia" w:cs="Georgia" w:eastAsia="Georgia" w:hAnsi="Georgia"/>
                <w:sz w:val="24"/>
                <w:szCs w:val="24"/>
              </w:rPr>
              <w:t xml:space="preserve">Teachers lead content and pedagogy throughout. Cajina contributes AI-specific design knowledge. And VISTA audits one assessment each teacher already uses — the work is refinement of existing practice, not addition to it.</w:t>
            </w:r>
          </w:p>
        </w:tc>
      </w:tr>
    </w:tbl>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2. Why This Fellowship Exists: What Became Visible</w:t>
      </w:r>
    </w:p>
    <w:p>
      <w:pPr>
        <w:keepLines/>
        <w:spacing w:after="160" w:line="280"/>
      </w:pPr>
      <w:r>
        <w:rPr>
          <w:rFonts w:ascii="Georgia" w:cs="Georgia" w:eastAsia="Georgia" w:hAnsi="Georgia"/>
          <w:sz w:val="24"/>
          <w:szCs w:val="24"/>
        </w:rPr>
        <w:t xml:space="preserve">This fellowship grew directly from classroom observations at CNG. Before the fellowship existed as a concept, two AI-rich mathematics projects surfaced a pattern that demanded a more systematic response: when students were given structured opportunities to make their reasoning visible, teachers learned things about student understanding that would have remained entirely hidden through traditional assessment alone.</w:t>
      </w:r>
    </w:p>
    <w:p>
      <w:pPr>
        <w:keepLines/>
        <w:spacing w:after="160" w:line="280"/>
      </w:pPr>
      <w:r>
        <w:rPr>
          <w:rFonts w:ascii="Georgia" w:cs="Georgia" w:eastAsia="Georgia" w:hAnsi="Georgia"/>
          <w:sz w:val="24"/>
          <w:szCs w:val="24"/>
        </w:rPr>
        <w:t xml:space="preserve">In a statistics investigation, students used histograms, box plots, and measures of center to intentionally construct </w:t>
      </w:r>
      <w:r>
        <w:rPr>
          <w:rFonts w:ascii="Georgia" w:cs="Georgia" w:eastAsia="Georgia" w:hAnsi="Georgia"/>
          <w:b/>
          <w:bCs/>
          <w:sz w:val="24"/>
          <w:szCs w:val="24"/>
        </w:rPr>
        <w:t xml:space="preserve">competing claims from the same dataset</w:t>
      </w:r>
      <w:r>
        <w:rPr>
          <w:rFonts w:ascii="Georgia" w:cs="Georgia" w:eastAsia="Georgia" w:hAnsi="Georgia"/>
          <w:sz w:val="24"/>
          <w:szCs w:val="24"/>
        </w:rPr>
        <w:t xml:space="preserve">. Rather than simply learning statistical procedures, students began asking questions that mathematics class had not previously made space for: Who collected this data? What story is being told? What story is being hidden? How can mathematically accurate representations still be misleading? One student reflected that they would </w:t>
      </w:r>
      <w:r>
        <w:rPr>
          <w:rFonts w:ascii="Georgia" w:cs="Georgia" w:eastAsia="Georgia" w:hAnsi="Georgia"/>
          <w:i/>
          <w:iCs/>
          <w:sz w:val="24"/>
          <w:szCs w:val="24"/>
        </w:rPr>
        <w:t xml:space="preserve">never look at graphs the same way again</w:t>
      </w:r>
      <w:r>
        <w:rPr>
          <w:rFonts w:ascii="Georgia" w:cs="Georgia" w:eastAsia="Georgia" w:hAnsi="Georgia"/>
          <w:sz w:val="24"/>
          <w:szCs w:val="24"/>
        </w:rPr>
        <w:t xml:space="preserve">. They were not consuming information. They were evaluating how information is created and used.</w:t>
      </w:r>
    </w:p>
    <w:p>
      <w:pPr>
        <w:keepLines/>
        <w:spacing w:after="160" w:line="280"/>
      </w:pPr>
      <w:r>
        <w:rPr>
          <w:rFonts w:ascii="Georgia" w:cs="Georgia" w:eastAsia="Georgia" w:hAnsi="Georgia"/>
          <w:sz w:val="24"/>
          <w:szCs w:val="24"/>
        </w:rPr>
        <w:t xml:space="preserve">AI played an unexpected role. Students had access to Flint, Gemini, ChatGPT, and NotebookLM. A consistent pattern emerged: </w:t>
      </w:r>
      <w:r>
        <w:rPr>
          <w:rFonts w:ascii="Georgia" w:cs="Georgia" w:eastAsia="Georgia" w:hAnsi="Georgia"/>
          <w:b/>
          <w:bCs/>
          <w:sz w:val="24"/>
          <w:szCs w:val="24"/>
        </w:rPr>
        <w:t xml:space="preserve">many students chose Flint over more powerful generative systems</w:t>
      </w:r>
      <w:r>
        <w:rPr>
          <w:rFonts w:ascii="Georgia" w:cs="Georgia" w:eastAsia="Georgia" w:hAnsi="Georgia"/>
          <w:sz w:val="24"/>
          <w:szCs w:val="24"/>
        </w:rPr>
        <w:t xml:space="preserve"> — and their reason was consistent: Flint pushed them to think rather than simply providing answers.</w:t>
      </w:r>
    </w:p>
    <w:p>
      <w:pPr>
        <w:keepLines/>
        <w:spacing w:after="160" w:line="280"/>
      </w:pPr>
      <w:r>
        <w:rPr>
          <w:rFonts w:ascii="Georgia" w:cs="Georgia" w:eastAsia="Georgia" w:hAnsi="Georgia"/>
          <w:sz w:val="24"/>
          <w:szCs w:val="24"/>
        </w:rPr>
        <w:t xml:space="preserve">This observation cannot be explained by Flint’s features alone. What it has is a pedagogical stance: it asks students to go further, justify more, think again. Students chose that stance over efficiency. That kind of choice requires a classroom culture in which deeper thinking has been established as genuinely valuable — where the relationship between students and teacher, and between students and the work itself, has created conditions in which intellectual challenge is worth choosing. Students also shared what they were doing with their teacher and with each other. That sharing was relational: the work mattered partly because the relationships around it made it matter.</w:t>
      </w:r>
    </w:p>
    <w:p>
      <w:pPr>
        <w:keepLines/>
        <w:spacing w:after="160" w:line="280"/>
      </w:pPr>
      <w:r>
        <w:rPr>
          <w:rFonts w:ascii="Georgia" w:cs="Georgia" w:eastAsia="Georgia" w:hAnsi="Georgia"/>
          <w:sz w:val="24"/>
          <w:szCs w:val="24"/>
        </w:rPr>
        <w:t xml:space="preserve">This is a finding about </w:t>
      </w:r>
      <w:r>
        <w:rPr>
          <w:rFonts w:ascii="Georgia" w:cs="Georgia" w:eastAsia="Georgia" w:hAnsi="Georgia"/>
          <w:b/>
          <w:bCs/>
          <w:sz w:val="24"/>
          <w:szCs w:val="24"/>
        </w:rPr>
        <w:t xml:space="preserve">trust, relationship, and the conditions under which student agency is exercised toward learning</w:t>
      </w:r>
      <w:r>
        <w:rPr>
          <w:rFonts w:ascii="Georgia" w:cs="Georgia" w:eastAsia="Georgia" w:hAnsi="Georgia"/>
          <w:sz w:val="24"/>
          <w:szCs w:val="24"/>
        </w:rPr>
        <w:t xml:space="preserve"> rather than away from it. The design implications are not primarily about tool selection. They are about what a classroom must be before tool choice becomes an expression of student agency.</w:t>
      </w:r>
    </w:p>
    <w:p>
      <w:pPr>
        <w:keepLines/>
        <w:spacing w:after="160" w:line="280"/>
      </w:pPr>
      <w:r>
        <w:rPr>
          <w:rFonts w:ascii="Georgia" w:cs="Georgia" w:eastAsia="Georgia" w:hAnsi="Georgia"/>
          <w:sz w:val="24"/>
          <w:szCs w:val="24"/>
        </w:rPr>
        <w:t xml:space="preserve">A second project, Systems Under Pressure, revealed that AI could extend mathematical inquiry rather than replace it. Students investigated authentic systems — energy markets, water supply networks, food systems — using sequences, exponential functions, logarithms, and polynomial behavior. AI allowed them to ask better mathematical questions: How might this system be represented? Which variables matter? Which aspects resist modeling, and why? For many students, mathematics shifted from a collection of disconnected topics to a connected web of relationships and interpretations.</w:t>
      </w:r>
    </w:p>
    <w:p>
      <w:pPr>
        <w:keepLines/>
        <w:spacing w:after="160" w:line="280"/>
      </w:pPr>
      <w:r>
        <w:rPr>
          <w:rFonts w:ascii="Georgia" w:cs="Georgia" w:eastAsia="Georgia" w:hAnsi="Georgia"/>
          <w:sz w:val="24"/>
          <w:szCs w:val="24"/>
        </w:rPr>
        <w:t xml:space="preserve">Visible reasoning protocols — reasoning vlogs, annotated drafts, AI disclosure reflections, structured questioning — gave teachers access to evidence that final products could not reveal: where students changed their minds; where AI deepened understanding and where it replaced it; which misconceptions persisted; how students justified accepting or rejecting AI-generated ideas. These moments were invisible in final products but visible in the reasoning process. </w:t>
      </w:r>
      <w:r>
        <w:rPr>
          <w:rFonts w:ascii="Georgia" w:cs="Georgia" w:eastAsia="Georgia" w:hAnsi="Georgia"/>
          <w:b/>
          <w:bCs/>
          <w:sz w:val="24"/>
          <w:szCs w:val="24"/>
        </w:rPr>
        <w:t xml:space="preserve">The fellowship is the systematic response to these observations.</w:t>
      </w:r>
      <w:r>
        <w:rPr>
          <w:rFonts w:ascii="Georgia" w:cs="Georgia" w:eastAsia="Georgia" w:hAnsi="Georgia"/>
          <w:sz w:val="24"/>
          <w:szCs w:val="24"/>
        </w:rPr>
        <w:t xml:space="preserve"> Its purpose is not to prove that AI improves learning. Its purpose is to help teachers design learning environments where the development of judgment, disciplinary understanding, and student agency remains visible even when AI can generate increasingly sophisticated products.</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Note on positionality: </w:t>
      </w:r>
      <w:r>
        <w:rPr>
          <w:rFonts w:ascii="Georgia" w:cs="Georgia" w:eastAsia="Georgia" w:hAnsi="Georgia"/>
          <w:sz w:val="24"/>
          <w:szCs w:val="24"/>
        </w:rPr>
        <w:t xml:space="preserve">Cajina is both the facilitator and the developer of the VISTA Protocol. This recognised condition in practitioner inquiry is managed through transparent documentation, triangulated evidence, and participant feedback at each cycle.</w:t>
      </w:r>
    </w:p>
    <w:p>
      <w:pPr>
        <w:keepNext/>
        <w:spacing w:after="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4. Problem of Practice</w:t>
      </w:r>
    </w:p>
    <w:p>
      <w:pPr>
        <w:pStyle w:val="Heading2"/>
        <w:keepNext/>
        <w:spacing w:after="120" w:before="280"/>
      </w:pPr>
      <w:r>
        <w:rPr>
          <w:rFonts w:ascii="Arial" w:cs="Arial" w:eastAsia="Arial" w:hAnsi="Arial"/>
          <w:b/>
          <w:bCs/>
          <w:color w:val="2E7D8C"/>
          <w:sz w:val="26"/>
          <w:szCs w:val="26"/>
        </w:rPr>
        <w:t xml:space="preserve">4.1  The Assessment Validity Crisis</w:t>
      </w:r>
    </w:p>
    <w:p>
      <w:pPr>
        <w:keepLines/>
        <w:spacing w:after="160" w:line="280"/>
      </w:pPr>
      <w:r>
        <w:rPr>
          <w:rFonts w:ascii="Georgia" w:cs="Georgia" w:eastAsia="Georgia" w:hAnsi="Georgia"/>
          <w:sz w:val="24"/>
          <w:szCs w:val="24"/>
        </w:rPr>
        <w:t xml:space="preserve">Phillip Dawson (2021) argues that AI does not create an assessment crisis — it reveals one that already existed. For decades, </w:t>
      </w:r>
      <w:r>
        <w:rPr>
          <w:rFonts w:ascii="Georgia" w:cs="Georgia" w:eastAsia="Georgia" w:hAnsi="Georgia"/>
          <w:b/>
          <w:bCs/>
          <w:sz w:val="24"/>
          <w:szCs w:val="24"/>
        </w:rPr>
        <w:t xml:space="preserve">we have mistaken polished products for learning</w:t>
      </w:r>
      <w:r>
        <w:rPr>
          <w:rFonts w:ascii="Georgia" w:cs="Georgia" w:eastAsia="Georgia" w:hAnsi="Georgia"/>
          <w:sz w:val="24"/>
          <w:szCs w:val="24"/>
        </w:rPr>
        <w:t xml:space="preserve">, completion for understanding, and performance for reasoning. A finished essay, a solved problem set, a completed lab report: we assumed the product reflected the process. It often did not. AI makes that assumption untenable.</w:t>
      </w:r>
    </w:p>
    <w:p>
      <w:pPr>
        <w:keepLines/>
        <w:spacing w:after="160" w:line="280"/>
      </w:pPr>
      <w:r>
        <w:rPr>
          <w:rFonts w:ascii="Georgia" w:cs="Georgia" w:eastAsia="Georgia" w:hAnsi="Georgia"/>
          <w:sz w:val="24"/>
          <w:szCs w:val="24"/>
        </w:rPr>
        <w:t xml:space="preserve">The real problem is that </w:t>
      </w:r>
      <w:r>
        <w:rPr>
          <w:rFonts w:ascii="Georgia" w:cs="Georgia" w:eastAsia="Georgia" w:hAnsi="Georgia"/>
          <w:b/>
          <w:bCs/>
          <w:sz w:val="24"/>
          <w:szCs w:val="24"/>
        </w:rPr>
        <w:t xml:space="preserve">dialogue, reasoning, voice, and judgment</w:t>
      </w:r>
      <w:r>
        <w:rPr>
          <w:rFonts w:ascii="Georgia" w:cs="Georgia" w:eastAsia="Georgia" w:hAnsi="Georgia"/>
          <w:sz w:val="24"/>
          <w:szCs w:val="24"/>
        </w:rPr>
        <w:t xml:space="preserve"> — the human core of learning, in Dawson’s phrase — were already becoming invisible behind finished products. AI simply made that invisibility impossible to ignore. The question this fellowship addresses is not how to protect assessment from AI. It is how to make the human core of learning visible again.</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The illusion of fluency</w:t>
      </w:r>
      <w:r>
        <w:rPr>
          <w:rFonts w:ascii="Georgia" w:cs="Georgia" w:eastAsia="Georgia" w:hAnsi="Georgia"/>
          <w:sz w:val="24"/>
          <w:szCs w:val="24"/>
        </w:rPr>
        <w:t xml:space="preserve">: polished outputs that do not reflect understanding. </w:t>
      </w:r>
      <w:r>
        <w:rPr>
          <w:rFonts w:ascii="Georgia" w:cs="Georgia" w:eastAsia="Georgia" w:hAnsi="Georgia"/>
          <w:b/>
          <w:bCs/>
          <w:sz w:val="24"/>
          <w:szCs w:val="24"/>
        </w:rPr>
        <w:t xml:space="preserve">The illusion of participation</w:t>
      </w:r>
      <w:r>
        <w:rPr>
          <w:rFonts w:ascii="Georgia" w:cs="Georgia" w:eastAsia="Georgia" w:hAnsi="Georgia"/>
          <w:sz w:val="24"/>
          <w:szCs w:val="24"/>
        </w:rPr>
        <w:t xml:space="preserve">: completed tasks that do not reflect engagement. </w:t>
      </w:r>
      <w:r>
        <w:rPr>
          <w:rFonts w:ascii="Georgia" w:cs="Georgia" w:eastAsia="Georgia" w:hAnsi="Georgia"/>
          <w:b/>
          <w:bCs/>
          <w:sz w:val="24"/>
          <w:szCs w:val="24"/>
        </w:rPr>
        <w:t xml:space="preserve">Invisible advantage</w:t>
      </w:r>
      <w:r>
        <w:rPr>
          <w:rFonts w:ascii="Georgia" w:cs="Georgia" w:eastAsia="Georgia" w:hAnsi="Georgia"/>
          <w:sz w:val="24"/>
          <w:szCs w:val="24"/>
        </w:rPr>
        <w:t xml:space="preserve">: students who use AI strategically but undisclosed gain an unearned credential signal. These are assessment validity failures — the artifact no longer reliably measures what it was designed to measure.</w:t>
      </w:r>
    </w:p>
    <w:p>
      <w:pPr>
        <w:keepLines/>
        <w:spacing w:after="160" w:line="280"/>
      </w:pPr>
      <w:r>
        <w:rPr>
          <w:rFonts w:ascii="Georgia" w:cs="Georgia" w:eastAsia="Georgia" w:hAnsi="Georgia"/>
          <w:sz w:val="24"/>
          <w:szCs w:val="24"/>
        </w:rPr>
        <w:t xml:space="preserve">The fellowship’s central design question — </w:t>
      </w:r>
      <w:r>
        <w:rPr>
          <w:rFonts w:ascii="Georgia" w:cs="Georgia" w:eastAsia="Georgia" w:hAnsi="Georgia"/>
          <w:b/>
          <w:bCs/>
          <w:sz w:val="24"/>
          <w:szCs w:val="24"/>
        </w:rPr>
        <w:t xml:space="preserve">if AI completed this task perfectly, what learning would disappear?</w:t>
      </w:r>
      <w:r>
        <w:rPr>
          <w:rFonts w:ascii="Georgia" w:cs="Georgia" w:eastAsia="Georgia" w:hAnsi="Georgia"/>
          <w:sz w:val="24"/>
          <w:szCs w:val="24"/>
        </w:rPr>
        <w:t xml:space="preserve"> — makes this failure immediately visible in practice. When the answer is </w:t>
      </w:r>
      <w:r>
        <w:rPr>
          <w:rFonts w:ascii="Georgia" w:cs="Georgia" w:eastAsia="Georgia" w:hAnsi="Georgia"/>
          <w:i/>
          <w:iCs/>
          <w:sz w:val="24"/>
          <w:szCs w:val="24"/>
        </w:rPr>
        <w:t xml:space="preserve">everything meaningful</w:t>
      </w:r>
      <w:r>
        <w:rPr>
          <w:rFonts w:ascii="Georgia" w:cs="Georgia" w:eastAsia="Georgia" w:hAnsi="Georgia"/>
          <w:sz w:val="24"/>
          <w:szCs w:val="24"/>
        </w:rPr>
        <w:t xml:space="preserve">, the assessment design has failed: AI can complete the task and the student has been bypassed. When the answer is </w:t>
      </w:r>
      <w:r>
        <w:rPr>
          <w:rFonts w:ascii="Georgia" w:cs="Georgia" w:eastAsia="Georgia" w:hAnsi="Georgia"/>
          <w:i/>
          <w:iCs/>
          <w:sz w:val="24"/>
          <w:szCs w:val="24"/>
        </w:rPr>
        <w:t xml:space="preserve">nothing significant</w:t>
      </w:r>
      <w:r>
        <w:rPr>
          <w:rFonts w:ascii="Georgia" w:cs="Georgia" w:eastAsia="Georgia" w:hAnsi="Georgia"/>
          <w:sz w:val="24"/>
          <w:szCs w:val="24"/>
        </w:rPr>
        <w:t xml:space="preserve">, the task is protecting genuine learning and the design is working. That question is teachable, memorable, and applicable across every discipline.</w:t>
      </w:r>
    </w:p>
    <w:p>
      <w:pPr>
        <w:pStyle w:val="Heading2"/>
        <w:keepNext/>
        <w:spacing w:after="120" w:before="280"/>
      </w:pPr>
      <w:r>
        <w:rPr>
          <w:rFonts w:ascii="Arial" w:cs="Arial" w:eastAsia="Arial" w:hAnsi="Arial"/>
          <w:b/>
          <w:bCs/>
          <w:color w:val="2E7D8C"/>
          <w:sz w:val="26"/>
          <w:szCs w:val="26"/>
        </w:rPr>
        <w:t xml:space="preserve">4.2  Why “AI-Rich Classrooms”: The Information Ecosystem</w:t>
      </w:r>
    </w:p>
    <w:p>
      <w:pPr>
        <w:keepLines/>
        <w:spacing w:after="160" w:line="280"/>
      </w:pPr>
      <w:r>
        <w:rPr>
          <w:rFonts w:ascii="Georgia" w:cs="Georgia" w:eastAsia="Georgia" w:hAnsi="Georgia"/>
          <w:sz w:val="24"/>
          <w:szCs w:val="24"/>
        </w:rPr>
        <w:t xml:space="preserve">The fellowship uses the term </w:t>
      </w:r>
      <w:r>
        <w:rPr>
          <w:rFonts w:ascii="Georgia" w:cs="Georgia" w:eastAsia="Georgia" w:hAnsi="Georgia"/>
          <w:b/>
          <w:bCs/>
          <w:sz w:val="24"/>
          <w:szCs w:val="24"/>
        </w:rPr>
        <w:t xml:space="preserve">AI-rich classrooms</w:t>
      </w:r>
      <w:r>
        <w:rPr>
          <w:rFonts w:ascii="Georgia" w:cs="Georgia" w:eastAsia="Georgia" w:hAnsi="Georgia"/>
          <w:sz w:val="24"/>
          <w:szCs w:val="24"/>
        </w:rPr>
        <w:t xml:space="preserve"> intentionally. An AI-rich classroom is not simply one where teachers actively use AI tools. It is a classroom situated within a broader information ecosystem increasingly shaped by AI. Students encounter AI through search engines, recommendation systems, translation tools, writing assistants, social media feeds, generative AI platforms, and emerging AI agents. Even when AI is not explicitly part of a lesson, it often influences how information is found, organized, interpreted, and communicated.</w:t>
      </w:r>
    </w:p>
    <w:p>
      <w:pPr>
        <w:keepLines/>
        <w:spacing w:after="160" w:line="280"/>
      </w:pPr>
      <w:r>
        <w:rPr>
          <w:rFonts w:ascii="Georgia" w:cs="Georgia" w:eastAsia="Georgia" w:hAnsi="Georgia"/>
          <w:sz w:val="24"/>
          <w:szCs w:val="24"/>
        </w:rPr>
        <w:t xml:space="preserve">Recent reports suggest that automated systems and AI agents now generate a substantial proportion of global web traffic — in some cases exceeding human-generated activity. The broader trend is clear: AI is becoming part of the infrastructure through which people engage with knowledge online. The question for schools is no longer whether AI is present. The question is how educators design human-centered learning experiences within an environment where AI increasingly shapes the conditions under which learning occurs.</w:t>
      </w:r>
    </w:p>
    <w:p>
      <w:pPr>
        <w:keepLines/>
        <w:spacing w:after="160" w:line="280"/>
      </w:pPr>
      <w:r>
        <w:rPr>
          <w:rFonts w:ascii="Georgia" w:cs="Georgia" w:eastAsia="Georgia" w:hAnsi="Georgia"/>
          <w:sz w:val="24"/>
          <w:szCs w:val="24"/>
        </w:rPr>
        <w:t xml:space="preserve">This has implications for how we think about assessment validity. A student who submits an essay produced by AI is not violating a rule in a controlled environment — they are responding rationally to the information ecosystem they live in. </w:t>
      </w:r>
      <w:r>
        <w:rPr>
          <w:rFonts w:ascii="Georgia" w:cs="Georgia" w:eastAsia="Georgia" w:hAnsi="Georgia"/>
          <w:b/>
          <w:bCs/>
          <w:sz w:val="24"/>
          <w:szCs w:val="24"/>
        </w:rPr>
        <w:t xml:space="preserve">The design challenge is not to seal the classroom off from that ecosystem but to make the learning within it visible and meaningful despite it</w:t>
      </w:r>
      <w:r>
        <w:rPr>
          <w:rFonts w:ascii="Georgia" w:cs="Georgia" w:eastAsia="Georgia" w:hAnsi="Georgia"/>
          <w:sz w:val="24"/>
          <w:szCs w:val="24"/>
        </w:rPr>
        <w:t xml:space="preserve">. This is the problem the fellowship addresses.</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4.3  AI as a Sociotechnical System</w:t>
      </w:r>
    </w:p>
    <w:p>
      <w:pPr>
        <w:keepLines/>
        <w:spacing w:after="160" w:line="280"/>
      </w:pPr>
      <w:r>
        <w:rPr>
          <w:rFonts w:ascii="Georgia" w:cs="Georgia" w:eastAsia="Georgia" w:hAnsi="Georgia"/>
          <w:sz w:val="24"/>
          <w:szCs w:val="24"/>
        </w:rPr>
        <w:t xml:space="preserve">Generative AI is not a neutral tool. Winner (1980) established that artifacts have politics — technologies encode and redistribute power in ways users may not notice. Selwyn (2019) extended this to educational technology. Orlikowski (1992) demonstrated that technologies gain their effects through the social practices enacted around them — meaning thoughtful practice design can reshape what AI does in a classroom. In AI-rich classrooms, AI is reshaping who counts as a knower, whose work gets attributed, and what level of performance signals understanding.</w:t>
      </w:r>
    </w:p>
    <w:p>
      <w:pPr>
        <w:pStyle w:val="Heading2"/>
        <w:keepNext/>
        <w:spacing w:after="120" w:before="280"/>
      </w:pPr>
      <w:r>
        <w:rPr>
          <w:rFonts w:ascii="Arial" w:cs="Arial" w:eastAsia="Arial" w:hAnsi="Arial"/>
          <w:b/>
          <w:bCs/>
          <w:color w:val="2E7D8C"/>
          <w:sz w:val="26"/>
          <w:szCs w:val="26"/>
        </w:rPr>
        <w:t xml:space="preserve">4.4  The Invisibility of Student Intellectual Labour</w:t>
      </w:r>
    </w:p>
    <w:p>
      <w:pPr>
        <w:keepLines/>
        <w:spacing w:after="160" w:line="280"/>
      </w:pPr>
      <w:r>
        <w:rPr>
          <w:rFonts w:ascii="Georgia" w:cs="Georgia" w:eastAsia="Georgia" w:hAnsi="Georgia"/>
          <w:sz w:val="24"/>
          <w:szCs w:val="24"/>
        </w:rPr>
        <w:t xml:space="preserve">Student </w:t>
      </w:r>
      <w:r>
        <w:rPr>
          <w:rFonts w:ascii="Georgia" w:cs="Georgia" w:eastAsia="Georgia" w:hAnsi="Georgia"/>
          <w:b/>
          <w:bCs/>
          <w:sz w:val="24"/>
          <w:szCs w:val="24"/>
        </w:rPr>
        <w:t xml:space="preserve">intellectual labour</w:t>
      </w:r>
      <w:r>
        <w:rPr>
          <w:rFonts w:ascii="Georgia" w:cs="Georgia" w:eastAsia="Georgia" w:hAnsi="Georgia"/>
          <w:sz w:val="24"/>
          <w:szCs w:val="24"/>
        </w:rPr>
        <w:t xml:space="preserve"> — the cognitive work of sense-making, evaluating, revising, and constructing understanding — includes not only reasoning and explanation but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the artist’s aesthetic judgment, the mathematician’s structural intuition, the programmer’s debugging instinct. These forms of knowing are discipline-specific and often the hardest to develop. Product-only assessment systematically misses them. Visible reasoning protocols make them interpretable.</w:t>
      </w:r>
    </w:p>
    <w:p>
      <w:pPr>
        <w:pStyle w:val="Heading2"/>
        <w:keepNext/>
        <w:spacing w:after="120" w:before="280"/>
      </w:pPr>
      <w:r>
        <w:rPr>
          <w:rFonts w:ascii="Arial" w:cs="Arial" w:eastAsia="Arial" w:hAnsi="Arial"/>
          <w:b/>
          <w:bCs/>
          <w:color w:val="2E7D8C"/>
          <w:sz w:val="26"/>
          <w:szCs w:val="26"/>
        </w:rPr>
        <w:t xml:space="preserve">4.5  The SAIL Coherence Problem</w:t>
      </w:r>
    </w:p>
    <w:p>
      <w:pPr>
        <w:keepLines/>
        <w:spacing w:after="160" w:line="280"/>
      </w:pPr>
      <w:r>
        <w:rPr>
          <w:rFonts w:ascii="Georgia" w:cs="Georgia" w:eastAsia="Georgia" w:hAnsi="Georgia"/>
          <w:sz w:val="24"/>
          <w:szCs w:val="24"/>
        </w:rPr>
        <w:t xml:space="preserve">CNG’s SAIL framework is strong policy architecture. But the same SAIL level can mean very different things across classrooms without a shared pedagogical mechanism. Perkins et al. (2024, 2025) argue that AI-use continua become educationally meaningful only when tied to intended learning outcomes and assessment design. Choosing a SAIL level is a simultaneous intersection of AI-TPACK (Can I?), Ethical TPACK (Should I?), XK (Will it work here?), and HAIC-K (How?). The fellowship develops that four-layer judgment deliberately.</w:t>
      </w:r>
    </w:p>
    <w:p>
      <w:pPr>
        <w:pStyle w:val="Heading2"/>
        <w:keepNext/>
        <w:spacing w:after="120" w:before="280"/>
      </w:pPr>
      <w:r>
        <w:rPr>
          <w:rFonts w:ascii="Arial" w:cs="Arial" w:eastAsia="Arial" w:hAnsi="Arial"/>
          <w:b/>
          <w:bCs/>
          <w:color w:val="2E7D8C"/>
          <w:sz w:val="26"/>
          <w:szCs w:val="26"/>
        </w:rPr>
        <w:t xml:space="preserve">4.6  The Teacher Confidence Gap and the February Problem</w:t>
      </w:r>
    </w:p>
    <w:p>
      <w:pPr>
        <w:keepLines/>
        <w:spacing w:after="160" w:line="280"/>
      </w:pPr>
      <w:r>
        <w:rPr>
          <w:rFonts w:ascii="Georgia" w:cs="Georgia" w:eastAsia="Georgia" w:hAnsi="Georgia"/>
          <w:sz w:val="24"/>
          <w:szCs w:val="24"/>
        </w:rPr>
        <w:t xml:space="preserve">Meishar-Tal et al. (2025) find that teachers’ classroom AI use is predicted primarily by </w:t>
      </w:r>
      <w:r>
        <w:rPr>
          <w:rFonts w:ascii="Georgia" w:cs="Georgia" w:eastAsia="Georgia" w:hAnsi="Georgia"/>
          <w:i/>
          <w:iCs/>
          <w:sz w:val="24"/>
          <w:szCs w:val="24"/>
        </w:rPr>
        <w:t xml:space="preserve">perceived behavioral control</w:t>
      </w:r>
      <w:r>
        <w:rPr>
          <w:rFonts w:ascii="Georgia" w:cs="Georgia" w:eastAsia="Georgia" w:hAnsi="Georgia"/>
          <w:sz w:val="24"/>
          <w:szCs w:val="24"/>
        </w:rPr>
        <w:t xml:space="preserve"> — confidence in the ability to use AI pedagogically. Design capacity is what predicts enactment.</w:t>
      </w:r>
    </w:p>
    <w:p>
      <w:pPr>
        <w:keepLines/>
        <w:spacing w:after="160" w:line="280"/>
      </w:pPr>
      <w:r>
        <w:rPr>
          <w:rFonts w:ascii="Georgia" w:cs="Georgia" w:eastAsia="Georgia" w:hAnsi="Georgia"/>
          <w:b/>
          <w:bCs/>
          <w:sz w:val="24"/>
          <w:szCs w:val="24"/>
        </w:rPr>
        <w:t xml:space="preserve">If I am a tired teacher in February, what am I actually doing differently?</w:t>
      </w:r>
    </w:p>
    <w:p>
      <w:pPr>
        <w:keepLines/>
        <w:spacing w:after="160" w:line="280"/>
      </w:pPr>
      <w:r>
        <w:rPr>
          <w:rFonts w:ascii="Georgia" w:cs="Georgia" w:eastAsia="Georgia" w:hAnsi="Georgia"/>
          <w:sz w:val="24"/>
          <w:szCs w:val="24"/>
        </w:rPr>
        <w:t xml:space="preserve">The answer the fellowship builds toward is: one question. Before designing a task — or when reviewing one already in place — ask: if AI completed this perfectly, what learning would disappear? That takes thirty seconds. It requires no new tools, no new curriculum, and no additional meeting. Over time, repeated use of this question and the Department Cognitive Agency PLC Protocol embeds new assessment judgment into existing routines. The fellowship is designed for the tired teacher in February, not only for the enthusiastic teacher in September.</w:t>
      </w:r>
    </w:p>
    <w:p>
      <w:pPr>
        <w:pStyle w:val="Heading2"/>
        <w:keepNext/>
        <w:spacing w:after="120" w:before="280"/>
      </w:pPr>
      <w:r>
        <w:rPr>
          <w:rFonts w:ascii="Arial" w:cs="Arial" w:eastAsia="Arial" w:hAnsi="Arial"/>
          <w:b/>
          <w:bCs/>
          <w:color w:val="2E7D8C"/>
          <w:sz w:val="26"/>
          <w:szCs w:val="26"/>
        </w:rPr>
        <w:t xml:space="preserve">4.7  The Equity Dimension</w:t>
      </w:r>
    </w:p>
    <w:p>
      <w:pPr>
        <w:keepLines/>
        <w:spacing w:after="160" w:line="280"/>
      </w:pPr>
      <w:r>
        <w:rPr>
          <w:rFonts w:ascii="Georgia" w:cs="Georgia" w:eastAsia="Georgia" w:hAnsi="Georgia"/>
          <w:sz w:val="24"/>
          <w:szCs w:val="24"/>
        </w:rPr>
        <w:t xml:space="preserve">In high-resource environments like CNG, generative AI risks becoming invisible advantage. Benjamin (2019) and Birhane (2021) demonstrate that algorithmic systems used uncritically reproduce and amplify existing inequities. Holstein and Doroudi (2022) extend this to educational AI. The fellowship addresses this by making intellectual labour — in all its forms, across all modes of expression — the primary evidence of learning. Universal Design for Learning (CAST, 2018) provides the accessibility framework: designing for full participation from the outset, not retrofitting accommodations.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5. Theoretical Framework</w:t>
      </w:r>
    </w:p>
    <w:p>
      <w:pPr>
        <w:pStyle w:val="Heading2"/>
        <w:keepNext/>
        <w:spacing w:after="120" w:before="280"/>
      </w:pPr>
      <w:r>
        <w:rPr>
          <w:rFonts w:ascii="Arial" w:cs="Arial" w:eastAsia="Arial" w:hAnsi="Arial"/>
          <w:b/>
          <w:bCs/>
          <w:color w:val="2E7D8C"/>
          <w:sz w:val="26"/>
          <w:szCs w:val="26"/>
        </w:rPr>
        <w:t xml:space="preserve">5.1  Fellowship Logic Chain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60"/>
        <w:gridCol w:w="200"/>
        <w:gridCol w:w="1760"/>
        <w:gridCol w:w="200"/>
        <w:gridCol w:w="1760"/>
        <w:gridCol w:w="200"/>
        <w:gridCol w:w="1760"/>
        <w:gridCol w:w="200"/>
        <w:gridCol w:w="760"/>
      </w:tblGrid>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4A1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Philosophy</w:t>
            </w:r>
          </w:p>
          <w:p>
            <w:pPr>
              <w:spacing w:after="60"/>
              <w:jc w:val="center"/>
            </w:pPr>
            <w:r>
              <w:rPr>
                <w:rFonts w:ascii="Arial" w:cs="Arial" w:eastAsia="Arial" w:hAnsi="Arial"/>
                <w:b/>
                <w:bCs/>
                <w:color w:val="FFFFFF"/>
                <w:sz w:val="22"/>
                <w:szCs w:val="22"/>
              </w:rPr>
              <w:t xml:space="preserve">HCAP</w:t>
            </w:r>
          </w:p>
          <w:p>
            <w:pPr>
              <w:spacing w:after="0"/>
              <w:jc w:val="center"/>
            </w:pPr>
            <w:r>
              <w:rPr>
                <w:rFonts w:ascii="Arial" w:cs="Arial" w:eastAsia="Arial" w:hAnsi="Arial"/>
                <w:i/>
                <w:iCs/>
                <w:color w:val="C5DCE4"/>
                <w:sz w:val="17"/>
                <w:szCs w:val="17"/>
              </w:rPr>
              <w:t xml:space="preserve">AI serves human learning. Human judgment leads.</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1B3A5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Teacher Knowledge</w:t>
            </w:r>
          </w:p>
          <w:p>
            <w:pPr>
              <w:spacing w:after="60"/>
              <w:jc w:val="center"/>
            </w:pPr>
            <w:r>
              <w:rPr>
                <w:rFonts w:ascii="Arial" w:cs="Arial" w:eastAsia="Arial" w:hAnsi="Arial"/>
                <w:b/>
                <w:bCs/>
                <w:color w:val="FFFFFF"/>
                <w:sz w:val="22"/>
                <w:szCs w:val="22"/>
              </w:rPr>
              <w:t xml:space="preserve">AI-TPACK</w:t>
            </w:r>
          </w:p>
          <w:p>
            <w:pPr>
              <w:spacing w:after="0"/>
              <w:jc w:val="center"/>
            </w:pPr>
            <w:r>
              <w:rPr>
                <w:rFonts w:ascii="Arial" w:cs="Arial" w:eastAsia="Arial" w:hAnsi="Arial"/>
                <w:i/>
                <w:iCs/>
                <w:color w:val="C5DCE4"/>
                <w:sz w:val="17"/>
                <w:szCs w:val="17"/>
              </w:rPr>
              <w:t xml:space="preserve">What teachers know about AI in their discipline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7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Design Knowledge</w:t>
            </w:r>
          </w:p>
          <w:p>
            <w:pPr>
              <w:spacing w:after="60"/>
              <w:jc w:val="center"/>
            </w:pPr>
            <w:r>
              <w:rPr>
                <w:rFonts w:ascii="Arial" w:cs="Arial" w:eastAsia="Arial" w:hAnsi="Arial"/>
                <w:b/>
                <w:bCs/>
                <w:color w:val="FFFFFF"/>
                <w:sz w:val="22"/>
                <w:szCs w:val="22"/>
              </w:rPr>
              <w:t xml:space="preserve">HAIC-K</w:t>
            </w:r>
          </w:p>
          <w:p>
            <w:pPr>
              <w:spacing w:after="0"/>
              <w:jc w:val="center"/>
            </w:pPr>
            <w:r>
              <w:rPr>
                <w:rFonts w:ascii="Arial" w:cs="Arial" w:eastAsia="Arial" w:hAnsi="Arial"/>
                <w:i/>
                <w:iCs/>
                <w:color w:val="C5DCE4"/>
                <w:sz w:val="17"/>
                <w:szCs w:val="17"/>
              </w:rPr>
              <w:t xml:space="preserve">How to structure human-AI collaboration</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2"/>
                <w:szCs w:val="22"/>
              </w:rPr>
              <w:t xml:space="preserve">▶</w:t>
            </w:r>
          </w:p>
        </w:tc>
        <w:tc>
          <w:tcPr>
            <w:tcW w:type="dxa" w:w="1760"/>
            <w:tcBorders>
              <w:top w:val="none" w:color="FFFFFF" w:sz="0"/>
              <w:left w:val="none" w:color="FFFFFF" w:sz="0"/>
              <w:bottom w:val="none" w:color="FFFFFF" w:sz="0"/>
              <w:right w:val="none" w:color="FFFFFF" w:sz="0"/>
            </w:tcBorders>
            <w:shd w:fill="2E6B7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Practice</w:t>
            </w:r>
          </w:p>
          <w:p>
            <w:pPr>
              <w:spacing w:after="60"/>
              <w:jc w:val="center"/>
            </w:pPr>
            <w:r>
              <w:rPr>
                <w:rFonts w:ascii="Arial" w:cs="Arial" w:eastAsia="Arial" w:hAnsi="Arial"/>
                <w:b/>
                <w:bCs/>
                <w:color w:val="FFFFFF"/>
                <w:sz w:val="22"/>
                <w:szCs w:val="22"/>
              </w:rPr>
              <w:t xml:space="preserve">Assessment Design</w:t>
            </w:r>
          </w:p>
          <w:p>
            <w:pPr>
              <w:spacing w:after="0"/>
              <w:jc w:val="center"/>
            </w:pPr>
            <w:r>
              <w:rPr>
                <w:rFonts w:ascii="Arial" w:cs="Arial" w:eastAsia="Arial" w:hAnsi="Arial"/>
                <w:i/>
                <w:iCs/>
                <w:color w:val="C5DCE4"/>
                <w:sz w:val="17"/>
                <w:szCs w:val="17"/>
              </w:rPr>
              <w:t xml:space="preserve">Tasks that make thinking visible and assessable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2E7D8C"/>
                <w:sz w:val="20"/>
                <w:szCs w:val="20"/>
              </w:rPr>
              <w:t xml:space="preserve">▼</w:t>
            </w:r>
          </w:p>
        </w:tc>
        <w:tc>
          <w:tcPr>
            <w:tcW w:type="dxa" w:w="760"/>
            <w:tcBorders>
              <w:top w:val="none" w:color="FFFFFF" w:sz="0"/>
              <w:left w:val="none" w:color="FFFFFF" w:sz="0"/>
              <w:bottom w:val="none" w:color="FFFFFF" w:sz="0"/>
              <w:right w:val="none" w:color="FFFFFF" w:sz="0"/>
            </w:tcBorders>
            <w:shd w:fill="FFFFFF" w:val="clear"/>
          </w:tcPr>
          <w:p>
            <w:pPr>
              <w:spacing w:after="0"/>
            </w:pPr>
          </w:p>
        </w:tc>
      </w:tr>
      <w:tr>
        <w:tc>
          <w:tcPr>
            <w:tcW w:type="dxa" w:w="760"/>
            <w:tcBorders>
              <w:top w:val="none" w:color="FFFFFF" w:sz="0"/>
              <w:left w:val="none" w:color="FFFFFF" w:sz="0"/>
              <w:bottom w:val="none" w:color="FFFFFF" w:sz="0"/>
              <w:right w:val="none" w:color="FFFFFF" w:sz="0"/>
            </w:tcBorders>
            <w:shd w:fill="FFFFFF" w:val="clear"/>
          </w:tcPr>
          <w:p>
            <w:pPr>
              <w:spacing w:after="0"/>
            </w:pPr>
          </w:p>
        </w:tc>
        <w:tc>
          <w:tcPr>
            <w:tcW w:type="dxa" w:w="1760"/>
            <w:tcBorders>
              <w:top w:val="none" w:color="FFFFFF" w:sz="0"/>
              <w:left w:val="none" w:color="FFFFFF" w:sz="0"/>
              <w:bottom w:val="none" w:color="FFFFFF" w:sz="0"/>
              <w:right w:val="none" w:color="FFFFFF" w:sz="0"/>
            </w:tcBorders>
            <w:shd w:fill="2A0A3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Purpose</w:t>
            </w:r>
          </w:p>
          <w:p>
            <w:pPr>
              <w:spacing w:after="60"/>
              <w:jc w:val="center"/>
            </w:pPr>
            <w:r>
              <w:rPr>
                <w:rFonts w:ascii="Arial" w:cs="Arial" w:eastAsia="Arial" w:hAnsi="Arial"/>
                <w:b/>
                <w:bCs/>
                <w:color w:val="FFFFFF"/>
                <w:sz w:val="22"/>
                <w:szCs w:val="22"/>
              </w:rPr>
              <w:t xml:space="preserve">Human Agency
&amp; Judgment</w:t>
            </w:r>
          </w:p>
          <w:p>
            <w:pPr>
              <w:spacing w:after="0"/>
              <w:jc w:val="center"/>
            </w:pPr>
            <w:r>
              <w:rPr>
                <w:rFonts w:ascii="Arial" w:cs="Arial" w:eastAsia="Arial" w:hAnsi="Arial"/>
                <w:i/>
                <w:iCs/>
                <w:color w:val="C5DCE4"/>
                <w:sz w:val="17"/>
                <w:szCs w:val="17"/>
              </w:rPr>
              <w:t xml:space="preserve">The kind of person students are becoming</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1A5C3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Goal</w:t>
            </w:r>
          </w:p>
          <w:p>
            <w:pPr>
              <w:spacing w:after="60"/>
              <w:jc w:val="center"/>
            </w:pPr>
            <w:r>
              <w:rPr>
                <w:rFonts w:ascii="Arial" w:cs="Arial" w:eastAsia="Arial" w:hAnsi="Arial"/>
                <w:b/>
                <w:bCs/>
                <w:color w:val="FFFFFF"/>
                <w:sz w:val="22"/>
                <w:szCs w:val="22"/>
              </w:rPr>
              <w:t xml:space="preserve">Cognitive Agency</w:t>
            </w:r>
          </w:p>
          <w:p>
            <w:pPr>
              <w:spacing w:after="0"/>
              <w:jc w:val="center"/>
            </w:pPr>
            <w:r>
              <w:rPr>
                <w:rFonts w:ascii="Arial" w:cs="Arial" w:eastAsia="Arial" w:hAnsi="Arial"/>
                <w:i/>
                <w:iCs/>
                <w:color w:val="C5DCE4"/>
                <w:sz w:val="17"/>
                <w:szCs w:val="17"/>
              </w:rPr>
              <w:t xml:space="preserve">Students own their thinking and judgment</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C9952A"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Honours</w:t>
            </w:r>
          </w:p>
          <w:p>
            <w:pPr>
              <w:spacing w:after="60"/>
              <w:jc w:val="center"/>
            </w:pPr>
            <w:r>
              <w:rPr>
                <w:rFonts w:ascii="Arial" w:cs="Arial" w:eastAsia="Arial" w:hAnsi="Arial"/>
                <w:b/>
                <w:bCs/>
                <w:color w:val="FFFFFF"/>
                <w:sz w:val="22"/>
                <w:szCs w:val="22"/>
              </w:rPr>
              <w:t xml:space="preserve">Intellectual Labour</w:t>
            </w:r>
          </w:p>
          <w:p>
            <w:pPr>
              <w:spacing w:after="0"/>
              <w:jc w:val="center"/>
            </w:pPr>
            <w:r>
              <w:rPr>
                <w:rFonts w:ascii="Arial" w:cs="Arial" w:eastAsia="Arial" w:hAnsi="Arial"/>
                <w:i/>
                <w:iCs/>
                <w:color w:val="C5DCE4"/>
                <w:sz w:val="17"/>
                <w:szCs w:val="17"/>
              </w:rPr>
              <w:t xml:space="preserve">Student thinking is the primary evidence</w:t>
            </w:r>
          </w:p>
        </w:tc>
        <w:tc>
          <w:tcPr>
            <w:tcW w:type="dxa" w:w="200"/>
            <w:tcBorders>
              <w:top w:val="none" w:color="FFFFFF" w:sz="0"/>
              <w:left w:val="none" w:color="FFFFFF" w:sz="0"/>
              <w:bottom w:val="none" w:color="FFFFFF" w:sz="0"/>
              <w:right w:val="none" w:color="FFFFFF" w:sz="0"/>
            </w:tcBorders>
            <w:shd w:fill="FFFFFF" w:val="clear"/>
            <w:vAlign w:val="center"/>
          </w:tcPr>
          <w:p>
            <w:pPr>
              <w:spacing w:after="0"/>
              <w:jc w:val="center"/>
            </w:pPr>
            <w:r>
              <w:rPr>
                <w:rFonts w:ascii="Arial" w:cs="Arial" w:eastAsia="Arial" w:hAnsi="Arial"/>
                <w:b/>
                <w:bCs/>
                <w:color w:val="C9952A"/>
                <w:sz w:val="22"/>
                <w:szCs w:val="22"/>
              </w:rPr>
              <w:t xml:space="preserve">◀</w:t>
            </w:r>
          </w:p>
        </w:tc>
        <w:tc>
          <w:tcPr>
            <w:tcW w:type="dxa" w:w="1760"/>
            <w:tcBorders>
              <w:top w:val="none" w:color="FFFFFF" w:sz="0"/>
              <w:left w:val="none" w:color="FFFFFF" w:sz="0"/>
              <w:bottom w:val="none" w:color="FFFFFF" w:sz="0"/>
              <w:right w:val="none" w:color="FFFFFF" w:sz="0"/>
            </w:tcBorders>
            <w:shd w:fill="2E5D8C" w:val="clear"/>
            <w:tcMar>
              <w:top w:type="dxa" w:w="140"/>
              <w:left w:type="dxa" w:w="120"/>
              <w:bottom w:type="dxa" w:w="140"/>
              <w:right w:type="dxa" w:w="120"/>
            </w:tcMar>
            <w:vAlign w:val="center"/>
          </w:tcPr>
          <w:p>
            <w:pPr>
              <w:spacing w:after="40"/>
              <w:jc w:val="center"/>
            </w:pPr>
            <w:r>
              <w:rPr>
                <w:rFonts w:ascii="Arial" w:cs="Arial" w:eastAsia="Arial" w:hAnsi="Arial"/>
                <w:b/>
                <w:bCs/>
                <w:caps/>
                <w:color w:val="C9952A"/>
                <w:sz w:val="16"/>
                <w:szCs w:val="16"/>
              </w:rPr>
              <w:t xml:space="preserve">Outcome</w:t>
            </w:r>
          </w:p>
          <w:p>
            <w:pPr>
              <w:spacing w:after="60"/>
              <w:jc w:val="center"/>
            </w:pPr>
            <w:r>
              <w:rPr>
                <w:rFonts w:ascii="Arial" w:cs="Arial" w:eastAsia="Arial" w:hAnsi="Arial"/>
                <w:b/>
                <w:bCs/>
                <w:color w:val="FFFFFF"/>
                <w:sz w:val="22"/>
                <w:szCs w:val="22"/>
              </w:rPr>
              <w:t xml:space="preserve">Interpretable Evidence</w:t>
            </w:r>
          </w:p>
          <w:p>
            <w:pPr>
              <w:spacing w:after="0"/>
              <w:jc w:val="center"/>
            </w:pPr>
            <w:r>
              <w:rPr>
                <w:rFonts w:ascii="Arial" w:cs="Arial" w:eastAsia="Arial" w:hAnsi="Arial"/>
                <w:i/>
                <w:iCs/>
                <w:color w:val="C5DCE4"/>
                <w:sz w:val="17"/>
                <w:szCs w:val="17"/>
              </w:rPr>
              <w:t xml:space="preserve">Teachers can infer and respond to thinking</w:t>
            </w:r>
          </w:p>
        </w:tc>
        <w:tc>
          <w:tcPr>
            <w:tcW w:type="dxa" w:w="200"/>
            <w:tcBorders>
              <w:top w:val="none" w:color="FFFFFF" w:sz="0"/>
              <w:left w:val="none" w:color="FFFFFF" w:sz="0"/>
              <w:bottom w:val="none" w:color="FFFFFF" w:sz="0"/>
              <w:right w:val="none" w:color="FFFFFF" w:sz="0"/>
            </w:tcBorders>
            <w:shd w:fill="FFFFFF" w:val="clear"/>
          </w:tcPr>
          <w:p>
            <w:pPr>
              <w:spacing w:after="0"/>
            </w:pPr>
          </w:p>
        </w:tc>
        <w:tc>
          <w:tcPr>
            <w:tcW w:type="dxa" w:w="760"/>
            <w:tcBorders>
              <w:top w:val="none" w:color="FFFFFF" w:sz="0"/>
              <w:left w:val="none" w:color="FFFFFF" w:sz="0"/>
              <w:bottom w:val="none" w:color="FFFFFF" w:sz="0"/>
              <w:right w:val="none" w:color="FFFFFF" w:sz="0"/>
            </w:tcBorders>
            <w:shd w:fill="FFFFFF" w:val="clear"/>
          </w:tcPr>
          <w:p>
            <w:pPr>
              <w:spacing w:after="0"/>
            </w:pP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5.2  HCAP — The Orienting Philosophy</w:t>
      </w:r>
    </w:p>
    <w:p>
      <w:pPr>
        <w:keepLines/>
        <w:spacing w:after="160" w:line="280"/>
      </w:pPr>
      <w:r>
        <w:rPr>
          <w:rFonts w:ascii="Georgia" w:cs="Georgia" w:eastAsia="Georgia" w:hAnsi="Georgia"/>
          <w:sz w:val="24"/>
          <w:szCs w:val="24"/>
        </w:rPr>
        <w:t xml:space="preserve">Human-Centered AI Pedagogy (HCAP; Chiu, 2026) is the orienting philosophy: AI serves human learning rather than replacing it, teacher judgment remains primary, and student cognitive agency is non-negotiable. Every design decision in the fellowship is evaluated against the HCAP question: </w:t>
      </w:r>
      <w:r>
        <w:rPr>
          <w:rFonts w:ascii="Georgia" w:cs="Georgia" w:eastAsia="Georgia" w:hAnsi="Georgia"/>
          <w:i/>
          <w:iCs/>
          <w:sz w:val="24"/>
          <w:szCs w:val="24"/>
        </w:rPr>
        <w:t xml:space="preserve">does this serve human learning, or does it substitute for it?</w:t>
      </w:r>
      <w:r>
        <w:rPr>
          <w:rFonts w:ascii="Georgia" w:cs="Georgia" w:eastAsia="Georgia" w:hAnsi="Georgia"/>
          <w:sz w:val="24"/>
          <w:szCs w:val="24"/>
        </w:rPr>
        <w:t xml:space="preserve"> HCAP aligns directly with CNG’s own philosophy statement: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(CNG Philosophy). A school that states this cannot treat AI as a values-neutral tool.</w:t>
      </w:r>
    </w:p>
    <w:p>
      <w:pPr>
        <w:pStyle w:val="Heading2"/>
        <w:keepNext/>
        <w:spacing w:after="120" w:before="280"/>
      </w:pPr>
      <w:r>
        <w:rPr>
          <w:rFonts w:ascii="Arial" w:cs="Arial" w:eastAsia="Arial" w:hAnsi="Arial"/>
          <w:b/>
          <w:bCs/>
          <w:color w:val="2E7D8C"/>
          <w:sz w:val="26"/>
          <w:szCs w:val="26"/>
        </w:rPr>
        <w:t xml:space="preserve">5.3  Core Constructs</w:t>
      </w:r>
    </w:p>
    <w:p>
      <w:pPr>
        <w:pStyle w:val="Heading3"/>
        <w:keepNext/>
        <w:spacing w:after="100" w:before="200"/>
      </w:pPr>
      <w:r>
        <w:rPr>
          <w:rFonts w:ascii="Arial" w:cs="Arial" w:eastAsia="Arial" w:hAnsi="Arial"/>
          <w:b/>
          <w:bCs/>
          <w:color w:val="1B3A5C"/>
          <w:sz w:val="24"/>
          <w:szCs w:val="24"/>
        </w:rPr>
        <w:t xml:space="preserve">Student Cognitive Agency</w:t>
      </w:r>
    </w:p>
    <w:p>
      <w:pPr>
        <w:keepLines/>
        <w:spacing w:after="160" w:line="280"/>
      </w:pPr>
      <w:r>
        <w:rPr>
          <w:rFonts w:ascii="Georgia" w:cs="Georgia" w:eastAsia="Georgia" w:hAnsi="Georgia"/>
          <w:sz w:val="24"/>
          <w:szCs w:val="24"/>
        </w:rPr>
        <w:t xml:space="preserve">Student Cognitive Agency is the capacity of learners to act as primary sense-makers, evaluators, decision-makers, and architects of understanding. Students with developed cognitive agency use AI as advisory intelligence — interrogated, challenged, verified, selectively incorporated. They retain final judgment.</w:t>
      </w:r>
    </w:p>
    <w:p>
      <w:pPr>
        <w:keepLines/>
        <w:spacing w:after="160" w:line="280"/>
      </w:pPr>
      <w:r>
        <w:rPr>
          <w:rFonts w:ascii="Georgia" w:cs="Georgia" w:eastAsia="Georgia" w:hAnsi="Georgia"/>
          <w:b/>
          <w:bCs/>
          <w:sz w:val="24"/>
          <w:szCs w:val="24"/>
        </w:rPr>
        <w:t xml:space="preserve">Measurement note: </w:t>
      </w:r>
      <w:r>
        <w:rPr>
          <w:rFonts w:ascii="Georgia" w:cs="Georgia" w:eastAsia="Georgia" w:hAnsi="Georgia"/>
          <w:sz w:val="24"/>
          <w:szCs w:val="24"/>
        </w:rPr>
        <w:t xml:space="preserve">Cognitive agency is a latent construct — inferred, not directly observed. The fellowship does not claim to directly measure agency. Instead it triangulates </w:t>
      </w:r>
      <w:r>
        <w:rPr>
          <w:rFonts w:ascii="Georgia" w:cs="Georgia" w:eastAsia="Georgia" w:hAnsi="Georgia"/>
          <w:b/>
          <w:bCs/>
          <w:sz w:val="24"/>
          <w:szCs w:val="24"/>
        </w:rPr>
        <w:t xml:space="preserve">indicators of cognitive agency</w:t>
      </w:r>
      <w:r>
        <w:rPr>
          <w:rFonts w:ascii="Georgia" w:cs="Georgia" w:eastAsia="Georgia" w:hAnsi="Georgia"/>
          <w:sz w:val="24"/>
          <w:szCs w:val="24"/>
        </w:rPr>
        <w:t xml:space="preserve"> across multiple evidence sources: student-led hypothesis testing, independent question generation, strategic AI use, justified rejection of AI suggestions, and explanation of decision-making. These indicators are interpreted collectively rather than treated as direct measures.</w:t>
      </w:r>
    </w:p>
    <w:p>
      <w:pPr>
        <w:pStyle w:val="Heading3"/>
        <w:keepNext/>
        <w:spacing w:after="100" w:before="200"/>
      </w:pPr>
      <w:r>
        <w:rPr>
          <w:rFonts w:ascii="Arial" w:cs="Arial" w:eastAsia="Arial" w:hAnsi="Arial"/>
          <w:b/>
          <w:bCs/>
          <w:color w:val="1B3A5C"/>
          <w:sz w:val="24"/>
          <w:szCs w:val="24"/>
        </w:rPr>
        <w:t xml:space="preserve">Student Intellectual Labour and Human Agency and Judgment</w:t>
      </w:r>
    </w:p>
    <w:p>
      <w:pPr>
        <w:keepLines/>
        <w:spacing w:after="160" w:line="280"/>
      </w:pPr>
      <w:r>
        <w:rPr>
          <w:rFonts w:ascii="Georgia" w:cs="Georgia" w:eastAsia="Georgia" w:hAnsi="Georgia"/>
          <w:sz w:val="24"/>
          <w:szCs w:val="24"/>
        </w:rPr>
        <w:t xml:space="preserve">Student Intellectual Labour refers to the full range of cognitive and creative work students perform — including reasoning, </w:t>
      </w:r>
      <w:r>
        <w:rPr>
          <w:rFonts w:ascii="Georgia" w:cs="Georgia" w:eastAsia="Georgia" w:hAnsi="Georgia"/>
          <w:b/>
          <w:bCs/>
          <w:sz w:val="24"/>
          <w:szCs w:val="24"/>
        </w:rPr>
        <w:t xml:space="preserve">creation, embodiment, and tacit knowledge</w:t>
      </w:r>
      <w:r>
        <w:rPr>
          <w:rFonts w:ascii="Georgia" w:cs="Georgia" w:eastAsia="Georgia" w:hAnsi="Georgia"/>
          <w:sz w:val="24"/>
          <w:szCs w:val="24"/>
        </w:rPr>
        <w:t xml:space="preserve">. This work has intrinsic educational value independent of final product quality.</w:t>
      </w:r>
    </w:p>
    <w:p>
      <w:pPr>
        <w:keepLines/>
        <w:spacing w:after="160" w:line="280"/>
      </w:pPr>
      <w:r>
        <w:rPr>
          <w:rFonts w:ascii="Georgia" w:cs="Georgia" w:eastAsia="Georgia" w:hAnsi="Georgia"/>
          <w:sz w:val="24"/>
          <w:szCs w:val="24"/>
        </w:rPr>
        <w:t xml:space="preserve">The deeper purpose is </w:t>
      </w:r>
      <w:r>
        <w:rPr>
          <w:rFonts w:ascii="Georgia" w:cs="Georgia" w:eastAsia="Georgia" w:hAnsi="Georgia"/>
          <w:b/>
          <w:bCs/>
          <w:sz w:val="24"/>
          <w:szCs w:val="24"/>
        </w:rPr>
        <w:t xml:space="preserve">Human Agency and Judgment</w:t>
      </w:r>
      <w:r>
        <w:rPr>
          <w:rFonts w:ascii="Georgia" w:cs="Georgia" w:eastAsia="Georgia" w:hAnsi="Georgia"/>
          <w:sz w:val="24"/>
          <w:szCs w:val="24"/>
        </w:rPr>
        <w:t xml:space="preserve">: the kind of person students are becoming — capable of inquiry, critique, disciplinary decision-making, and responsible AI use. This is the fellowship’s horizon, connecting directly to CNG’s vision of </w:t>
      </w:r>
      <w:r>
        <w:rPr>
          <w:rFonts w:ascii="Georgia" w:cs="Georgia" w:eastAsia="Georgia" w:hAnsi="Georgia"/>
          <w:i/>
          <w:iCs/>
          <w:sz w:val="24"/>
          <w:szCs w:val="24"/>
        </w:rPr>
        <w:t xml:space="preserve">leadership and service in the world of today for a better tomorrow</w:t>
      </w:r>
      <w:r>
        <w:rPr>
          <w:rFonts w:ascii="Georgia" w:cs="Georgia" w:eastAsia="Georgia" w:hAnsi="Georgia"/>
          <w:sz w:val="24"/>
          <w:szCs w:val="24"/>
        </w:rPr>
        <w:t xml:space="preserve">.</w:t>
      </w:r>
    </w:p>
    <w:p>
      <w:pPr>
        <w:pStyle w:val="Heading3"/>
        <w:keepNext/>
        <w:spacing w:after="100" w:before="200"/>
      </w:pPr>
      <w:r>
        <w:rPr>
          <w:rFonts w:ascii="Arial" w:cs="Arial" w:eastAsia="Arial" w:hAnsi="Arial"/>
          <w:b/>
          <w:bCs/>
          <w:color w:val="1B3A5C"/>
          <w:sz w:val="24"/>
          <w:szCs w:val="24"/>
        </w:rPr>
        <w:t xml:space="preserve">Interpretable Evidence of Learning</w:t>
      </w:r>
    </w:p>
    <w:p>
      <w:pPr>
        <w:keepLines/>
        <w:spacing w:after="160" w:line="280"/>
      </w:pPr>
      <w:r>
        <w:rPr>
          <w:rFonts w:ascii="Georgia" w:cs="Georgia" w:eastAsia="Georgia" w:hAnsi="Georgia"/>
          <w:sz w:val="24"/>
          <w:szCs w:val="24"/>
        </w:rPr>
        <w:t xml:space="preserve">Artifacts that allow teachers to infer, diagnose, and respond to student thinking processes — not merely evaluate final products. Evidence takes multiple forms: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The quality of reasoning is assessed — not the mode of expression.</w:t>
      </w:r>
    </w:p>
    <w:p>
      <w:pPr>
        <w:keepLines/>
        <w:spacing w:after="160" w:line="280"/>
      </w:pPr>
      <w:r>
        <w:rPr>
          <w:rFonts w:ascii="Georgia" w:cs="Georgia" w:eastAsia="Georgia" w:hAnsi="Georgia"/>
          <w:sz w:val="24"/>
          <w:szCs w:val="24"/>
        </w:rPr>
        <w:t xml:space="preserve">Some of the most important learning is not fully visible. The fellowship does not claim interpretable evidence captures everything that matters — only that it captures more than polished product alone. This connects naturally to </w:t>
      </w:r>
      <w:r>
        <w:rPr>
          <w:rFonts w:ascii="Georgia" w:cs="Georgia" w:eastAsia="Georgia" w:hAnsi="Georgia"/>
          <w:b/>
          <w:bCs/>
          <w:sz w:val="24"/>
          <w:szCs w:val="24"/>
        </w:rPr>
        <w:t xml:space="preserve">standards-based grading</w:t>
      </w:r>
      <w:r>
        <w:rPr>
          <w:rFonts w:ascii="Georgia" w:cs="Georgia" w:eastAsia="Georgia" w:hAnsi="Georgia"/>
          <w:sz w:val="24"/>
          <w:szCs w:val="24"/>
        </w:rPr>
        <w:t xml:space="preserve"> practices: the fellowship’s rubric dimensions describe developmental progressions informed by Modern Measurement Theory and construct-map thinking (Saubern et al.). While Year 1 will not generate sufficient data for formal Rasch modeling, the framework adopts the underlying principle of developmental continua — a natural companion to CNG’s movement toward standards-based grading.</w:t>
      </w:r>
    </w:p>
    <w:p>
      <w:pPr>
        <w:pStyle w:val="Heading3"/>
        <w:keepNext/>
        <w:spacing w:after="100" w:before="200"/>
      </w:pPr>
      <w:r>
        <w:rPr>
          <w:rFonts w:ascii="Arial" w:cs="Arial" w:eastAsia="Arial" w:hAnsi="Arial"/>
          <w:b/>
          <w:bCs/>
          <w:color w:val="1B3A5C"/>
          <w:sz w:val="24"/>
          <w:szCs w:val="24"/>
        </w:rPr>
        <w:t xml:space="preserve">SAIL as a TPACK Decision — Noticing What Teachers Already Know</w:t>
      </w:r>
    </w:p>
    <w:p>
      <w:pPr>
        <w:keepLines/>
        <w:spacing w:after="160" w:line="280"/>
      </w:pPr>
      <w:r>
        <w:rPr>
          <w:rFonts w:ascii="Georgia" w:cs="Georgia" w:eastAsia="Georgia" w:hAnsi="Georgia"/>
          <w:sz w:val="24"/>
          <w:szCs w:val="24"/>
        </w:rPr>
        <w:t xml:space="preserve">CNG teachers already make CK, PK, and TK intersections every day. The fellowship helps teachers </w:t>
      </w:r>
      <w:r>
        <w:rPr>
          <w:rFonts w:ascii="Georgia" w:cs="Georgia" w:eastAsia="Georgia" w:hAnsi="Georgia"/>
          <w:i/>
          <w:iCs/>
          <w:sz w:val="24"/>
          <w:szCs w:val="24"/>
        </w:rPr>
        <w:t xml:space="preserve">notice, name, and extend</w:t>
      </w:r>
      <w:r>
        <w:rPr>
          <w:rFonts w:ascii="Georgia" w:cs="Georgia" w:eastAsia="Georgia" w:hAnsi="Georgia"/>
          <w:sz w:val="24"/>
          <w:szCs w:val="24"/>
        </w:rPr>
        <w:t xml:space="preserve"> that integration into AI contexts. Mr. Cajina’s role in PLCs and VSR cycles is to function as a </w:t>
      </w:r>
      <w:r>
        <w:rPr>
          <w:rFonts w:ascii="Georgia" w:cs="Georgia" w:eastAsia="Georgia" w:hAnsi="Georgia"/>
          <w:i/>
          <w:iCs/>
          <w:sz w:val="24"/>
          <w:szCs w:val="24"/>
        </w:rPr>
        <w:t xml:space="preserve">mirror</w:t>
      </w:r>
      <w:r>
        <w:rPr>
          <w:rFonts w:ascii="Georgia" w:cs="Georgia" w:eastAsia="Georgia" w:hAnsi="Georgia"/>
          <w:sz w:val="24"/>
          <w:szCs w:val="24"/>
        </w:rPr>
        <w:t xml:space="preserve">: surfacing decisions teachers are already making and extending that navigation deliberately.</w:t>
      </w:r>
    </w:p>
    <w:p>
      <w:pPr>
        <w:pStyle w:val="Heading2"/>
        <w:keepNext/>
        <w:spacing w:after="120" w:before="280"/>
      </w:pPr>
      <w:r>
        <w:rPr>
          <w:rFonts w:ascii="Arial" w:cs="Arial" w:eastAsia="Arial" w:hAnsi="Arial"/>
          <w:b/>
          <w:bCs/>
          <w:color w:val="2E7D8C"/>
          <w:sz w:val="26"/>
          <w:szCs w:val="26"/>
        </w:rPr>
        <w:t xml:space="preserve">5.4  Teacher Knowledge Framework</w:t>
      </w:r>
    </w:p>
    <w:p>
      <w:pPr>
        <w:keepLines/>
        <w:spacing w:after="160" w:line="280"/>
      </w:pPr>
      <w:r>
        <w:rPr>
          <w:rFonts w:ascii="Georgia" w:cs="Georgia" w:eastAsia="Georgia" w:hAnsi="Georgia"/>
          <w:sz w:val="24"/>
          <w:szCs w:val="24"/>
        </w:rPr>
        <w:t xml:space="preserve">The fellowship develops four AI-specific knowledge layers — building on the </w:t>
      </w:r>
      <w:r>
        <w:rPr>
          <w:rFonts w:ascii="Georgia" w:cs="Georgia" w:eastAsia="Georgia" w:hAnsi="Georgia"/>
          <w:b/>
          <w:bCs/>
          <w:sz w:val="24"/>
          <w:szCs w:val="24"/>
        </w:rPr>
        <w:t xml:space="preserve">CK, PK, and PCK that departments already share</w:t>
      </w:r>
      <w:r>
        <w:rPr>
          <w:rFonts w:ascii="Georgia" w:cs="Georgia" w:eastAsia="Georgia" w:hAnsi="Georgia"/>
          <w:sz w:val="24"/>
          <w:szCs w:val="24"/>
        </w:rPr>
        <w:t xml:space="preserv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rPr>
        <w:tc>
          <w:tcPr>
            <w:tcW w:type="dxa" w:w="2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Knowledge Layer</w:t>
            </w:r>
          </w:p>
        </w:tc>
        <w:tc>
          <w:tcPr>
            <w:tcW w:type="dxa" w:w="18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The Question</w:t>
            </w:r>
          </w:p>
        </w:tc>
        <w:tc>
          <w:tcPr>
            <w:tcW w:type="dxa" w:w="5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It Requires</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1 — AI-TPACK
(Celik, 2023; Chiu, 2025)</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Can I integrate AI?</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Integrated knowledge of AI tools, disciplinary content, and pedagogy — including I-CK (how AI handles the specific knowledge structures of a discipline)</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2 — Ethical TPACK
(Celik, 2023; UNESCO, 2024;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Should I integrate AI?</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Knowledge to identify bias in AI outputs, evaluate hallucinations, protect student data privacy, preserve academic integrity, and support equitable participation</w:t>
            </w:r>
          </w:p>
        </w:tc>
      </w:tr>
      <w:tr>
        <w:trPr>
          <w:cantSplit/>
        </w:trPr>
        <w:tc>
          <w:tcPr>
            <w:tcW w:type="dxa" w:w="2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3 — Contextual Knowledge (XK)
(Porras-Hernández &amp; Salinas-Amescua, 2013)</w:t>
            </w:r>
          </w:p>
        </w:tc>
        <w:tc>
          <w:tcPr>
            <w:tcW w:type="dxa" w:w="18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i/>
                <w:iCs/>
                <w:sz w:val="22"/>
                <w:szCs w:val="22"/>
              </w:rPr>
              <w:t xml:space="preserve">Will this work here?</w:t>
            </w:r>
          </w:p>
        </w:tc>
        <w:tc>
          <w:tcPr>
            <w:tcW w:type="dxa" w:w="53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sz w:val="22"/>
                <w:szCs w:val="22"/>
              </w:rPr>
              <w:t xml:space="preserve">Understanding of school culture, student demographics, curriculum requirements, assessment pressures, available tools, and institutional policy. Departments already share CK, PK, and PCK — XK is what the fellowship makes explicit for AI contexts</w:t>
            </w:r>
          </w:p>
        </w:tc>
      </w:tr>
      <w:tr>
        <w:trPr>
          <w:cantSplit/>
        </w:trPr>
        <w:tc>
          <w:tcPr>
            <w:tcW w:type="dxa" w:w="2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color w:val="2E7D8C"/>
                <w:sz w:val="22"/>
                <w:szCs w:val="22"/>
              </w:rPr>
              <w:t xml:space="preserve">Layer 4 — HAIC-K
(Chiu, 2026)</w:t>
            </w:r>
          </w:p>
        </w:tc>
        <w:tc>
          <w:tcPr>
            <w:tcW w:type="dxa" w:w="18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i/>
                <w:iCs/>
                <w:sz w:val="22"/>
                <w:szCs w:val="22"/>
              </w:rPr>
              <w:t xml:space="preserve">How should humans and AI collaborate?</w:t>
            </w:r>
          </w:p>
        </w:tc>
        <w:tc>
          <w:tcPr>
            <w:tcW w:type="dxa" w:w="53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sz w:val="22"/>
                <w:szCs w:val="22"/>
              </w:rPr>
              <w:t xml:space="preserve">Human-AI Collaboration Knowledge: role allocation, co-agency, human oversight, verification, critique structures, and epistemic vigilance so students remain primary agents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These four layers operate </w:t>
      </w:r>
      <w:r>
        <w:rPr>
          <w:rFonts w:ascii="Georgia" w:cs="Georgia" w:eastAsia="Georgia" w:hAnsi="Georgia"/>
          <w:i/>
          <w:iCs/>
          <w:sz w:val="24"/>
          <w:szCs w:val="24"/>
        </w:rPr>
        <w:t xml:space="preserve">simultaneously</w:t>
      </w:r>
      <w:r>
        <w:rPr>
          <w:rFonts w:ascii="Georgia" w:cs="Georgia" w:eastAsia="Georgia" w:hAnsi="Georgia"/>
          <w:sz w:val="24"/>
          <w:szCs w:val="24"/>
        </w:rPr>
        <w:t xml:space="preserve">, not sequentially. Critically, </w:t>
      </w:r>
      <w:r>
        <w:rPr>
          <w:rFonts w:ascii="Georgia" w:cs="Georgia" w:eastAsia="Georgia" w:hAnsi="Georgia"/>
          <w:b/>
          <w:bCs/>
          <w:sz w:val="24"/>
          <w:szCs w:val="24"/>
        </w:rPr>
        <w:t xml:space="preserve">departments already share CK, PK, and PCK</w:t>
      </w:r>
      <w:r>
        <w:rPr>
          <w:rFonts w:ascii="Georgia" w:cs="Georgia" w:eastAsia="Georgia" w:hAnsi="Georgia"/>
          <w:sz w:val="24"/>
          <w:szCs w:val="24"/>
        </w:rPr>
        <w:t xml:space="preserve"> — the foundational knowledge that defines a discipline and how it is taught. The fellowship does not rebuild what departments already know. It builds AI-specific knowledge on top of that shared foundation. This is precisely why the departmental PLC is the right long-term unit for sustainability.</w:t>
      </w:r>
    </w:p>
    <w:p>
      <w:pPr>
        <w:pStyle w:val="Heading2"/>
        <w:keepNext/>
        <w:spacing w:after="120" w:before="280"/>
      </w:pPr>
      <w:r>
        <w:rPr>
          <w:rFonts w:ascii="Arial" w:cs="Arial" w:eastAsia="Arial" w:hAnsi="Arial"/>
          <w:b/>
          <w:bCs/>
          <w:color w:val="2E7D8C"/>
          <w:sz w:val="26"/>
          <w:szCs w:val="26"/>
        </w:rPr>
        <w:t xml:space="preserve">5.5  Understanding the Technology: GenAI Foundations for Teacher Conversations</w:t>
      </w:r>
    </w:p>
    <w:p>
      <w:pPr>
        <w:keepLines/>
        <w:spacing w:after="160" w:line="280"/>
      </w:pPr>
      <w:r>
        <w:rPr>
          <w:rFonts w:ascii="Georgia" w:cs="Georgia" w:eastAsia="Georgia" w:hAnsi="Georgia"/>
          <w:sz w:val="24"/>
          <w:szCs w:val="24"/>
        </w:rPr>
        <w:t xml:space="preserve">A central goal of the fellowship is for teachers to develop the knowledge needed to navigate AI with informed judgment rather than policy compliance. This requires knowing something about how generative AI actually works — not at an engineering level, but at the level that shapes pedagogical decision-making.</w:t>
      </w:r>
    </w:p>
    <w:p>
      <w:pPr>
        <w:keepLines/>
        <w:spacing w:after="160" w:line="280"/>
      </w:pPr>
      <w:r>
        <w:rPr>
          <w:rFonts w:ascii="Georgia" w:cs="Georgia" w:eastAsia="Georgia" w:hAnsi="Georgia"/>
          <w:sz w:val="24"/>
          <w:szCs w:val="24"/>
        </w:rPr>
        <w:t xml:space="preserve">Generative AI systems are </w:t>
      </w:r>
      <w:r>
        <w:rPr>
          <w:rFonts w:ascii="Georgia" w:cs="Georgia" w:eastAsia="Georgia" w:hAnsi="Georgia"/>
          <w:b/>
          <w:bCs/>
          <w:sz w:val="24"/>
          <w:szCs w:val="24"/>
        </w:rPr>
        <w:t xml:space="preserve">probabilistic text predictors</w:t>
      </w:r>
      <w:r>
        <w:rPr>
          <w:rFonts w:ascii="Georgia" w:cs="Georgia" w:eastAsia="Georgia" w:hAnsi="Georgia"/>
          <w:sz w:val="24"/>
          <w:szCs w:val="24"/>
        </w:rPr>
        <w:t xml:space="preserve">. They predict statistically likely sequences of tokens based on patterns in training data. When a student submits a writing prompt, the system generates a statistically plausible response — one that </w:t>
      </w:r>
      <w:r>
        <w:rPr>
          <w:rFonts w:ascii="Georgia" w:cs="Georgia" w:eastAsia="Georgia" w:hAnsi="Georgia"/>
          <w:i/>
          <w:iCs/>
          <w:sz w:val="24"/>
          <w:szCs w:val="24"/>
        </w:rPr>
        <w:t xml:space="preserve">looks like</w:t>
      </w:r>
      <w:r>
        <w:rPr>
          <w:rFonts w:ascii="Georgia" w:cs="Georgia" w:eastAsia="Georgia" w:hAnsi="Georgia"/>
          <w:sz w:val="24"/>
          <w:szCs w:val="24"/>
        </w:rPr>
        <w:t xml:space="preserve"> responses it has seen, assembled word by word based on probability distributions. Bender et al. (2021) coined the phrase </w:t>
      </w:r>
      <w:r>
        <w:rPr>
          <w:rFonts w:ascii="Georgia" w:cs="Georgia" w:eastAsia="Georgia" w:hAnsi="Georgia"/>
          <w:b/>
          <w:bCs/>
          <w:sz w:val="24"/>
          <w:szCs w:val="24"/>
        </w:rPr>
        <w:t xml:space="preserve">stochastic parrot</w:t>
      </w:r>
      <w:r>
        <w:rPr>
          <w:rFonts w:ascii="Georgia" w:cs="Georgia" w:eastAsia="Georgia" w:hAnsi="Georgia"/>
          <w:sz w:val="24"/>
          <w:szCs w:val="24"/>
        </w:rPr>
        <w:t xml:space="preserve"> to describe this: a system that produces fluent, contextually appropriate-seeming language without any grounding in meaning, understanding, or truth. This is not a flaw to be fixed. It is the nature of how these systems work.</w:t>
      </w:r>
    </w:p>
    <w:p>
      <w:pPr>
        <w:keepLines/>
        <w:spacing w:after="160" w:line="280"/>
      </w:pPr>
      <w:r>
        <w:rPr>
          <w:rFonts w:ascii="Georgia" w:cs="Georgia" w:eastAsia="Georgia" w:hAnsi="Georgia"/>
          <w:sz w:val="24"/>
          <w:szCs w:val="24"/>
        </w:rPr>
        <w:t xml:space="preserve">Teachers and students also need to understand the </w:t>
      </w:r>
      <w:r>
        <w:rPr>
          <w:rFonts w:ascii="Georgia" w:cs="Georgia" w:eastAsia="Georgia" w:hAnsi="Georgia"/>
          <w:b/>
          <w:bCs/>
          <w:sz w:val="24"/>
          <w:szCs w:val="24"/>
        </w:rPr>
        <w:t xml:space="preserve">black box problem</w:t>
      </w:r>
      <w:r>
        <w:rPr>
          <w:rFonts w:ascii="Georgia" w:cs="Georgia" w:eastAsia="Georgia" w:hAnsi="Georgia"/>
          <w:sz w:val="24"/>
          <w:szCs w:val="24"/>
        </w:rPr>
        <w:t xml:space="preserve">. Most frontier AI systems are opaque: their internal processes are not interpretable even to the teams that built them. When a teacher asks why an AI gave a particular answer, there is no reliable explanation. The system cannot tell you. This is not evasiveness — it is an architectural reality. This opacity is precisely why </w:t>
      </w:r>
      <w:r>
        <w:rPr>
          <w:rFonts w:ascii="Georgia" w:cs="Georgia" w:eastAsia="Georgia" w:hAnsi="Georgia"/>
          <w:b/>
          <w:bCs/>
          <w:sz w:val="24"/>
          <w:szCs w:val="24"/>
        </w:rPr>
        <w:t xml:space="preserve">navigating ambiguity</w:t>
      </w:r>
      <w:r>
        <w:rPr>
          <w:rFonts w:ascii="Georgia" w:cs="Georgia" w:eastAsia="Georgia" w:hAnsi="Georgia"/>
          <w:sz w:val="24"/>
          <w:szCs w:val="24"/>
        </w:rPr>
        <w:t xml:space="preserve"> is a core professional competency for the AI era: teachers must make disciplinary judgment calls about AI outputs without being able to fully verify the reasoning behind them. The VISTA Protocol is a practical mechanism for exercising that judgment in assessment design.</w:t>
      </w:r>
    </w:p>
    <w:p>
      <w:pPr>
        <w:keepLines/>
        <w:spacing w:after="160" w:line="280"/>
      </w:pPr>
      <w:r>
        <w:rPr>
          <w:rFonts w:ascii="Georgia" w:cs="Georgia" w:eastAsia="Georgia" w:hAnsi="Georgia"/>
          <w:sz w:val="24"/>
          <w:szCs w:val="24"/>
        </w:rPr>
        <w:t xml:space="preserve">The fellowship addresses these foundations not through a workshop but through </w:t>
      </w:r>
      <w:r>
        <w:rPr>
          <w:rFonts w:ascii="Georgia" w:cs="Georgia" w:eastAsia="Georgia" w:hAnsi="Georgia"/>
          <w:b/>
          <w:bCs/>
          <w:sz w:val="24"/>
          <w:szCs w:val="24"/>
        </w:rPr>
        <w:t xml:space="preserve">Cajina-facilitated conversations as teachers encounter them in practice</w:t>
      </w:r>
      <w:r>
        <w:rPr>
          <w:rFonts w:ascii="Georgia" w:cs="Georgia" w:eastAsia="Georgia" w:hAnsi="Georgia"/>
          <w:sz w:val="24"/>
          <w:szCs w:val="24"/>
        </w:rPr>
        <w:t xml:space="preserve">. When a teacher audits a task and notices that AI produces fluent analysis without genuine disciplinary reasoning, that is the moment to examine the stochastic parrot problem. When a teacher asks why AI confidently produced an incorrect claim, that is the moment to examine the black box. Understanding builds from disciplinary contact with the technology — the goal is teachers who can name both what AI can do and why its limits are genuinely irreducible.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5.6  Mr. Cajina’s Role: Year 1 Facilitation</w:t>
      </w:r>
    </w:p>
    <w:p>
      <w:pPr>
        <w:keepLines/>
        <w:spacing w:after="160" w:line="280"/>
      </w:pPr>
      <w:r>
        <w:rPr>
          <w:rFonts w:ascii="Georgia" w:cs="Georgia" w:eastAsia="Georgia" w:hAnsi="Georgia"/>
          <w:sz w:val="24"/>
          <w:szCs w:val="24"/>
        </w:rPr>
        <w:t xml:space="preserve">In Year 1, Mr. Cajina holds the facilitation role across three functions: </w:t>
      </w:r>
      <w:r>
        <w:rPr>
          <w:rFonts w:ascii="Georgia" w:cs="Georgia" w:eastAsia="Georgia" w:hAnsi="Georgia"/>
          <w:b/>
          <w:bCs/>
          <w:sz w:val="24"/>
          <w:szCs w:val="24"/>
        </w:rPr>
        <w:t xml:space="preserve">iteration feedback</w:t>
      </w:r>
      <w:r>
        <w:rPr>
          <w:rFonts w:ascii="Georgia" w:cs="Georgia" w:eastAsia="Georgia" w:hAnsi="Georgia"/>
          <w:sz w:val="24"/>
          <w:szCs w:val="24"/>
        </w:rPr>
        <w:t xml:space="preserve"> (written feedback on each redesign before enactment), </w:t>
      </w:r>
      <w:r>
        <w:rPr>
          <w:rFonts w:ascii="Georgia" w:cs="Georgia" w:eastAsia="Georgia" w:hAnsi="Georgia"/>
          <w:b/>
          <w:bCs/>
          <w:sz w:val="24"/>
          <w:szCs w:val="24"/>
        </w:rPr>
        <w:t xml:space="preserve">epistemological tension facilitation</w:t>
      </w:r>
      <w:r>
        <w:rPr>
          <w:rFonts w:ascii="Georgia" w:cs="Georgia" w:eastAsia="Georgia" w:hAnsi="Georgia"/>
          <w:sz w:val="24"/>
          <w:szCs w:val="24"/>
        </w:rPr>
        <w:t xml:space="preserve"> (surfacing the hard questions AI raises in each discipline — not to resolve them, but to make them discussable), and </w:t>
      </w:r>
      <w:r>
        <w:rPr>
          <w:rFonts w:ascii="Georgia" w:cs="Georgia" w:eastAsia="Georgia" w:hAnsi="Georgia"/>
          <w:b/>
          <w:bCs/>
          <w:sz w:val="24"/>
          <w:szCs w:val="24"/>
        </w:rPr>
        <w:t xml:space="preserve">ethical tension modeling</w:t>
      </w:r>
      <w:r>
        <w:rPr>
          <w:rFonts w:ascii="Georgia" w:cs="Georgia" w:eastAsia="Georgia" w:hAnsi="Georgia"/>
          <w:sz w:val="24"/>
          <w:szCs w:val="24"/>
        </w:rPr>
        <w:t xml:space="preserve"> (reasoning through bias, privacy, and epistemic vigilance through disciplinary cases, not policy recitation).</w:t>
      </w:r>
    </w:p>
    <w:p>
      <w:pPr>
        <w:keepLines/>
        <w:spacing w:after="160" w:line="280"/>
      </w:pPr>
      <w:r>
        <w:rPr>
          <w:rFonts w:ascii="Georgia" w:cs="Georgia" w:eastAsia="Georgia" w:hAnsi="Georgia"/>
          <w:sz w:val="24"/>
          <w:szCs w:val="24"/>
        </w:rPr>
        <w:t xml:space="preserve">From Year 2 onward, the </w:t>
      </w:r>
      <w:r>
        <w:rPr>
          <w:rFonts w:ascii="Georgia" w:cs="Georgia" w:eastAsia="Georgia" w:hAnsi="Georgia"/>
          <w:b/>
          <w:bCs/>
          <w:sz w:val="24"/>
          <w:szCs w:val="24"/>
        </w:rPr>
        <w:t xml:space="preserve">CNG AI Task Force</w:t>
      </w:r>
      <w:r>
        <w:rPr>
          <w:rFonts w:ascii="Georgia" w:cs="Georgia" w:eastAsia="Georgia" w:hAnsi="Georgia"/>
          <w:sz w:val="24"/>
          <w:szCs w:val="24"/>
        </w:rPr>
        <w:t xml:space="preserve"> assumes the facilitation role. The fellowship produces an AI Task Force Handoff Package (Appendix H) — ensuring the model is replicable without dependency on any single person. Year 1 participants who wish to contribute may do so; no assumption of volunteer co-facilitation is made.</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6. Research Base</w:t>
      </w:r>
    </w:p>
    <w:p>
      <w:pPr>
        <w:pStyle w:val="Heading2"/>
        <w:keepNext/>
        <w:spacing w:after="120" w:before="280"/>
      </w:pPr>
      <w:r>
        <w:rPr>
          <w:rFonts w:ascii="Arial" w:cs="Arial" w:eastAsia="Arial" w:hAnsi="Arial"/>
          <w:b/>
          <w:bCs/>
          <w:color w:val="2E7D8C"/>
          <w:sz w:val="26"/>
          <w:szCs w:val="26"/>
        </w:rPr>
        <w:t xml:space="preserve">6.1  Assessment Design and Validity</w:t>
      </w:r>
    </w:p>
    <w:p>
      <w:pPr>
        <w:keepLines/>
        <w:spacing w:after="160" w:line="280"/>
      </w:pPr>
      <w:r>
        <w:rPr>
          <w:rFonts w:ascii="Georgia" w:cs="Georgia" w:eastAsia="Georgia" w:hAnsi="Georgia"/>
          <w:sz w:val="24"/>
          <w:szCs w:val="24"/>
        </w:rPr>
        <w:t xml:space="preserve">Constructive alignment (Biggs, 2003) requires coherence among learning objectives, instructional activities, and assessment tasks. In AI-rich environments this breaks when assessments evaluate products AI can generate rather than the reasoning they were designed to elicit. Black and Wiliam (1998) established that formative assessment requires access to evidence of student thinking. Wiggins (1998) argued for authentic assessments requiring performance of actual disciplinary work. Pellegrino et al. (2001) articulated the assessment triangle — cognition, observation, interpretation. The VISTA Protocol operationalizes the observation vertex.</w:t>
      </w:r>
    </w:p>
    <w:p>
      <w:pPr>
        <w:keepLines/>
        <w:spacing w:after="160" w:line="280"/>
      </w:pPr>
      <w:r>
        <w:rPr>
          <w:rFonts w:ascii="Georgia" w:cs="Georgia" w:eastAsia="Georgia" w:hAnsi="Georgia"/>
          <w:b/>
          <w:bCs/>
          <w:sz w:val="24"/>
          <w:szCs w:val="24"/>
        </w:rPr>
        <w:t xml:space="preserve">Dawson (2021) </w:t>
      </w:r>
      <w:r>
        <w:rPr>
          <w:rFonts w:ascii="Georgia" w:cs="Georgia" w:eastAsia="Georgia" w:hAnsi="Georgia"/>
          <w:sz w:val="24"/>
          <w:szCs w:val="24"/>
        </w:rPr>
        <w:t xml:space="preserve">provides the intellectual foundation for this fellowship’s orientation. His argument: AI does not threaten assessment — it exposes how far assessment has drifted from its core purpose. When AI can produce the outputs we evaluate, we are forced to ask what we were actually assessing. His answer is that assessment’s human core consists of </w:t>
      </w:r>
      <w:r>
        <w:rPr>
          <w:rFonts w:ascii="Georgia" w:cs="Georgia" w:eastAsia="Georgia" w:hAnsi="Georgia"/>
          <w:b/>
          <w:bCs/>
          <w:sz w:val="24"/>
          <w:szCs w:val="24"/>
        </w:rPr>
        <w:t xml:space="preserve">dialogue, reasoning, voice, and judgment</w:t>
      </w:r>
      <w:r>
        <w:rPr>
          <w:rFonts w:ascii="Georgia" w:cs="Georgia" w:eastAsia="Georgia" w:hAnsi="Georgia"/>
          <w:sz w:val="24"/>
          <w:szCs w:val="24"/>
        </w:rPr>
        <w:t xml:space="preserve"> — four dimensions this fellowship makes its design target.</w:t>
      </w:r>
    </w:p>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fellowship’s VSR component is grounded in documented research on the </w:t>
      </w:r>
      <w:r>
        <w:rPr>
          <w:rFonts w:ascii="Georgia" w:cs="Georgia" w:eastAsia="Georgia" w:hAnsi="Georgia"/>
          <w:b/>
          <w:bCs/>
          <w:sz w:val="24"/>
          <w:szCs w:val="24"/>
        </w:rPr>
        <w:t xml:space="preserve">know-do gap</w:t>
      </w:r>
      <w:r>
        <w:rPr>
          <w:rFonts w:ascii="Georgia" w:cs="Georgia" w:eastAsia="Georgia" w:hAnsi="Georgia"/>
          <w:sz w:val="24"/>
          <w:szCs w:val="24"/>
        </w:rPr>
        <w:t xml:space="preserve"> — the persistent discrepancy between teachers’ planned technology integration (Intended TPACK) and their actual classroom performance (Enacted TPACK). Hanifah et al. (2026) propose a triadic framework — Intended, Enacted, and Reflected TPACK — and find that 65% of planned technology-rich activities are shortened or abandoned during live enactment. Video analysis reveals that the dual cognitive load of managing technical tools while facilitating student inquiry frequently exceeds teachers’ capacity, causing regression to safer, teacher-centered methods. VSR functions as a </w:t>
      </w:r>
      <w:r>
        <w:rPr>
          <w:rFonts w:ascii="Georgia" w:cs="Georgia" w:eastAsia="Georgia" w:hAnsi="Georgia"/>
          <w:b/>
          <w:bCs/>
          <w:sz w:val="24"/>
          <w:szCs w:val="24"/>
        </w:rPr>
        <w:t xml:space="preserve">metacognitive mirror</w:t>
      </w:r>
      <w:r>
        <w:rPr>
          <w:rFonts w:ascii="Georgia" w:cs="Georgia" w:eastAsia="Georgia" w:hAnsi="Georgia"/>
          <w:sz w:val="24"/>
          <w:szCs w:val="24"/>
        </w:rPr>
        <w:t xml:space="preserve">: teachers reviewing their own lesson recordings move from defensive justifications toward recognizing orchestration rigidity, building the adaptive expertise required for AI-rich classrooms. Triangulating VSR data with audit artifacts and reflections — across Intended, Enacted, and Reflected TPACK — produces the most valid depiction of how AI-TPACK develops in practice.</w:t>
      </w:r>
    </w:p>
    <w:p>
      <w:pPr>
        <w:pStyle w:val="Heading2"/>
        <w:keepNext/>
        <w:spacing w:after="120" w:before="280"/>
      </w:pPr>
      <w:r>
        <w:rPr>
          <w:rFonts w:ascii="Arial" w:cs="Arial" w:eastAsia="Arial" w:hAnsi="Arial"/>
          <w:b/>
          <w:bCs/>
          <w:color w:val="2E7D8C"/>
          <w:sz w:val="26"/>
          <w:szCs w:val="26"/>
        </w:rPr>
        <w:t xml:space="preserve">6.2  Mind, Brain, and Education: The Science of Learning Foundation</w:t>
      </w:r>
    </w:p>
    <w:p>
      <w:pPr>
        <w:keepLines/>
        <w:spacing w:after="160" w:line="280"/>
      </w:pPr>
      <w:r>
        <w:rPr>
          <w:rFonts w:ascii="Georgia" w:cs="Georgia" w:eastAsia="Georgia" w:hAnsi="Georgia"/>
          <w:sz w:val="24"/>
          <w:szCs w:val="24"/>
        </w:rPr>
        <w:t xml:space="preserve">The fellowship’s design is grounded in three bodies of science-of-learning research that translate consistently across the neuroscience, cognitive science, and educational psychology literature: Whitman and Kelleher’s </w:t>
      </w:r>
      <w:r>
        <w:rPr>
          <w:rFonts w:ascii="Georgia" w:cs="Georgia" w:eastAsia="Georgia" w:hAnsi="Georgia"/>
          <w:i/>
          <w:iCs/>
          <w:sz w:val="24"/>
          <w:szCs w:val="24"/>
        </w:rPr>
        <w:t xml:space="preserve">Neuroteach: Brain Science and the Future of Education</w:t>
      </w:r>
      <w:r>
        <w:rPr>
          <w:rFonts w:ascii="Georgia" w:cs="Georgia" w:eastAsia="Georgia" w:hAnsi="Georgia"/>
          <w:sz w:val="24"/>
          <w:szCs w:val="24"/>
        </w:rPr>
        <w:t xml:space="preserve"> (2016); Dehaene’s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(2020); and Carey’s </w:t>
      </w:r>
      <w:r>
        <w:rPr>
          <w:rFonts w:ascii="Georgia" w:cs="Georgia" w:eastAsia="Georgia" w:hAnsi="Georgia"/>
          <w:i/>
          <w:iCs/>
          <w:sz w:val="24"/>
          <w:szCs w:val="24"/>
        </w:rPr>
        <w:t xml:space="preserve">How We Learn: The Surprising Truth About When, Where, and Why It Happens</w:t>
      </w:r>
      <w:r>
        <w:rPr>
          <w:rFonts w:ascii="Georgia" w:cs="Georgia" w:eastAsia="Georgia" w:hAnsi="Georgia"/>
          <w:sz w:val="24"/>
          <w:szCs w:val="24"/>
        </w:rPr>
        <w:t xml:space="preserve"> (2014). Together, these works establish a set of principles that directly shape fellowship design decisions.</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Neuroteach</w:t>
      </w:r>
      <w:r>
        <w:rPr>
          <w:rFonts w:ascii="Georgia" w:cs="Georgia" w:eastAsia="Georgia" w:hAnsi="Georgia"/>
          <w:sz w:val="24"/>
          <w:szCs w:val="24"/>
        </w:rPr>
        <w:t xml:space="preserve"> (Whitman &amp; Kelleher, 2016): the brain encodes knowledge through active retrieval, not passive reception. Desirable difficulty — tasks that require genuine effortful processing — produces stronger memory encoding than fluent, easy performance. AI-bypassed tasks eliminate the desirable difficulty that the brain needs for learning to occur. The VISTA Protocol is, at a neuroscientific level, asking: </w:t>
      </w:r>
      <w:r>
        <w:rPr>
          <w:rFonts w:ascii="Georgia" w:cs="Georgia" w:eastAsia="Georgia" w:hAnsi="Georgia"/>
          <w:i/>
          <w:iCs/>
          <w:sz w:val="24"/>
          <w:szCs w:val="24"/>
        </w:rPr>
        <w:t xml:space="preserve">does this task require the effortful processing that enables memory consolidation?</w:t>
      </w:r>
      <w:r>
        <w:rPr>
          <w:rFonts w:ascii="Georgia" w:cs="Georgia" w:eastAsia="Georgia" w:hAnsi="Georgia"/>
          <w:sz w:val="24"/>
          <w:szCs w:val="24"/>
        </w:rPr>
        <w:t xml:space="preserve"> The flip side is the spacing effect: revisiting a redesigned assessment across multiple iterations is more powerful than a single well-designed task.</w:t>
      </w:r>
    </w:p>
    <w:p>
      <w:pPr>
        <w:keepLines/>
        <w:spacing w:after="160" w:line="280"/>
      </w:pPr>
      <w:r>
        <w:rPr>
          <w:rFonts w:ascii="Georgia" w:cs="Georgia" w:eastAsia="Georgia" w:hAnsi="Georgia"/>
          <w:sz w:val="24"/>
          <w:szCs w:val="24"/>
        </w:rPr>
        <w:t xml:space="preserve">From </w:t>
      </w:r>
      <w:r>
        <w:rPr>
          <w:rFonts w:ascii="Georgia" w:cs="Georgia" w:eastAsia="Georgia" w:hAnsi="Georgia"/>
          <w:b/>
          <w:bCs/>
          <w:sz w:val="24"/>
          <w:szCs w:val="24"/>
        </w:rPr>
        <w:t xml:space="preserve">How We Learn</w:t>
      </w:r>
      <w:r>
        <w:rPr>
          <w:rFonts w:ascii="Georgia" w:cs="Georgia" w:eastAsia="Georgia" w:hAnsi="Georgia"/>
          <w:sz w:val="24"/>
          <w:szCs w:val="24"/>
        </w:rPr>
        <w:t xml:space="preserve"> (Dehaene, 2020): four pillars of learning are attention, active engagement, error feedback, and consolidation. Dehaene argues explicitly that passive, fluent generation — the mode AI operates in — does not produce learning. Only the student who makes the errors, receives the feedback, and actively corrects their understanding is learning. This is not a metaphor: it is a neural mechanism. AI that completes tasks for students removes all four pillars simultaneously. The fellowship’s redesign pathways — reasoning vlogs, revision narratives, AI rejection logs — are designed to restore attention, active engagement, and error feedback to tasks where AI would otherwise eliminate them.</w:t>
      </w:r>
    </w:p>
    <w:p>
      <w:pPr>
        <w:keepLines/>
        <w:spacing w:after="160" w:line="280"/>
      </w:pPr>
      <w:r>
        <w:rPr>
          <w:rFonts w:ascii="Georgia" w:cs="Georgia" w:eastAsia="Georgia" w:hAnsi="Georgia"/>
          <w:sz w:val="24"/>
          <w:szCs w:val="24"/>
        </w:rPr>
        <w:t xml:space="preserve">A direct connection: Dehaene’s discussion of the </w:t>
      </w:r>
      <w:r>
        <w:rPr>
          <w:rFonts w:ascii="Georgia" w:cs="Georgia" w:eastAsia="Georgia" w:hAnsi="Georgia"/>
          <w:b/>
          <w:bCs/>
          <w:sz w:val="24"/>
          <w:szCs w:val="24"/>
        </w:rPr>
        <w:t xml:space="preserve">consciousness of error</w:t>
      </w:r>
      <w:r>
        <w:rPr>
          <w:rFonts w:ascii="Georgia" w:cs="Georgia" w:eastAsia="Georgia" w:hAnsi="Georgia"/>
          <w:sz w:val="24"/>
          <w:szCs w:val="24"/>
        </w:rPr>
        <w:t xml:space="preserve"> maps precisely onto the fellowship’s emphasis on visible reasoning. When a student documents a moment where they rejected an AI suggestion, they are engaging the very neural mechanism — prediction error — that Dehaene identifies as central to learning. The AI rejection log is not just a transparency protocol. It is a science-of-learning intervention.</w:t>
      </w:r>
    </w:p>
    <w:p>
      <w:pPr>
        <w:keepLines/>
        <w:spacing w:after="160" w:line="280"/>
      </w:pPr>
      <w:r>
        <w:rPr>
          <w:rFonts w:ascii="Georgia" w:cs="Georgia" w:eastAsia="Georgia" w:hAnsi="Georgia"/>
          <w:sz w:val="24"/>
          <w:szCs w:val="24"/>
        </w:rPr>
        <w:t xml:space="preserve">The implications for AI-era assessment design are direct: if a task produces no attention, no active engagement, no error feedback, and no consolidation, it produces no learning — regardless of how polished the output looks. The VISTA Protocol’s central question is, at this level, asking whether a task still produces the conditions under which brains learn.</w:t>
      </w:r>
    </w:p>
    <w:p>
      <w:pPr>
        <w:keepLines/>
        <w:spacing w:after="160" w:line="280"/>
      </w:pPr>
      <w:r>
        <w:rPr>
          <w:rFonts w:ascii="Georgia" w:cs="Georgia" w:eastAsia="Georgia" w:hAnsi="Georgia"/>
          <w:sz w:val="24"/>
          <w:szCs w:val="24"/>
        </w:rPr>
        <w:t xml:space="preserve">The fellowship is explicitly grounded in the </w:t>
      </w:r>
      <w:r>
        <w:rPr>
          <w:rFonts w:ascii="Georgia" w:cs="Georgia" w:eastAsia="Georgia" w:hAnsi="Georgia"/>
          <w:b/>
          <w:bCs/>
          <w:sz w:val="24"/>
          <w:szCs w:val="24"/>
        </w:rPr>
        <w:t xml:space="preserve">Science of Learning (SoL)</w:t>
      </w:r>
      <w:r>
        <w:rPr>
          <w:rFonts w:ascii="Georgia" w:cs="Georgia" w:eastAsia="Georgia" w:hAnsi="Georgia"/>
          <w:sz w:val="24"/>
          <w:szCs w:val="24"/>
        </w:rPr>
        <w:t xml:space="preserve"> literature — specifically Dehaene’s </w:t>
      </w:r>
      <w:r>
        <w:rPr>
          <w:rFonts w:ascii="Georgia" w:cs="Georgia" w:eastAsia="Georgia" w:hAnsi="Georgia"/>
          <w:i/>
          <w:iCs/>
          <w:sz w:val="24"/>
          <w:szCs w:val="24"/>
        </w:rPr>
        <w:t xml:space="preserve">How We Learn</w:t>
      </w:r>
      <w:r>
        <w:rPr>
          <w:rFonts w:ascii="Georgia" w:cs="Georgia" w:eastAsia="Georgia" w:hAnsi="Georgia"/>
          <w:sz w:val="24"/>
          <w:szCs w:val="24"/>
        </w:rPr>
        <w:t xml:space="preserve"> (2020) and Whitman and Kelleher’s </w:t>
      </w:r>
      <w:r>
        <w:rPr>
          <w:rFonts w:ascii="Georgia" w:cs="Georgia" w:eastAsia="Georgia" w:hAnsi="Georgia"/>
          <w:i/>
          <w:iCs/>
          <w:sz w:val="24"/>
          <w:szCs w:val="24"/>
        </w:rPr>
        <w:t xml:space="preserve">Neuroteach</w:t>
      </w:r>
      <w:r>
        <w:rPr>
          <w:rFonts w:ascii="Georgia" w:cs="Georgia" w:eastAsia="Georgia" w:hAnsi="Georgia"/>
          <w:sz w:val="24"/>
          <w:szCs w:val="24"/>
        </w:rPr>
        <w:t xml:space="preserve"> (2016), which translates Mind, Brain, and Education (MBE) research into classroom-applicable principles. These sources are not background context. They are the </w:t>
      </w:r>
      <w:r>
        <w:rPr>
          <w:rFonts w:ascii="Georgia" w:cs="Georgia" w:eastAsia="Georgia" w:hAnsi="Georgia"/>
          <w:i/>
          <w:iCs/>
          <w:sz w:val="24"/>
          <w:szCs w:val="24"/>
        </w:rPr>
        <w:t xml:space="preserve">design rationale</w:t>
      </w:r>
      <w:r>
        <w:rPr>
          <w:rFonts w:ascii="Georgia" w:cs="Georgia" w:eastAsia="Georgia" w:hAnsi="Georgia"/>
          <w:sz w:val="24"/>
          <w:szCs w:val="24"/>
        </w:rPr>
        <w:t xml:space="preserve"> for every protocol, PLC structure, and iteration cycle in the fellowship.</w:t>
      </w:r>
    </w:p>
    <w:p>
      <w:pPr>
        <w:keepLines/>
        <w:spacing w:after="160" w:line="280"/>
      </w:pPr>
      <w:r>
        <w:rPr>
          <w:rFonts w:ascii="Georgia" w:cs="Georgia" w:eastAsia="Georgia" w:hAnsi="Georgia"/>
          <w:sz w:val="24"/>
          <w:szCs w:val="24"/>
        </w:rPr>
        <w:t xml:space="preserve">Whitman and Kelleher (2016) distill the MBE research into twelve principles that the fellowship operationalizes directly. The table below maps each principle to its fellowship mechanism. Critically, </w:t>
      </w:r>
      <w:r>
        <w:rPr>
          <w:rFonts w:ascii="Georgia" w:cs="Georgia" w:eastAsia="Georgia" w:hAnsi="Georgia"/>
          <w:b/>
          <w:bCs/>
          <w:sz w:val="24"/>
          <w:szCs w:val="24"/>
        </w:rPr>
        <w:t xml:space="preserve">TPACK is the theoretical bridge</w:t>
      </w:r>
      <w:r>
        <w:rPr>
          <w:rFonts w:ascii="Georgia" w:cs="Georgia" w:eastAsia="Georgia" w:hAnsi="Georgia"/>
          <w:sz w:val="24"/>
          <w:szCs w:val="24"/>
        </w:rPr>
        <w:t xml:space="preserve"> between these principles and classroom practice: understanding how the brain learns (MBE) tells us what good learning looks like; understanding how to integrate technology purposefully into that learning (TPACK) tells us how to design the assessment and AI-use structures that support it. When the fellowship develops teachers’ AI-TPACK, Ethical TPACK, XK, and HAIC-K, it is building the TPACK infrastructure that makes MBE principles actionable in AI-rich classrooms. TPACK is the foundation of that research — the bridge between learning science and instructional design.</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MBE Principle (Whitman &amp; Kelleher, 2016)</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Mechanism (TPACK Bridge)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 Prior knowledge matters: new learning builds on what learners already know</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begins with the VISTA Protocol — which requires teachers to surface their existing disciplinary knowledge (CK and PCK) as the foundation for I-CK development. TPACK builds on prior content knowledge, not around it.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2. Learning requires attention: focused attention is prerequisite to encoding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PLC sessions are 30 minutes by design — within the attention bandwidth that produces encoding. VSR cycles focus on one specific hinge point. No session tries to cover everything.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3. Learning is enhanced by emotion: moderate challenge with safety produces optimal engagement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design creates psychological safety through 1:1 written feedback before public enactment. Teachers encounter challenge (audit, redesign) in low-stakes async contexts before high-stakes classroom enactment.</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4. Spaced practice: distributed practice over time outperforms massed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year-long iteration arc — multiple design-enact-revise cycles distributed across eleven months — directly operationalizes spaced practice. Professional learning is not a workshop. It is a sustained cycle.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5. Interleaving: mixing topics or problem types improves long-term retention</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Cross-disciplinary PLC discussions deliberately interleave perspectives from mathematics, science, humanities, and arts. Seeing how the VISTA Protocol works in another discipline strengthens understanding in one’s own.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6. Retrieval practice: testing oneself on material strengthens memory more than re-reading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VSR cycles require teachers to retrieve and articulate their own instructional decisions from video evidence — a form of self-testing that produces deeper encoding than reflective journaling alone.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7. Metacognition: awareness and regulation of one’s own thinking is teachable</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Metacognition rubric dimension, the Reasoning Vlog protocol, and the Revision Narrative protocol all target metacognitive development explicitly. Teachers develop metacognitive habits; students develop them through visible reasoning protocols.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8. Feedback: specific, timely feedback accelerates learning</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Cajina provides written feedback on every redesign before enactment — not after. Feedback is specific (design quality, SAIL coherence, intellectual labour visibility) rather than general. The TPACK framework specifies what to give feedback 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9. Active engagement: passive reception does not produce durable learning</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Every fellowship touchpoint requires active production: audit, redesign, artifact review, VSR analysis, showcase presentation. There are no lecture sessions. The PLC Protocol culminates in one specific design change, not a discussion conclusion.</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10. Sleep and consolidation: learning consolidates during rest; distributed sessions outperform marathon sessions</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fellowship’s eleven-month distributed structure directly reflects consolidation research. Monthly touchpoints allow consolidation between active design cycles. No marathon PD days.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i/>
                <w:iCs/>
                <w:sz w:val="22"/>
                <w:szCs w:val="22"/>
              </w:rPr>
              <w:t xml:space="preserve">11. Stress and learning: chronic stress impairs learning; moderate challenge supports it</w:t>
            </w:r>
          </w:p>
        </w:tc>
        <w:tc>
          <w:tcPr>
            <w:tcW w:type="dxa" w:w="5760"/>
            <w:tcBorders>
              <w:top w:val="single" w:color="C5DCE4" w:sz="4"/>
              <w:left w:val="single" w:color="C5DCE4" w:sz="4"/>
              <w:bottom w:val="single" w:color="C5DCE4" w:sz="4"/>
              <w:right w:val="single" w:color="C5DCE4" w:sz="4"/>
            </w:tcBorders>
            <w:shd w:fill="EAF2F5" w:val="clear"/>
            <w:tcMar>
              <w:top w:type="dxa" w:w="80"/>
              <w:left w:type="dxa" w:w="140"/>
              <w:bottom w:type="dxa" w:w="80"/>
              <w:right w:type="dxa" w:w="140"/>
            </w:tcMar>
          </w:tcPr>
          <w:p>
            <w:pPr>
              <w:spacing w:after="0"/>
            </w:pPr>
            <w:r>
              <w:rPr>
                <w:rFonts w:ascii="Georgia" w:cs="Georgia" w:eastAsia="Georgia" w:hAnsi="Georgia"/>
                <w:sz w:val="22"/>
                <w:szCs w:val="22"/>
              </w:rPr>
              <w:t xml:space="preserve">The Fellowship is designed for the tired teacher in February. Async feedback, voluntary third iterations, and 30-second design questions (the VISTA (Visibility Into Student Thinking and Agency) Protocol) are explicit workload design decisions grounded in stress-learning research.</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i/>
                <w:iCs/>
                <w:sz w:val="22"/>
                <w:szCs w:val="22"/>
              </w:rPr>
              <w:t xml:space="preserve">12. The learning environment matters: physical and social context shapes what is learned and retained</w:t>
            </w:r>
          </w:p>
        </w:tc>
        <w:tc>
          <w:tcPr>
            <w:tcW w:type="dxa" w:w="5760"/>
            <w:tcBorders>
              <w:top w:val="single" w:color="C5DCE4" w:sz="4"/>
              <w:left w:val="single" w:color="C5DCE4" w:sz="4"/>
              <w:bottom w:val="single" w:color="C5DCE4" w:sz="4"/>
              <w:right w:val="single" w:color="C5DCE4" w:sz="4"/>
            </w:tcBorders>
            <w:shd w:fill="FFFFFF" w:val="clear"/>
            <w:tcMar>
              <w:top w:type="dxa" w:w="80"/>
              <w:left w:type="dxa" w:w="140"/>
              <w:bottom w:type="dxa" w:w="80"/>
              <w:right w:type="dxa" w:w="140"/>
            </w:tcMar>
          </w:tcPr>
          <w:p>
            <w:pPr>
              <w:spacing w:after="0"/>
            </w:pPr>
            <w:r>
              <w:rPr>
                <w:rFonts w:ascii="Georgia" w:cs="Georgia" w:eastAsia="Georgia" w:hAnsi="Georgia"/>
                <w:sz w:val="22"/>
                <w:szCs w:val="22"/>
              </w:rPr>
              <w:t xml:space="preserve">The Department Cognitive Agency PLC Protocol is designed for the existing departmental meeting room, existing meeting time, and existing PLC culture — not a new environment. The Knowledge Hub is accessible from wherever teachers already work.</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Dehaene (2020) contributes four </w:t>
      </w:r>
      <w:r>
        <w:rPr>
          <w:rFonts w:ascii="Georgia" w:cs="Georgia" w:eastAsia="Georgia" w:hAnsi="Georgia"/>
          <w:b/>
          <w:bCs/>
          <w:sz w:val="24"/>
          <w:szCs w:val="24"/>
        </w:rPr>
        <w:t xml:space="preserve">pillars of learning</w:t>
      </w:r>
      <w:r>
        <w:rPr>
          <w:rFonts w:ascii="Georgia" w:cs="Georgia" w:eastAsia="Georgia" w:hAnsi="Georgia"/>
          <w:sz w:val="24"/>
          <w:szCs w:val="24"/>
        </w:rPr>
        <w:t xml:space="preserve"> that reinforce this design: </w:t>
      </w:r>
      <w:r>
        <w:rPr>
          <w:rFonts w:ascii="Georgia" w:cs="Georgia" w:eastAsia="Georgia" w:hAnsi="Georgia"/>
          <w:b/>
          <w:bCs/>
          <w:sz w:val="24"/>
          <w:szCs w:val="24"/>
        </w:rPr>
        <w:t xml:space="preserve">attention</w:t>
      </w:r>
      <w:r>
        <w:rPr>
          <w:rFonts w:ascii="Georgia" w:cs="Georgia" w:eastAsia="Georgia" w:hAnsi="Georgia"/>
          <w:sz w:val="24"/>
          <w:szCs w:val="24"/>
        </w:rPr>
        <w:t xml:space="preserve"> (the fellowship structures focused, bounded sessions), </w:t>
      </w:r>
      <w:r>
        <w:rPr>
          <w:rFonts w:ascii="Georgia" w:cs="Georgia" w:eastAsia="Georgia" w:hAnsi="Georgia"/>
          <w:b/>
          <w:bCs/>
          <w:sz w:val="24"/>
          <w:szCs w:val="24"/>
        </w:rPr>
        <w:t xml:space="preserve">active engagement</w:t>
      </w:r>
      <w:r>
        <w:rPr>
          <w:rFonts w:ascii="Georgia" w:cs="Georgia" w:eastAsia="Georgia" w:hAnsi="Georgia"/>
          <w:sz w:val="24"/>
          <w:szCs w:val="24"/>
        </w:rPr>
        <w:t xml:space="preserve"> (every touchpoint requires production), </w:t>
      </w:r>
      <w:r>
        <w:rPr>
          <w:rFonts w:ascii="Georgia" w:cs="Georgia" w:eastAsia="Georgia" w:hAnsi="Georgia"/>
          <w:b/>
          <w:bCs/>
          <w:sz w:val="24"/>
          <w:szCs w:val="24"/>
        </w:rPr>
        <w:t xml:space="preserve">error feedback</w:t>
      </w:r>
      <w:r>
        <w:rPr>
          <w:rFonts w:ascii="Georgia" w:cs="Georgia" w:eastAsia="Georgia" w:hAnsi="Georgia"/>
          <w:sz w:val="24"/>
          <w:szCs w:val="24"/>
        </w:rPr>
        <w:t xml:space="preserve"> (iteration cycles are designed around encountering and revising based on what student artifacts reveal), and </w:t>
      </w:r>
      <w:r>
        <w:rPr>
          <w:rFonts w:ascii="Georgia" w:cs="Georgia" w:eastAsia="Georgia" w:hAnsi="Georgia"/>
          <w:b/>
          <w:bCs/>
          <w:sz w:val="24"/>
          <w:szCs w:val="24"/>
        </w:rPr>
        <w:t xml:space="preserve">consolidation</w:t>
      </w:r>
      <w:r>
        <w:rPr>
          <w:rFonts w:ascii="Georgia" w:cs="Georgia" w:eastAsia="Georgia" w:hAnsi="Georgia"/>
          <w:sz w:val="24"/>
          <w:szCs w:val="24"/>
        </w:rPr>
        <w:t xml:space="preserve"> (the distributed eleven-month arc). When teachers develop AI-TPACK and HAIC-K through this fellowship, they are not just learning new knowledge — they are learning in the way the brain learns best: through distributed, active, feedback-rich, metacognitive practice. The PD design </w:t>
      </w:r>
      <w:r>
        <w:rPr>
          <w:rFonts w:ascii="Georgia" w:cs="Georgia" w:eastAsia="Georgia" w:hAnsi="Georgia"/>
          <w:i/>
          <w:iCs/>
          <w:sz w:val="24"/>
          <w:szCs w:val="24"/>
        </w:rPr>
        <w:t xml:space="preserve">enacts</w:t>
      </w:r>
      <w:r>
        <w:rPr>
          <w:rFonts w:ascii="Georgia" w:cs="Georgia" w:eastAsia="Georgia" w:hAnsi="Georgia"/>
          <w:sz w:val="24"/>
          <w:szCs w:val="24"/>
        </w:rPr>
        <w:t xml:space="preserve"> the same principles it asks teachers to apply.</w:t>
      </w:r>
    </w:p>
    <w:p>
      <w:pPr>
        <w:pStyle w:val="Heading2"/>
        <w:keepNext/>
        <w:spacing w:after="120" w:before="280"/>
      </w:pPr>
      <w:r>
        <w:rPr>
          <w:rFonts w:ascii="Arial" w:cs="Arial" w:eastAsia="Arial" w:hAnsi="Arial"/>
          <w:b/>
          <w:bCs/>
          <w:color w:val="2E7D8C"/>
          <w:sz w:val="26"/>
          <w:szCs w:val="26"/>
        </w:rPr>
        <w:t xml:space="preserve">6.3  Validity Argument and Measurement</w:t>
      </w:r>
    </w:p>
    <w:p>
      <w:pPr>
        <w:keepLines/>
        <w:spacing w:after="160" w:line="280"/>
      </w:pPr>
      <w:r>
        <w:rPr>
          <w:rFonts w:ascii="Georgia" w:cs="Georgia" w:eastAsia="Georgia" w:hAnsi="Georgia"/>
          <w:sz w:val="24"/>
          <w:szCs w:val="24"/>
        </w:rPr>
        <w:t xml:space="preserve">This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claims about learning are supported through the convergence of multiple evidence sources, not any single artifact. The strength of an interpretation increases when evidence converges across assessment design, interaction traces, student artifacts, teacher observations, and reflective accounts.</w:t>
      </w:r>
    </w:p>
    <w:p>
      <w:pPr>
        <w:keepLines/>
        <w:spacing w:after="160" w:line="280"/>
      </w:pPr>
      <w:r>
        <w:rPr>
          <w:rFonts w:ascii="Georgia" w:cs="Georgia" w:eastAsia="Georgia" w:hAnsi="Georgia"/>
          <w:sz w:val="24"/>
          <w:szCs w:val="24"/>
        </w:rPr>
        <w:t xml:space="preserve">The fellowship is informed by Modern Measurement Theory (MMT) and construct-map thinking (Saubern et al.), emphasizing developmental progressions rather than binary proficiency judgments. While Year 1 will not generate sufficient data for formal Rasch modeling, the framework adopts the underlying principle of developmental continua.</w:t>
      </w:r>
    </w:p>
    <w:p>
      <w:pPr>
        <w:keepLines/>
        <w:spacing w:after="160" w:line="280"/>
      </w:pPr>
      <w:r>
        <w:rPr>
          <w:rFonts w:ascii="Georgia" w:cs="Georgia" w:eastAsia="Georgia" w:hAnsi="Georgia"/>
          <w:sz w:val="24"/>
          <w:szCs w:val="24"/>
        </w:rPr>
        <w:t xml:space="preserve">A key methodological distinction runs through all measurement in this fellowship: </w:t>
      </w:r>
      <w:r>
        <w:rPr>
          <w:rFonts w:ascii="Georgia" w:cs="Georgia" w:eastAsia="Georgia" w:hAnsi="Georgia"/>
          <w:b/>
          <w:bCs/>
          <w:sz w:val="24"/>
          <w:szCs w:val="24"/>
        </w:rPr>
        <w:t xml:space="preserve">confidence is not competence</w:t>
      </w:r>
      <w:r>
        <w:rPr>
          <w:rFonts w:ascii="Georgia" w:cs="Georgia" w:eastAsia="Georgia" w:hAnsi="Georgia"/>
          <w:sz w:val="24"/>
          <w:szCs w:val="24"/>
        </w:rPr>
        <w:t xml:space="preserve">. Self-report surveys measure what teachers believe they can do; the Technology Integration Assessment Instrument (TIAI) measures what they actually design. The TIAI scores the ‘fit’ and alignment of technology, pedagogy, and content in observed lesson plans and assessment designs, producing a pre/post comparison that shows how AI-TPACK manifests in teachers’ actual instructional decisions across iterations. The VISTA audit artifact provides the primary evidence source for this comparison, while VSR transcripts provide the Enacted and Reflected TPACK dimensions.</w:t>
      </w:r>
    </w:p>
    <w:p>
      <w:pPr>
        <w:keepLines/>
        <w:spacing w:after="160" w:line="280"/>
      </w:pPr>
      <w:r>
        <w:rPr>
          <w:rFonts w:ascii="Georgia" w:cs="Georgia" w:eastAsia="Georgia" w:hAnsi="Georgia"/>
          <w:b/>
          <w:bCs/>
          <w:sz w:val="24"/>
          <w:szCs w:val="24"/>
        </w:rPr>
        <w:t xml:space="preserve">On verbal fluency: </w:t>
      </w:r>
      <w:r>
        <w:rPr>
          <w:rFonts w:ascii="Georgia" w:cs="Georgia" w:eastAsia="Georgia" w:hAnsi="Georgia"/>
          <w:sz w:val="24"/>
          <w:szCs w:val="24"/>
        </w:rPr>
        <w:t xml:space="preserve">The fellowship mitigates verbal fluency bias through UDL safeguards and action-based evidence. Interaction traces — revision narratives, prompt logs, creation artifacts, embodied demonstrations — demonstrate the human moves in a project regardless of verbal fluency. The score is assigned to the demonstrated decision-making arc, not the polish of the explanation.</w:t>
      </w:r>
    </w:p>
    <w:p>
      <w:pPr>
        <w:pStyle w:val="Heading2"/>
        <w:keepNext/>
        <w:spacing w:after="120" w:before="280"/>
      </w:pPr>
      <w:r>
        <w:rPr>
          <w:rFonts w:ascii="Arial" w:cs="Arial" w:eastAsia="Arial" w:hAnsi="Arial"/>
          <w:b/>
          <w:bCs/>
          <w:color w:val="2E7D8C"/>
          <w:sz w:val="26"/>
          <w:szCs w:val="26"/>
        </w:rPr>
        <w:t xml:space="preserve">6.4  Departmental PLCs as the Long-Term Unit</w:t>
      </w:r>
    </w:p>
    <w:p>
      <w:pPr>
        <w:keepLines/>
        <w:spacing w:after="160" w:line="280"/>
      </w:pPr>
      <w:r>
        <w:rPr>
          <w:rFonts w:ascii="Georgia" w:cs="Georgia" w:eastAsia="Georgia" w:hAnsi="Georgia"/>
          <w:sz w:val="24"/>
          <w:szCs w:val="24"/>
        </w:rPr>
        <w:t xml:space="preserve">Fullan (2016) demonstrates that deep learning requires embedding new practices in collaborative professional structures. DuFour and Eaker (1998) establish that PLCs built around shared inquiry into student learning are the most powerful professional development model available. Coburn (2003) argues that sustainable reform requires </w:t>
      </w:r>
      <w:r>
        <w:rPr>
          <w:rFonts w:ascii="Georgia" w:cs="Georgia" w:eastAsia="Georgia" w:hAnsi="Georgia"/>
          <w:i/>
          <w:iCs/>
          <w:sz w:val="24"/>
          <w:szCs w:val="24"/>
        </w:rPr>
        <w:t xml:space="preserve">deep</w:t>
      </w:r>
      <w:r>
        <w:rPr>
          <w:rFonts w:ascii="Georgia" w:cs="Georgia" w:eastAsia="Georgia" w:hAnsi="Georgia"/>
          <w:sz w:val="24"/>
          <w:szCs w:val="24"/>
        </w:rPr>
        <w:t xml:space="preserve"> change — shifting underlying beliefs and practices — most reliably produced through communities of practice.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the collective knowledge, skill, and decisiveness of a teaching community — as the key variable in educational improvement.</w:t>
      </w:r>
    </w:p>
    <w:p>
      <w:pPr>
        <w:keepLines/>
        <w:spacing w:after="160" w:line="280"/>
      </w:pPr>
      <w:r>
        <w:rPr>
          <w:rFonts w:ascii="Georgia" w:cs="Georgia" w:eastAsia="Georgia" w:hAnsi="Georgia"/>
          <w:sz w:val="24"/>
          <w:szCs w:val="24"/>
        </w:rPr>
        <w:t xml:space="preserve">Departments are the right unit because they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domains that make AI-specific knowledge meaningful. A science department that shares a commitment to evidence-based reasoning already has the PCK that makes Ethical TPACK concrete. The fellowship does not build new PLCs. It enriches existing ones with the AI-specific knowledge layers their shared CK and PK need in order to navigate AI-rich classrooms.</w:t>
      </w:r>
    </w:p>
    <w:p>
      <w:pPr>
        <w:keepLines/>
        <w:spacing w:after="160" w:line="280"/>
      </w:pPr>
      <w:r>
        <w:rPr>
          <w:rFonts w:ascii="Georgia" w:cs="Georgia" w:eastAsia="Georgia" w:hAnsi="Georgia"/>
          <w:sz w:val="24"/>
          <w:szCs w:val="24"/>
        </w:rPr>
        <w:t xml:space="preserve">Research on AI-era professional development adds a further argument: AI-TPACK development is </w:t>
      </w:r>
      <w:r>
        <w:rPr>
          <w:rFonts w:ascii="Georgia" w:cs="Georgia" w:eastAsia="Georgia" w:hAnsi="Georgia"/>
          <w:i/>
          <w:iCs/>
          <w:sz w:val="24"/>
          <w:szCs w:val="24"/>
        </w:rPr>
        <w:t xml:space="preserve">inherently social</w:t>
      </w:r>
      <w:r>
        <w:rPr>
          <w:rFonts w:ascii="Georgia" w:cs="Georgia" w:eastAsia="Georgia" w:hAnsi="Georgia"/>
          <w:sz w:val="24"/>
          <w:szCs w:val="24"/>
        </w:rPr>
        <w:t xml:space="preserve">. Studies propose the concept of </w:t>
      </w:r>
      <w:r>
        <w:rPr>
          <w:rFonts w:ascii="Georgia" w:cs="Georgia" w:eastAsia="Georgia" w:hAnsi="Georgia"/>
          <w:b/>
          <w:bCs/>
          <w:sz w:val="24"/>
          <w:szCs w:val="24"/>
        </w:rPr>
        <w:t xml:space="preserve">Collective TPACK</w:t>
      </w:r>
      <w:r>
        <w:rPr>
          <w:rFonts w:ascii="Georgia" w:cs="Georgia" w:eastAsia="Georgia" w:hAnsi="Georgia"/>
          <w:sz w:val="24"/>
          <w:szCs w:val="24"/>
        </w:rPr>
        <w:t xml:space="preserve"> — the shared, distributed AI-pedagogical knowledge that emerges when teachers work together on real disciplinary problems, rather than developing AI knowledge in isolation. Generic training fails because AI’s impact is highly dependent on subject matter: STEM faculty often develop different AI competencies than humanities faculty, and one-size-fits-all workshops cannot provide the discipline-sensitive support that departments naturally offer. PLCs allow teachers to collaboratively create shared norms for specific tools, ensuring AI use is aligned with departmental standards rather than individually improvised.</w:t>
      </w:r>
    </w:p>
    <w:p>
      <w:pPr>
        <w:keepLines/>
        <w:spacing w:after="160" w:line="280"/>
      </w:pPr>
      <w:r>
        <w:rPr>
          <w:rFonts w:ascii="Georgia" w:cs="Georgia" w:eastAsia="Georgia" w:hAnsi="Georgia"/>
          <w:sz w:val="24"/>
          <w:szCs w:val="24"/>
        </w:rPr>
        <w:t xml:space="preserve">A specific risk the departmental structure addresses is what researchers call the </w:t>
      </w:r>
      <w:r>
        <w:rPr>
          <w:rFonts w:ascii="Georgia" w:cs="Georgia" w:eastAsia="Georgia" w:hAnsi="Georgia"/>
          <w:b/>
          <w:bCs/>
          <w:sz w:val="24"/>
          <w:szCs w:val="24"/>
        </w:rPr>
        <w:t xml:space="preserve">XK filter</w:t>
      </w:r>
      <w:r>
        <w:rPr>
          <w:rFonts w:ascii="Georgia" w:cs="Georgia" w:eastAsia="Georgia" w:hAnsi="Georgia"/>
          <w:sz w:val="24"/>
          <w:szCs w:val="24"/>
        </w:rPr>
        <w:t xml:space="preserve">: institutional pressures like exam pacing, curriculum requirements, and assessment timelines suppress AI innovation even in willing, capable teachers. A classroom teacher working alone cannot negotiate those pressures. A department leader in the room can. This is why the fellowship pairs department leadership with teachers from the outset — not only because department leadership can spread the protocol later, but because their positional authority creates the conditions under which genuine redesign is possible at all.</w:t>
      </w:r>
    </w:p>
    <w:p>
      <w:pPr>
        <w:keepLines/>
        <w:spacing w:after="160" w:line="280"/>
      </w:pPr>
      <w:r>
        <w:rPr>
          <w:rFonts w:ascii="Georgia" w:cs="Georgia" w:eastAsia="Georgia" w:hAnsi="Georgia"/>
          <w:sz w:val="24"/>
          <w:szCs w:val="24"/>
        </w:rPr>
        <w:t xml:space="preserve">Finally, research consistently shows that teachers who engage in job-embedded professional development report higher digital self-efficacy and are more likely to perceive technology as a resource rather than a threat. The fellowship’s design — working with real assessments, real students, and specific written feedback across a sustained year-long cycle — is job-embedded by design. The PLC is not a separate learning activity. It is the site where </w:t>
      </w:r>
      <w:r>
        <w:rPr>
          <w:rFonts w:ascii="Georgia" w:cs="Georgia" w:eastAsia="Georgia" w:hAnsi="Georgia"/>
          <w:b/>
          <w:bCs/>
          <w:sz w:val="24"/>
          <w:szCs w:val="24"/>
        </w:rPr>
        <w:t xml:space="preserve">collective sensemaking</w:t>
      </w:r>
      <w:r>
        <w:rPr>
          <w:rFonts w:ascii="Georgia" w:cs="Georgia" w:eastAsia="Georgia" w:hAnsi="Georgia"/>
          <w:sz w:val="24"/>
          <w:szCs w:val="24"/>
        </w:rPr>
        <w:t xml:space="preserve"> happens: where teachers together negotiate what AI means for their discipline, redefine their roles, and build the shared professional language that makes change durable.</w:t>
      </w:r>
    </w:p>
    <w:p>
      <w:pPr>
        <w:pStyle w:val="Heading2"/>
        <w:keepNext/>
        <w:spacing w:after="120" w:before="280"/>
      </w:pPr>
      <w:r>
        <w:rPr>
          <w:rFonts w:ascii="Arial" w:cs="Arial" w:eastAsia="Arial" w:hAnsi="Arial"/>
          <w:b/>
          <w:bCs/>
          <w:color w:val="2E7D8C"/>
          <w:sz w:val="26"/>
          <w:szCs w:val="26"/>
        </w:rPr>
        <w:t xml:space="preserve">6.5  Disciplinary Sciences of Teaching and I-CK Development</w:t>
      </w:r>
    </w:p>
    <w:p>
      <w:pPr>
        <w:keepLines/>
        <w:spacing w:after="160" w:line="280"/>
      </w:pPr>
      <w:r>
        <w:rPr>
          <w:rFonts w:ascii="Georgia" w:cs="Georgia" w:eastAsia="Georgia" w:hAnsi="Georgia"/>
          <w:sz w:val="24"/>
          <w:szCs w:val="24"/>
        </w:rPr>
        <w:t xml:space="preserve">Every discipline has its own research-validated knowledge base about how students learn that subject. These are not generic pedagogical principles — they are discipline-specific sciences of teaching, accumulated through decades of field-specific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Disciplinary Science of Teaching Foundation</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Mathematics Education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NCTM Standards; mathematics cognition research (Dehaene, 2011); productive struggle and mathematical mindsets (Boaler, 2016); algebraic reasoning and structural understanding; the Van Hiele levels of geometric thinking; ZDM Mathematics Education literature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Science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Next Generation Science Standards (NGSS) practices; model-based learning and model revision; Claim-Evidence-Reasoning frameworks; misconceptions research; conceptual change theory (Posner et al., 1982)</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Humanities and Social Studies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Disciplinary literacy and historical thinking (Wineburg, 2001); sourcing, contextualization, and corroboration as epistemic practices; contested interpretation and evidence standards; reading like a historian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Arts Education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Studio Thinking Framework (Hetland et al., 2007); the eight Studio Habits of Mind; craft knowledge and embodied expertise; artistic decision-making as disciplinary reasoning</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Language Arts and ELL</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Genre-based writing; register and pragmatic competence; translanguaging (García &amp; Wei, 2014); academic language development; disciplinary literacy across content areas</w:t>
            </w:r>
          </w:p>
        </w:tc>
      </w:tr>
    </w:tbl>
    <w:p>
      <w:pPr>
        <w:keepNext/>
        <w:spacing w:after="16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matters for the fellowship in a specific way: </w:t>
      </w:r>
      <w:r>
        <w:rPr>
          <w:rFonts w:ascii="Georgia" w:cs="Georgia" w:eastAsia="Georgia" w:hAnsi="Georgia"/>
          <w:b/>
          <w:bCs/>
          <w:sz w:val="24"/>
          <w:szCs w:val="24"/>
        </w:rPr>
        <w:t xml:space="preserve">I-CK is not about knowing what AI does to generic content. It is about knowing what AI does to your discipline’s specific research-validated knowledge structures.</w:t>
      </w:r>
      <w:r>
        <w:rPr>
          <w:rFonts w:ascii="Georgia" w:cs="Georgia" w:eastAsia="Georgia" w:hAnsi="Georgia"/>
          <w:sz w:val="24"/>
          <w:szCs w:val="24"/>
        </w:rPr>
        <w:t xml:space="preserve"> A mathematics teacher developing I-CK needs to recognize when AI produces a plausible-looking proof that violates the structural reasoning NCTM research identifies as foundational. A science teacher developing I-CK needs to recognize when AI generates an explanation that bypasses the model-revision process that NGSS identifies as the core of scientific practice.</w:t>
      </w:r>
    </w:p>
    <w:p>
      <w:pPr>
        <w:keepLines/>
        <w:spacing w:after="160" w:line="280"/>
      </w:pPr>
      <w:r>
        <w:rPr>
          <w:rFonts w:ascii="Georgia" w:cs="Georgia" w:eastAsia="Georgia" w:hAnsi="Georgia"/>
          <w:sz w:val="24"/>
          <w:szCs w:val="24"/>
        </w:rPr>
        <w:t xml:space="preserve">This is also why the </w:t>
      </w:r>
      <w:r>
        <w:rPr>
          <w:rFonts w:ascii="Georgia" w:cs="Georgia" w:eastAsia="Georgia" w:hAnsi="Georgia"/>
          <w:b/>
          <w:bCs/>
          <w:sz w:val="24"/>
          <w:szCs w:val="24"/>
        </w:rPr>
        <w:t xml:space="preserve">departmental PLC is the right long-term unit</w:t>
      </w:r>
      <w:r>
        <w:rPr>
          <w:rFonts w:ascii="Georgia" w:cs="Georgia" w:eastAsia="Georgia" w:hAnsi="Georgia"/>
          <w:sz w:val="24"/>
          <w:szCs w:val="24"/>
        </w:rPr>
        <w:t xml:space="preserve">: departments already share their disciplinary science of teaching. A mathematics department that reads ZDM together and discusses misconceptions research already has the shared disciplinary knowledge base that makes I-CK development meaningful. The fellowship does not ask teachers to develop I-CK in isolation. It asks departments to apply the disciplinary knowledge they already share to a new question: </w:t>
      </w:r>
      <w:r>
        <w:rPr>
          <w:rFonts w:ascii="Georgia" w:cs="Georgia" w:eastAsia="Georgia" w:hAnsi="Georgia"/>
          <w:i/>
          <w:iCs/>
          <w:sz w:val="24"/>
          <w:szCs w:val="24"/>
        </w:rPr>
        <w:t xml:space="preserve">what does AI do to the knowledge structures our discipline’s research says students need to develop?</w:t>
      </w:r>
    </w:p>
    <w:p>
      <w:pPr>
        <w:keepLines/>
        <w:spacing w:after="160" w:line="280"/>
      </w:pPr>
      <w:r>
        <w:rPr>
          <w:rFonts w:ascii="Georgia" w:cs="Georgia" w:eastAsia="Georgia" w:hAnsi="Georgia"/>
          <w:sz w:val="24"/>
          <w:szCs w:val="24"/>
        </w:rPr>
        <w:t xml:space="preserve">The Cognitive Agency Knowledge Hub (NotebookLM) is therefore not only a repository of fellowship artifacts. It is a space where teachers can continuously engage with their discipline’s research literature and interrogate it against AI behavior — the ongoing I-CK development that makes the fellowship’s effects durable rather than one-off.</w:t>
      </w:r>
    </w:p>
    <w:p>
      <w:pPr>
        <w:pStyle w:val="Heading2"/>
        <w:keepNext/>
        <w:spacing w:after="120" w:before="280"/>
      </w:pPr>
      <w:r>
        <w:rPr>
          <w:rFonts w:ascii="Arial" w:cs="Arial" w:eastAsia="Arial" w:hAnsi="Arial"/>
          <w:b/>
          <w:bCs/>
          <w:color w:val="2E7D8C"/>
          <w:sz w:val="26"/>
          <w:szCs w:val="26"/>
        </w:rPr>
        <w:t xml:space="preserve">6.6  Extended TPACK Framework</w:t>
      </w:r>
    </w:p>
    <w:p>
      <w:pPr>
        <w:keepLines/>
        <w:spacing w:after="160" w:line="280"/>
      </w:pPr>
      <w:r>
        <w:rPr>
          <w:rFonts w:ascii="Georgia" w:cs="Georgia" w:eastAsia="Georgia" w:hAnsi="Georgia"/>
          <w:sz w:val="24"/>
          <w:szCs w:val="24"/>
        </w:rPr>
        <w:t xml:space="preserve">From TPACK (Mishra &amp; Koehler, 2006) through AI-TPACK (Celik, 2023), I-TPACK (Chiu, 2025), and the HCAP framework with HAIC-K (Chiu, 2026): in AI-rich classrooms, AI produces content-like outputs that may or may not reflect genuine disciplinary knowledge structures. </w:t>
      </w:r>
      <w:r>
        <w:rPr>
          <w:rFonts w:ascii="Georgia" w:cs="Georgia" w:eastAsia="Georgia" w:hAnsi="Georgia"/>
          <w:b/>
          <w:bCs/>
          <w:sz w:val="24"/>
          <w:szCs w:val="24"/>
        </w:rPr>
        <w:t xml:space="preserve">I-CK</w:t>
      </w:r>
      <w:r>
        <w:rPr>
          <w:rFonts w:ascii="Georgia" w:cs="Georgia" w:eastAsia="Georgia" w:hAnsi="Georgia"/>
          <w:sz w:val="24"/>
          <w:szCs w:val="24"/>
        </w:rPr>
        <w:t xml:space="preserve"> — the knowledge of how AI handles a discipline’s epistemic standards — is what allows teachers to design valid assessments. Relational TPACK (Delanoy-informed) recognizes that teacher knowledge includes relational authority and dialogic feedback. Ethical TPACK positions ethical reasoning as an integrated pedagogical judgment, not a compliance obligation.</w:t>
      </w:r>
    </w:p>
    <w:p>
      <w:pPr>
        <w:pStyle w:val="Heading2"/>
        <w:keepNext/>
        <w:spacing w:after="120" w:before="280"/>
      </w:pPr>
      <w:r>
        <w:rPr>
          <w:rFonts w:ascii="Arial" w:cs="Arial" w:eastAsia="Arial" w:hAnsi="Arial"/>
          <w:b/>
          <w:bCs/>
          <w:color w:val="2E7D8C"/>
          <w:sz w:val="26"/>
          <w:szCs w:val="26"/>
        </w:rPr>
        <w:t xml:space="preserve">6.7  CNG Pilot Evidence</w:t>
      </w:r>
    </w:p>
    <w:p>
      <w:pPr>
        <w:pStyle w:val="Heading3"/>
        <w:keepNext/>
        <w:spacing w:after="100" w:before="200"/>
      </w:pPr>
      <w:r>
        <w:rPr>
          <w:rFonts w:ascii="Arial" w:cs="Arial" w:eastAsia="Arial" w:hAnsi="Arial"/>
          <w:b/>
          <w:bCs/>
          <w:color w:val="1B3A5C"/>
          <w:sz w:val="24"/>
          <w:szCs w:val="24"/>
        </w:rPr>
        <w:t xml:space="preserve">Systems Under Pressure — Algebra 2</w:t>
      </w:r>
    </w:p>
    <w:p>
      <w:pPr>
        <w:keepLines/>
        <w:spacing w:after="160" w:line="280"/>
      </w:pPr>
      <w:r>
        <w:rPr>
          <w:rFonts w:ascii="Georgia" w:cs="Georgia" w:eastAsia="Georgia" w:hAnsi="Georgia"/>
          <w:sz w:val="24"/>
          <w:szCs w:val="24"/>
        </w:rPr>
        <w:t xml:space="preserve">Students investigated complex systems using sequences, exponentials, logarithms, and polynomial models. Without reasoning artifacts, students who used AI superficially were indistinguishable from those who used it deeply. With them, the difference was immediate and actionable for feedback. Creation artifacts — students’ own models and explanations of why their assumptions changed — revealed understanding that verbal summaries never could.</w:t>
      </w:r>
    </w:p>
    <w:p>
      <w:pPr>
        <w:pStyle w:val="Heading3"/>
        <w:keepNext/>
        <w:spacing w:after="100" w:before="200"/>
      </w:pPr>
      <w:r>
        <w:rPr>
          <w:rFonts w:ascii="Arial" w:cs="Arial" w:eastAsia="Arial" w:hAnsi="Arial"/>
          <w:b/>
          <w:bCs/>
          <w:color w:val="1B3A5C"/>
          <w:sz w:val="24"/>
          <w:szCs w:val="24"/>
        </w:rPr>
        <w:t xml:space="preserve">Statistical Conspiracy Project — Accelerated Geometry</w:t>
      </w:r>
    </w:p>
    <w:p>
      <w:pPr>
        <w:keepLines/>
        <w:spacing w:after="160" w:line="280"/>
      </w:pPr>
      <w:r>
        <w:rPr>
          <w:rFonts w:ascii="Georgia" w:cs="Georgia" w:eastAsia="Georgia" w:hAnsi="Georgia"/>
          <w:sz w:val="24"/>
          <w:szCs w:val="24"/>
        </w:rPr>
        <w:t xml:space="preserve">Students investigated how the same dataset supports competing narratives. The most significant learning — students explaining why they rejected an AI-generated causal interpretation, drawing on distributional reasoning and sampling limitations — was completely invisible without reasoning artifacts. That moment of rejection is the template for interpretable evidence of intellectual labour.</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7. Fellowship Design</w:t>
      </w:r>
    </w:p>
    <w:p>
      <w:pPr>
        <w:pStyle w:val="Heading2"/>
        <w:keepNext/>
        <w:spacing w:after="120" w:before="280"/>
      </w:pPr>
      <w:r>
        <w:rPr>
          <w:rFonts w:ascii="Arial" w:cs="Arial" w:eastAsia="Arial" w:hAnsi="Arial"/>
          <w:b/>
          <w:bCs/>
          <w:color w:val="2E7D8C"/>
          <w:sz w:val="26"/>
          <w:szCs w:val="26"/>
        </w:rPr>
        <w:t xml:space="preserve">7.1  Structure</w:t>
      </w:r>
    </w:p>
    <w:p>
      <w:pPr>
        <w:keepLines/>
        <w:spacing w:after="160" w:line="280"/>
      </w:pPr>
      <w:r>
        <w:rPr>
          <w:rFonts w:ascii="Georgia" w:cs="Georgia" w:eastAsia="Georgia" w:hAnsi="Georgia"/>
          <w:sz w:val="24"/>
          <w:szCs w:val="24"/>
        </w:rPr>
        <w:t xml:space="preserve">The fellowship is a year-long iterative design cycle. Each teacher completes two to three full </w:t>
      </w:r>
      <w:r>
        <w:rPr>
          <w:rFonts w:ascii="Georgia" w:cs="Georgia" w:eastAsia="Georgia" w:hAnsi="Georgia"/>
          <w:b/>
          <w:bCs/>
          <w:sz w:val="24"/>
          <w:szCs w:val="24"/>
        </w:rPr>
        <w:t xml:space="preserve">design → enact → evidence → feedback → revise</w:t>
      </w:r>
      <w:r>
        <w:rPr>
          <w:rFonts w:ascii="Georgia" w:cs="Georgia" w:eastAsia="Georgia" w:hAnsi="Georgia"/>
          <w:sz w:val="24"/>
          <w:szCs w:val="24"/>
        </w:rPr>
        <w:t xml:space="preserve"> arcs. The total async commitment outside scheduled touchpoints is approximately 4–5 hours across eleven months — designed for the realistic demands of teaching, not only for ideal conditions.</w:t>
      </w:r>
    </w:p>
    <w:p>
      <w:pPr>
        <w:pStyle w:val="Heading2"/>
        <w:keepNext/>
        <w:spacing w:after="120" w:before="280"/>
      </w:pPr>
      <w:r>
        <w:rPr>
          <w:rFonts w:ascii="Arial" w:cs="Arial" w:eastAsia="Arial" w:hAnsi="Arial"/>
          <w:b/>
          <w:bCs/>
          <w:color w:val="2E7D8C"/>
          <w:sz w:val="26"/>
          <w:szCs w:val="26"/>
        </w:rPr>
        <w:t xml:space="preserve">7.2  Year 1 Participant Profile — High School</w:t>
      </w:r>
    </w:p>
    <w:p>
      <w:pPr>
        <w:keepLines/>
        <w:spacing w:after="160" w:line="280"/>
      </w:pPr>
      <w:r>
        <w:rPr>
          <w:rFonts w:ascii="Georgia" w:cs="Georgia" w:eastAsia="Georgia" w:hAnsi="Georgia"/>
          <w:sz w:val="24"/>
          <w:szCs w:val="24"/>
        </w:rPr>
        <w:t xml:space="preserve">The Year 1 cohort consists of </w:t>
      </w:r>
      <w:r>
        <w:rPr>
          <w:rFonts w:ascii="Georgia" w:cs="Georgia" w:eastAsia="Georgia" w:hAnsi="Georgia"/>
          <w:b/>
          <w:bCs/>
          <w:sz w:val="24"/>
          <w:szCs w:val="24"/>
        </w:rPr>
        <w:t xml:space="preserve">six secondary teachers</w:t>
      </w:r>
      <w:r>
        <w:rPr>
          <w:rFonts w:ascii="Georgia" w:cs="Georgia" w:eastAsia="Georgia" w:hAnsi="Georgia"/>
          <w:sz w:val="24"/>
          <w:szCs w:val="24"/>
        </w:rPr>
        <w:t xml:space="preserve">: two experienced AI integrators, two developing/curious teachers, and two skeptical or resistant teachers. This composition is deliberate — the fellowship must generate evidence across the full range of teacher perspectives likely to be encountered when scaling to departments.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Cohort Profile (Total: 6 Teachers)</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Role in the Fellowship</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Experienced AI Integrators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AI-TPACK already developing. Test whether the fellowship deepens and documents what they know.</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2 Developing/Curious Teachers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most common faculty profile. Test whether structured iteration builds genuine design capacity from a developing baseline.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2 Skeptical or Resistant Teachers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most important scalability test. If the fellowship works for them, it works in any department.</w:t>
            </w:r>
          </w:p>
        </w:tc>
      </w:tr>
    </w:tbl>
    <w:p>
      <w:pPr>
        <w:keepNext/>
        <w:spacing w:after="6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Pairing rationale — mixed pairs, not affinity groups: </w:t>
      </w:r>
      <w:r>
        <w:rPr>
          <w:rFonts w:ascii="Georgia" w:cs="Georgia" w:eastAsia="Georgia" w:hAnsi="Georgia"/>
          <w:sz w:val="24"/>
          <w:szCs w:val="24"/>
        </w:rPr>
        <w:t xml:space="preserve">Each pair is deliberately mixed in experience rather than grouped by similarity. Research on professional learning communities consistently shows that affinity grouping of resistant practitioners produces echo chambers rather than productive challenge (Hargreaves &amp; O’Connor, 2018; Horn &amp; Little, 2010). Each skeptic is paired with a colleague who is actively working through the same questions from a different vantage point.</w:t>
      </w:r>
    </w:p>
    <w:p>
      <w:pPr>
        <w:keepNext/>
        <w:spacing w:after="6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Pair Structure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Each Pairing Tests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A: Experienced + Skeptic</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skeptic’s doubts are engaged by a colleague with classroom evidence. The experienced teacher’s assumptions are challenged by genuine uncertainty. Most rigorous test of the fellowship’s tools.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B: Developing + Skeptic</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The skeptic models critical questioning. The developing teacher’s genuine curiosity can shift a skeptic’s stance. Mutual accountability without power asymmetry.</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Pair C: Experienced + Developing</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Deep practice meets emerging practice. The experienced teacher articulates tacit knowledge; the developing teacher asks questions that make it explicit.</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selection criteria: diverse disciplines (including non-STEM), at least one Learning Center specialist, and a mix of local Colombian and international faculty — ensuring the fellowship’s tools are tested across disciplinary and cultural contexts from the outset.</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Department Leadership is a Year 2 goal, not a Year 1 deliverable</w:t>
            </w:r>
          </w:p>
          <w:p>
            <w:pPr>
              <w:spacing w:after="0"/>
            </w:pPr>
            <w:r>
              <w:rPr>
                <w:rFonts w:ascii="Georgia" w:cs="Georgia" w:eastAsia="Georgia" w:hAnsi="Georgia"/>
                <w:sz w:val="24"/>
                <w:szCs w:val="24"/>
              </w:rPr>
              <w:t xml:space="preserve">Year 1 tests and refines the tools across diverse teacher perspectives and generates documented evidence of what works. The AI Task Force then brings the proven framework to department leadership in Year 2 as a ready, evidence-based structure rather than a prototype. Year 1 builds the case. Year 2 builds the system.</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Where possible, AI Task Force members who teach in the HS are prioritized across these dimensions — their participation deepens the Task Force’s capacity to facilitate future iterations from a position of direct practice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Year 1 Scope</w:t>
            </w:r>
          </w:p>
          <w:p>
            <w:pPr>
              <w:spacing w:after="0"/>
            </w:pPr>
            <w:r>
              <w:rPr>
                <w:rFonts w:ascii="Georgia" w:cs="Georgia" w:eastAsia="Georgia" w:hAnsi="Georgia"/>
                <w:sz w:val="24"/>
                <w:szCs w:val="24"/>
              </w:rPr>
              <w:t xml:space="preserve">6 High School teachers  ·  Deliberately diverse: AI literacy spectrum, discipline, LC specialist, local and international faculty  ·  One existing assessment audited and iteratively redesigned  ·  Two PLC sessions  ·  One VSR cycle per teacher  ·  Individual written feedback at each iteration  ·  June Showcase and AI Task Force Handoff Package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7.3  Two-Cycle Structure</w:t>
      </w:r>
    </w:p>
    <w:p>
      <w:pPr>
        <w:keepLines/>
        <w:spacing w:after="160" w:line="280"/>
      </w:pPr>
      <w:r>
        <w:rPr>
          <w:rFonts w:ascii="Georgia" w:cs="Georgia" w:eastAsia="Georgia" w:hAnsi="Georgia"/>
          <w:sz w:val="24"/>
          <w:szCs w:val="24"/>
        </w:rPr>
        <w:t xml:space="preserve">The fellowship is organised around two iteration cycles, each reducing Cajina's structural role as teacher capacity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Cycle</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Structure and Cajina's Role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1 — Redesign with Support (Aug–Feb)</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Teacher selects one existing assessment and completes an initial VISTA audit alone. Cajina provides written feedback before enactment on AI-related design decisions. Content and pedagogy remain the teacher's domain. Teacher and Cajina co-plan: Cajina contributes AI-TPACK knowledge; teacher leads on content and students. Where appropriate, Cajina co-teaches or co-observes. After enactment, teacher reviews student reasoning artifacts. VSR Session 1: teacher and Cajina examine a classroom clip. Central question: What did I think would happen here, and what actually happened? Revision follows.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Cycle 2 — Supported Independence (Feb–Jun)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Teacher redesigns and plans independently — no co-planning, no co-teaching. Before enactment, Cajina provides one structured written feedback pass on the redesign: specifically on AI-related design decisions and visible reasoning strategy (content and pedagogy remain the teacher's domain). Teacher enacts independently. VSR Session 2: peer-facilitated by the pair partner — Cajina attends as a silent moderator, intervening only if a significant gap is being missed. No co-facilitation. Student artifacts reviewed. In June, each teacher brings their two-cycle arc to their own department.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Two Cycles Matter</w:t>
            </w:r>
          </w:p>
          <w:p>
            <w:pPr>
              <w:spacing w:after="0"/>
            </w:pPr>
            <w:r>
              <w:rPr>
                <w:rFonts w:ascii="Georgia" w:cs="Georgia" w:eastAsia="Georgia" w:hAnsi="Georgia"/>
                <w:sz w:val="24"/>
                <w:szCs w:val="24"/>
              </w:rPr>
              <w:t xml:space="preserve">Cycle 1 tests whether the tools work with support. Cycle 2 tests whether the learning can be transferred to independent practice — with structured written feedback before enactment and Cajina present as a moderator (not a leader) in VSR Session 2. The gap between Cycle 1 and Cycle 2 practice is the fellowship's most important measurement point.</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  Video-Stimulated Recall — The Central Reflection Mechanism</w:t>
      </w:r>
    </w:p>
    <w:p>
      <w:pPr>
        <w:keepLines/>
        <w:spacing w:after="160" w:line="280"/>
      </w:pPr>
      <w:r>
        <w:rPr>
          <w:rFonts w:ascii="Georgia" w:cs="Georgia" w:eastAsia="Georgia" w:hAnsi="Georgia"/>
          <w:sz w:val="24"/>
          <w:szCs w:val="24"/>
        </w:rPr>
        <w:t xml:space="preserve">VSR is the fellowship's primary mechanism for examining the gap between what a teacher intended and what actually happened in the classroom — the most productive site for professional learning in the design. It is used once per cycle — twice per year — after every assessment redesign, not as a one-time event.</w:t>
      </w:r>
    </w:p>
    <w:p>
      <w:pPr>
        <w:keepLines/>
        <w:spacing w:after="160" w:line="280"/>
      </w:pPr>
      <w:r>
        <w:rPr>
          <w:rFonts w:ascii="Georgia" w:cs="Georgia" w:eastAsia="Georgia" w:hAnsi="Georgia"/>
          <w:b/>
          <w:bCs/>
          <w:sz w:val="24"/>
          <w:szCs w:val="24"/>
        </w:rPr>
        <w:t xml:space="preserve">Intended vs. Enacted TPACK: </w:t>
      </w:r>
      <w:r>
        <w:rPr>
          <w:rFonts w:ascii="Georgia" w:cs="Georgia" w:eastAsia="Georgia" w:hAnsi="Georgia"/>
          <w:sz w:val="24"/>
          <w:szCs w:val="24"/>
        </w:rPr>
        <w:t xml:space="preserve">When a teacher designs a task, they carry assumptions about how students will engage with AI. When they enact it, something different happens. VSR asks: what did I think would happen here? What actually happened? What does the gap reveal about how AI actually behaved in this discipline and task? Tiernan (2016) establishes that this gap is where the most significant professional learning occurs. The fellowship uses VSR in both cycles: Cajina-facilitated in Cycle 1, peer-facilitated in Cycle 2.</w:t>
      </w:r>
    </w:p>
    <w:p>
      <w:pPr>
        <w:keepLines/>
        <w:spacing w:after="160" w:line="280"/>
      </w:pPr>
      <w:r>
        <w:rPr>
          <w:rFonts w:ascii="Georgia" w:cs="Georgia" w:eastAsia="Georgia" w:hAnsi="Georgia"/>
          <w:sz w:val="24"/>
          <w:szCs w:val="24"/>
        </w:rPr>
        <w:t xml:space="preserve">The department transfer session is where individual AI-TPACK becomes </w:t>
      </w:r>
      <w:r>
        <w:rPr>
          <w:rFonts w:ascii="Georgia" w:cs="Georgia" w:eastAsia="Georgia" w:hAnsi="Georgia"/>
          <w:b/>
          <w:bCs/>
          <w:sz w:val="24"/>
          <w:szCs w:val="24"/>
        </w:rPr>
        <w:t xml:space="preserve">collective knowledge</w:t>
      </w:r>
      <w:r>
        <w:rPr>
          <w:rFonts w:ascii="Georgia" w:cs="Georgia" w:eastAsia="Georgia" w:hAnsi="Georgia"/>
          <w:sz w:val="24"/>
          <w:szCs w:val="24"/>
        </w:rPr>
        <w:t xml:space="preserve"> — or fails to. Documenting what happens when a teacher brings sustained disciplinary work back to colleagues who received none of the scaffolding is the bridge to Year 2 scaling.</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The Augmented Human Thinking Routine — Digitising the Coaching Conversation</w:t>
      </w:r>
    </w:p>
    <w:p>
      <w:pPr>
        <w:keepLines/>
        <w:spacing w:after="160" w:line="280"/>
      </w:pPr>
      <w:r>
        <w:rPr>
          <w:rFonts w:ascii="Georgia" w:cs="Georgia" w:eastAsia="Georgia" w:hAnsi="Georgia"/>
          <w:sz w:val="24"/>
          <w:szCs w:val="24"/>
        </w:rPr>
        <w:t xml:space="preserve">The fellowship's central capacity-building mechanism is a digital coaching walkthrough built into the VISTA website, called the </w:t>
      </w:r>
      <w:r>
        <w:rPr>
          <w:rFonts w:ascii="Georgia" w:cs="Georgia" w:eastAsia="Georgia" w:hAnsi="Georgia"/>
          <w:b/>
          <w:bCs/>
          <w:sz w:val="24"/>
          <w:szCs w:val="24"/>
        </w:rPr>
        <w:t xml:space="preserve">Augmented Human Thinking Routine</w:t>
      </w:r>
      <w:r>
        <w:rPr>
          <w:rFonts w:ascii="Georgia" w:cs="Georgia" w:eastAsia="Georgia" w:hAnsi="Georgia"/>
          <w:sz w:val="24"/>
          <w:szCs w:val="24"/>
        </w:rPr>
        <w:t xml:space="preserve">. It is designed to do, independently and on the teacher's own schedule, what Mr. Cajina would otherwise do in person: sit beside a teacher, run their assessment against a language model, and coach them through critiquing the result. This matters because the fellowship cannot scale on one facilitator's time — the judgment has to become the teacher's own.</w:t>
      </w:r>
    </w:p>
    <w:p>
      <w:pPr>
        <w:keepLines/>
        <w:spacing w:after="160" w:line="280"/>
      </w:pPr>
      <w:r>
        <w:rPr>
          <w:rFonts w:ascii="Georgia" w:cs="Georgia" w:eastAsia="Georgia" w:hAnsi="Georgia"/>
          <w:b/>
          <w:bCs/>
          <w:sz w:val="24"/>
          <w:szCs w:val="24"/>
        </w:rPr>
        <w:t xml:space="preserve">It builds the four AI-TPACK layers experientially. </w:t>
      </w:r>
      <w:r>
        <w:rPr>
          <w:rFonts w:ascii="Georgia" w:cs="Georgia" w:eastAsia="Georgia" w:hAnsi="Georgia"/>
          <w:sz w:val="24"/>
          <w:szCs w:val="24"/>
        </w:rPr>
        <w:t xml:space="preserve">Rather than explaining the Section 5 framework abstractly, the Augmented Human Thinking Routine walks teachers through it as four concrete moves on their own task: (1) </w:t>
      </w:r>
      <w:r>
        <w:rPr>
          <w:rFonts w:ascii="Georgia" w:cs="Georgia" w:eastAsia="Georgia" w:hAnsi="Georgia"/>
          <w:b/>
          <w:bCs/>
          <w:sz w:val="24"/>
          <w:szCs w:val="24"/>
        </w:rPr>
        <w:t xml:space="preserve">Can AI do this?</w:t>
      </w:r>
      <w:r>
        <w:rPr>
          <w:rFonts w:ascii="Georgia" w:cs="Georgia" w:eastAsia="Georgia" w:hAnsi="Georgia"/>
          <w:sz w:val="24"/>
          <w:szCs w:val="24"/>
        </w:rPr>
        <w:t xml:space="preserve"> — the teacher runs their task through an AI and observes how it handles their discipline's specific knowledge structures, building I-CK. (2) </w:t>
      </w:r>
      <w:r>
        <w:rPr>
          <w:rFonts w:ascii="Georgia" w:cs="Georgia" w:eastAsia="Georgia" w:hAnsi="Georgia"/>
          <w:b/>
          <w:bCs/>
          <w:sz w:val="24"/>
          <w:szCs w:val="24"/>
        </w:rPr>
        <w:t xml:space="preserve">Should I use AI here?</w:t>
      </w:r>
      <w:r>
        <w:rPr>
          <w:rFonts w:ascii="Georgia" w:cs="Georgia" w:eastAsia="Georgia" w:hAnsi="Georgia"/>
          <w:sz w:val="24"/>
          <w:szCs w:val="24"/>
        </w:rPr>
        <w:t xml:space="preserve"> — the teacher critiques the output for accuracy, bias, honesty, and hollowness, building Ethical TPACK. (3) </w:t>
      </w:r>
      <w:r>
        <w:rPr>
          <w:rFonts w:ascii="Georgia" w:cs="Georgia" w:eastAsia="Georgia" w:hAnsi="Georgia"/>
          <w:b/>
          <w:bCs/>
          <w:sz w:val="24"/>
          <w:szCs w:val="24"/>
        </w:rPr>
        <w:t xml:space="preserve">Will this work in my room?</w:t>
      </w:r>
      <w:r>
        <w:rPr>
          <w:rFonts w:ascii="Georgia" w:cs="Georgia" w:eastAsia="Georgia" w:hAnsi="Georgia"/>
          <w:sz w:val="24"/>
          <w:szCs w:val="24"/>
        </w:rPr>
        <w:t xml:space="preserve"> — the teacher translates what they saw to their real students and curriculum, building Contextual Knowledge (XK). (4) </w:t>
      </w:r>
      <w:r>
        <w:rPr>
          <w:rFonts w:ascii="Georgia" w:cs="Georgia" w:eastAsia="Georgia" w:hAnsi="Georgia"/>
          <w:b/>
          <w:bCs/>
          <w:sz w:val="24"/>
          <w:szCs w:val="24"/>
        </w:rPr>
        <w:t xml:space="preserve">How should human and AI share the work?</w:t>
      </w:r>
      <w:r>
        <w:rPr>
          <w:rFonts w:ascii="Georgia" w:cs="Georgia" w:eastAsia="Georgia" w:hAnsi="Georgia"/>
          <w:sz w:val="24"/>
          <w:szCs w:val="24"/>
        </w:rPr>
        <w:t xml:space="preserve"> — the teacher decides role allocation and what keeps the student the primary agent, building HAIC-K.</w:t>
      </w:r>
    </w:p>
    <w:p>
      <w:pPr>
        <w:keepLines/>
        <w:spacing w:after="160" w:line="280"/>
      </w:pPr>
      <w:r>
        <w:rPr>
          <w:rFonts w:ascii="Georgia" w:cs="Georgia" w:eastAsia="Georgia" w:hAnsi="Georgia"/>
          <w:sz w:val="24"/>
          <w:szCs w:val="24"/>
        </w:rPr>
        <w:t xml:space="preserve">Each move produces a written artifact and ends in a concrete redesign decision. The sequence mirrors a strong coaching conversation — but because the teacher runs it themselves, repeatedly, across both cycles, it develops the independent professional judgment that is the fellowship's core outcome. By Cycle 2, teachers run the Augmented Human Thinking Routine on a second assessment with no facilitator involvement. This is how the fellowship turns a coaching relationship into a transferable capacity.</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The Fellowship as a Learning Arc — Key Moments and Milestones</w:t>
      </w:r>
    </w:p>
    <w:p>
      <w:pPr>
        <w:keepLines/>
        <w:spacing w:after="160" w:line="280"/>
      </w:pPr>
      <w:r>
        <w:rPr>
          <w:rFonts w:ascii="Georgia" w:cs="Georgia" w:eastAsia="Georgia" w:hAnsi="Georgia"/>
          <w:sz w:val="24"/>
          <w:szCs w:val="24"/>
        </w:rPr>
        <w:t xml:space="preserve">Every scheduled touchpoint, format, duration, and output:</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440"/>
        <w:gridCol w:w="2960"/>
      </w:tblGrid>
      <w:tr>
        <w:trPr>
          <w:cantSplit/>
        </w:trPr>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Month</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Event</w:t>
            </w:r>
          </w:p>
        </w:tc>
        <w:tc>
          <w:tcPr>
            <w:tcW w:type="dxa" w:w="17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Format</w:t>
            </w:r>
          </w:p>
        </w:tc>
        <w:tc>
          <w:tcPr>
            <w:tcW w:type="dxa" w:w="144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Duration</w:t>
            </w:r>
          </w:p>
        </w:tc>
        <w:tc>
          <w:tcPr>
            <w:tcW w:type="dxa" w:w="29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Role &amp; Output</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August Wk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Launch + Audit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60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introduces Disappearing Learning Protocol and AI-TPACK. Live audit model. Teachers select first assessment. Output: first assessment identified.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Aug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1 (Async)</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redesigns assessment. Cajina provides written feedback: Does this make disciplinary thinking visible? Is the SAIL level a pedagogical decision?</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Sep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enacts with students. Student reasoning artifacts collected.</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Sep Wk 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Artifact Submission</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2–3 student artifacts with brief reflection. Cajina reviews before PLC.</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Oct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1</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facilitates artifact-centered inquiry. First epistemological tension surfaced. Output: each teacher names one redesign priority.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Oct–Nov</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Redesign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 + written</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revises based on PLC and Cajina feedback. Second iteration designed.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Nov Wks 2–4</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Second round enacted. Artifacts collected for iteration comparison.</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1:1s</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Cajina meets each teacher. Reviews iteration arc. Names ethical tensions in their discipline. Output: adjusted plan for second half.</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Dec Wk 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Midpoint Survey</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15 min</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survey on AI-TPACK growth, design confidence, intellectual labour visibility.</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Jan Wks 1–3</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Audit 2 (Independent)</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audits second assessment independently. Tests transfer. Cajina reviews. Output: independent I-CK application documented.</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Feb Wks 1–3</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VSR Cycles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shares a video clip. Cajina co-analyzes. Names hinge point, instructional regression, one actionable change.</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Mar Wk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PLC Cycle 2</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30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Cross-disciplinary noticing. Second epistemological tension. Output: Knowledge Hub exemplar nominations.</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Mar–Apr</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Enactment 3 (Optional)</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Classroom</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Class time</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Teachers with capacity implement third iteration. Voluntary, workload-dependent. Cajina available for async feedback.</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Apr Wks 2–4</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Knowledge Hub</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Async</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~1 hr</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Teacher uploads 2–4 exemplars with full documentation to Cognitive Agency Knowledge Hub (NotebookLM).</w:t>
            </w:r>
          </w:p>
        </w:tc>
      </w:tr>
      <w:tr>
        <w:trPr>
          <w:cantSplit/>
        </w:trPr>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May Wks 1–2</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bCs/>
                <w:sz w:val="22"/>
                <w:szCs w:val="22"/>
              </w:rPr>
              <w:t xml:space="preserve">Year 2 Planning + 1:1s</w:t>
            </w:r>
          </w:p>
        </w:tc>
        <w:tc>
          <w:tcPr>
            <w:tcW w:type="dxa" w:w="17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Individual</w:t>
            </w:r>
          </w:p>
        </w:tc>
        <w:tc>
          <w:tcPr>
            <w:tcW w:type="dxa" w:w="144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20 min each</w:t>
            </w:r>
          </w:p>
        </w:tc>
        <w:tc>
          <w:tcPr>
            <w:tcW w:type="dxa" w:w="2960"/>
            <w:tcBorders>
              <w:top w:val="single" w:color="C5DCE4" w:sz="4"/>
              <w:left w:val="single" w:color="C5DCE4" w:sz="4"/>
              <w:bottom w:val="single" w:color="C5DCE4" w:sz="4"/>
              <w:right w:val="single" w:color="C5DCE4" w:sz="4"/>
            </w:tcBorders>
            <w:shd w:fill="EAF2F5"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identifies one improvement. Cajina documents cross-cohort patterns for AI Task Force Handoff.</w:t>
            </w:r>
          </w:p>
        </w:tc>
      </w:tr>
      <w:tr>
        <w:trPr>
          <w:cantSplit/>
        </w:trPr>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Jun Wk 1</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bCs/>
                <w:sz w:val="22"/>
                <w:szCs w:val="22"/>
              </w:rPr>
              <w:t xml:space="preserve">Showcase + Handoff</w:t>
            </w:r>
          </w:p>
        </w:tc>
        <w:tc>
          <w:tcPr>
            <w:tcW w:type="dxa" w:w="17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Full cohort + CNG community</w:t>
            </w:r>
          </w:p>
        </w:tc>
        <w:tc>
          <w:tcPr>
            <w:tcW w:type="dxa" w:w="144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∼90 min</w:t>
            </w:r>
          </w:p>
        </w:tc>
        <w:tc>
          <w:tcPr>
            <w:tcW w:type="dxa" w:w="2960"/>
            <w:tcBorders>
              <w:top w:val="single" w:color="C5DCE4" w:sz="4"/>
              <w:left w:val="single" w:color="C5DCE4" w:sz="4"/>
              <w:bottom w:val="single" w:color="C5DCE4" w:sz="4"/>
              <w:right w:val="single" w:color="C5DCE4" w:sz="4"/>
            </w:tcBorders>
            <w:shd w:fill="FFFFFF" w:val="clear"/>
            <w:tcMar>
              <w:top w:type="dxa" w:w="60"/>
              <w:left w:type="dxa" w:w="100"/>
              <w:bottom w:type="dxa" w:w="60"/>
              <w:right w:type="dxa" w:w="100"/>
            </w:tcMar>
          </w:tcPr>
          <w:p>
            <w:pPr>
              <w:spacing w:after="0"/>
            </w:pPr>
            <w:r>
              <w:rPr>
                <w:rFonts w:ascii="Georgia" w:cs="Georgia" w:eastAsia="Georgia" w:hAnsi="Georgia"/>
                <w:b w:val="false"/>
                <w:bCs w:val="false"/>
                <w:sz w:val="22"/>
                <w:szCs w:val="22"/>
              </w:rPr>
              <w:t xml:space="preserve">Each teacher presents iteration arc, hinge point, redesign. Cajina presents cross-cohort findings and AI Task Force Handoff Package. Output: public record; handoff complete.</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7.4a  Communication Check-In Schedule</w:t>
      </w:r>
    </w:p>
    <w:p>
      <w:pPr>
        <w:keepLines/>
        <w:spacing w:after="160" w:line="280"/>
      </w:pPr>
      <w:r>
        <w:rPr>
          <w:rFonts w:ascii="Georgia" w:cs="Georgia" w:eastAsia="Georgia" w:hAnsi="Georgia"/>
          <w:sz w:val="24"/>
          <w:szCs w:val="24"/>
        </w:rPr>
        <w:t xml:space="preserve">Beyond scheduled touchpoints, the fellowship includes structured </w:t>
      </w:r>
      <w:r>
        <w:rPr>
          <w:rFonts w:ascii="Georgia" w:cs="Georgia" w:eastAsia="Georgia" w:hAnsi="Georgia"/>
          <w:b/>
          <w:bCs/>
          <w:sz w:val="24"/>
          <w:szCs w:val="24"/>
        </w:rPr>
        <w:t xml:space="preserve">async check-in moments</w:t>
      </w:r>
      <w:r>
        <w:rPr>
          <w:rFonts w:ascii="Georgia" w:cs="Georgia" w:eastAsia="Georgia" w:hAnsi="Georgia"/>
          <w:sz w:val="24"/>
          <w:szCs w:val="24"/>
        </w:rPr>
        <w:t xml:space="preserve"> at specific points in the year. These are brief — a short message or voice note, not a meeting — and serve two purposes: checking workload and wellbeing, and catching confusion or resistance before it compounds. They reflect Principle 11 from Whitman and Kelleher (2016): chronic stress impairs learning, and this fellowship is designed for real teachers in real schools.</w:t>
      </w:r>
    </w:p>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Check-In Moment</w:t>
            </w:r>
          </w:p>
        </w:tc>
        <w:tc>
          <w:tcPr>
            <w:tcW w:type="dxa" w:w="65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 and Method</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Enactment 1
(late September)</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sends brief async message: How did it go? What surprised you? What would you do differently? No formal response required — teachers may reply with a voice note, a few lines, or simply note it in their reflection. Purpose: catch early friction before Redesign 2.</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Redesign 2
(mid-November)</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workload: Is the pace sustainable? Are the feedback cycles useful? Any support needed before PLC Cycle 2? Purpose: explicit permission to flag problems rather than persist silently.</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After VSR Cycle
(late February)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the VSR experience: Was reviewing your own video useful or uncomfortable? What did you notice about yourself as a teacher? Purpose: VSR can surface unexpected feelings about one’s own practice — this check-in normalizes that.</w:t>
            </w:r>
          </w:p>
        </w:tc>
      </w:tr>
      <w:tr>
        <w:trPr>
          <w:cantSplit/>
        </w:trPr>
        <w:tc>
          <w:tcPr>
            <w:tcW w:type="dxa" w:w="28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Knowledge Hub Contribution
(early April)</w:t>
            </w:r>
          </w:p>
        </w:tc>
        <w:tc>
          <w:tcPr>
            <w:tcW w:type="dxa" w:w="65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exemplar selection: Are you confident choosing your best work? Any exemplars you’re unsure about? Purpose: teachers with the most growth often undervalue their best artifacts.</w:t>
            </w:r>
          </w:p>
        </w:tc>
      </w:tr>
      <w:tr>
        <w:trPr>
          <w:cantSplit/>
        </w:trPr>
        <w:tc>
          <w:tcPr>
            <w:tcW w:type="dxa" w:w="28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Before Showcase
(late May)</w:t>
            </w:r>
          </w:p>
        </w:tc>
        <w:tc>
          <w:tcPr>
            <w:tcW w:type="dxa" w:w="65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Cajina checks in on presentation readiness: What’s the one thing you most want the CNG community to understand from your year? Purpose: narrative preparation, not slide preparation — grounded in what the teacher actually learned.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7.5  Decision Rules for Visible Reasoning</w:t>
      </w:r>
    </w:p>
    <w:p>
      <w:pPr>
        <w:keepLines/>
        <w:spacing w:after="160" w:line="280"/>
      </w:pPr>
      <w:r>
        <w:rPr>
          <w:rFonts w:ascii="Georgia" w:cs="Georgia" w:eastAsia="Georgia" w:hAnsi="Georgia"/>
          <w:sz w:val="24"/>
          <w:szCs w:val="24"/>
        </w:rPr>
        <w:t xml:space="preserve">Visible reasoning is strategic, not universal. </w:t>
      </w:r>
      <w:r>
        <w:rPr>
          <w:rFonts w:ascii="Georgia" w:cs="Georgia" w:eastAsia="Georgia" w:hAnsi="Georgia"/>
          <w:i/>
          <w:iCs/>
          <w:sz w:val="24"/>
          <w:szCs w:val="24"/>
        </w:rPr>
        <w:t xml:space="preserve">No AI and Full AI are not moral opposites.</w:t>
      </w:r>
      <w:r>
        <w:rPr>
          <w:rFonts w:ascii="Georgia" w:cs="Georgia" w:eastAsia="Georgia" w:hAnsi="Georgia"/>
          <w:sz w:val="24"/>
          <w:szCs w:val="24"/>
        </w:rPr>
        <w:t xml:space="preserve"> The question is whether the task design still captures the intended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Condition</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Guidance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Use VR when…</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AI can bypass threshold concept learning; reasoning quality matters more than product quality; misconceptions are likely hidden in polished outputs; transfer is a key outcome</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Do not require VR when…</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Task focuses on routine fluency; reflection adds workload without learning benefit; thinking is already visible through another evidence form; students would experience reflection fatigue</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7.6  The Right to Say No — Non-AI Pathways, Student Consent, and Agency</w:t>
      </w:r>
    </w:p>
    <w:p>
      <w:pPr>
        <w:keepLines/>
        <w:spacing w:after="160" w:line="280"/>
      </w:pPr>
      <w:r>
        <w:rPr>
          <w:rFonts w:ascii="Georgia" w:cs="Georgia" w:eastAsia="Georgia" w:hAnsi="Georgia"/>
          <w:sz w:val="24"/>
          <w:szCs w:val="24"/>
        </w:rPr>
        <w:t xml:space="preserve">This fellowship takes a firm position: </w:t>
      </w:r>
      <w:r>
        <w:rPr>
          <w:rFonts w:ascii="Georgia" w:cs="Georgia" w:eastAsia="Georgia" w:hAnsi="Georgia"/>
          <w:b/>
          <w:bCs/>
          <w:sz w:val="24"/>
          <w:szCs w:val="24"/>
        </w:rPr>
        <w:t xml:space="preserve">no student should be required to use AI as a condition of participating in learning</w:t>
      </w:r>
      <w:r>
        <w:rPr>
          <w:rFonts w:ascii="Georgia" w:cs="Georgia" w:eastAsia="Georgia" w:hAnsi="Georgia"/>
          <w:sz w:val="24"/>
          <w:szCs w:val="24"/>
        </w:rPr>
        <w:t xml:space="preserve">. Students may decline AI use for reasons of personal conviction, family values, religious belief, data privacy concern, or simply preference. These are not exceptions to manage — they are legitimate expressions of student agency. Respecting a student’s right to say no to AI is not a compromise of this fellowship’s goals. </w:t>
      </w:r>
      <w:r>
        <w:rPr>
          <w:rFonts w:ascii="Georgia" w:cs="Georgia" w:eastAsia="Georgia" w:hAnsi="Georgia"/>
          <w:b/>
          <w:bCs/>
          <w:sz w:val="24"/>
          <w:szCs w:val="24"/>
        </w:rPr>
        <w:t xml:space="preserve">It is one of its clearest expressions.</w:t>
      </w:r>
    </w:p>
    <w:p>
      <w:pPr>
        <w:keepLines/>
        <w:spacing w:after="160" w:line="280"/>
      </w:pPr>
      <w:r>
        <w:rPr>
          <w:rFonts w:ascii="Georgia" w:cs="Georgia" w:eastAsia="Georgia" w:hAnsi="Georgia"/>
          <w:sz w:val="24"/>
          <w:szCs w:val="24"/>
        </w:rPr>
        <w:t xml:space="preserve">The VISTA audit process makes this practical rather than theoretical. Every assessment redesigned through the fellowship must pass one test: a student who completes the task without AI must be doing the same intellectual work as a student who uses AI deliberately and documents their reasoning. If the non-AI version is significantly harder, the AI-assisted version has a design problem — not a student compliance problem. The task without AI is not the penalty version. It is the original.</w:t>
      </w:r>
    </w:p>
    <w:p>
      <w:pPr>
        <w:keepLines/>
        <w:spacing w:after="160" w:line="280"/>
      </w:pPr>
      <w:r>
        <w:rPr>
          <w:rFonts w:ascii="Georgia" w:cs="Georgia" w:eastAsia="Georgia" w:hAnsi="Georgia"/>
          <w:b/>
          <w:bCs/>
          <w:sz w:val="24"/>
          <w:szCs w:val="24"/>
        </w:rPr>
        <w:t xml:space="preserve">The VISTA Paper Audit </w:t>
      </w:r>
      <w:r>
        <w:rPr>
          <w:rFonts w:ascii="Georgia" w:cs="Georgia" w:eastAsia="Georgia" w:hAnsi="Georgia"/>
          <w:sz w:val="24"/>
          <w:szCs w:val="24"/>
        </w:rPr>
        <w:t xml:space="preserve">is the fellowship’s concrete instrument for this commitment. It is a printable, bilingual, one-page version of the same six-step VISTA audit — identical questions, identical rating scales, identical SAIL positioning, no browser or AI tool required. A teacher working with a student who declines AI use runs the same audit, makes the same redesign decisions, and collects the same category of reasoning evidence. The research design is not compromised. The student is not disadvantaged. The pathway is genuinely equivalent.</w:t>
      </w:r>
    </w:p>
    <w:p>
      <w:pPr>
        <w:keepLines/>
        <w:spacing w:after="160" w:line="280"/>
      </w:pPr>
      <w:r>
        <w:rPr>
          <w:rFonts w:ascii="Georgia" w:cs="Georgia" w:eastAsia="Georgia" w:hAnsi="Georgia"/>
          <w:sz w:val="24"/>
          <w:szCs w:val="24"/>
        </w:rPr>
        <w:t xml:space="preserve">This distinction also has implications for how AI literacy is taught. Students can develop critical understanding of AI — examining outputs, evaluating AI-generated work, discussing the nature and limits of generative systems — without ever being required to produce AI-assisted work themselves. The difference between </w:t>
      </w:r>
      <w:r>
        <w:rPr>
          <w:rFonts w:ascii="Georgia" w:cs="Georgia" w:eastAsia="Georgia" w:hAnsi="Georgia"/>
          <w:i/>
          <w:iCs/>
          <w:sz w:val="24"/>
          <w:szCs w:val="24"/>
        </w:rPr>
        <w:t xml:space="preserve">understanding AI critically</w:t>
      </w:r>
      <w:r>
        <w:rPr>
          <w:rFonts w:ascii="Georgia" w:cs="Georgia" w:eastAsia="Georgia" w:hAnsi="Georgia"/>
          <w:sz w:val="24"/>
          <w:szCs w:val="24"/>
        </w:rPr>
        <w:t xml:space="preserve"> and </w:t>
      </w:r>
      <w:r>
        <w:rPr>
          <w:rFonts w:ascii="Georgia" w:cs="Georgia" w:eastAsia="Georgia" w:hAnsi="Georgia"/>
          <w:i/>
          <w:iCs/>
          <w:sz w:val="24"/>
          <w:szCs w:val="24"/>
        </w:rPr>
        <w:t xml:space="preserve">using AI to complete tasks</w:t>
      </w:r>
      <w:r>
        <w:rPr>
          <w:rFonts w:ascii="Georgia" w:cs="Georgia" w:eastAsia="Georgia" w:hAnsi="Georgia"/>
          <w:sz w:val="24"/>
          <w:szCs w:val="24"/>
        </w:rPr>
        <w:t xml:space="preserve"> is one this fellowship preserves deliberately. It is the difference between education about the world and a mandate to participate in it on terms students did not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FBF4E8"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Design Test</w:t>
            </w:r>
          </w:p>
          <w:p>
            <w:pPr>
              <w:spacing w:after="0"/>
            </w:pPr>
            <w:r>
              <w:rPr>
                <w:rFonts w:ascii="Georgia" w:cs="Georgia" w:eastAsia="Georgia" w:hAnsi="Georgia"/>
                <w:sz w:val="24"/>
                <w:szCs w:val="24"/>
              </w:rPr>
              <w:t xml:space="preserve">If a student says ‘I don’t want to use AI for this’ and the task falls apart — the task was not designed well enough. A well-designed task in this fellowship is one where the answer to that student is: ‘Good. Here is what I need you to show me.’</w:t>
            </w:r>
          </w:p>
        </w:tc>
      </w:tr>
    </w:tbl>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7.7  Multiple Ways of Knowing</w:t>
      </w:r>
    </w:p>
    <w:p>
      <w:pPr>
        <w:keepLines/>
        <w:spacing w:after="160" w:line="280"/>
      </w:pPr>
      <w:r>
        <w:rPr>
          <w:rFonts w:ascii="Georgia" w:cs="Georgia" w:eastAsia="Georgia" w:hAnsi="Georgia"/>
          <w:sz w:val="24"/>
          <w:szCs w:val="24"/>
        </w:rPr>
        <w:t xml:space="preserve">The fellowship applies Universal Design for Learning (CAST, 2018) as its accessibility framework. Interpretable evidence is accepted in multiple modes: verbal, written, visual, computational, </w:t>
      </w:r>
      <w:r>
        <w:rPr>
          <w:rFonts w:ascii="Georgia" w:cs="Georgia" w:eastAsia="Georgia" w:hAnsi="Georgia"/>
          <w:b/>
          <w:bCs/>
          <w:sz w:val="24"/>
          <w:szCs w:val="24"/>
        </w:rPr>
        <w:t xml:space="preserve">embodied, artistic, and creative</w:t>
      </w:r>
      <w:r>
        <w:rPr>
          <w:rFonts w:ascii="Georgia" w:cs="Georgia" w:eastAsia="Georgia" w:hAnsi="Georgia"/>
          <w:sz w:val="24"/>
          <w:szCs w:val="24"/>
        </w:rPr>
        <w:t xml:space="preserve">. Interaction traces — revision histories, making logs, prompt sequences — are explicitly valued alongside verbal explanation. The quality of reasoning is assessed, not the mode of expression.</w:t>
      </w:r>
    </w:p>
    <w:p>
      <w:pPr>
        <w:pStyle w:val="Heading2"/>
        <w:keepNext/>
        <w:spacing w:after="120" w:before="280"/>
      </w:pPr>
      <w:r>
        <w:rPr>
          <w:rFonts w:ascii="Arial" w:cs="Arial" w:eastAsia="Arial" w:hAnsi="Arial"/>
          <w:b/>
          <w:bCs/>
          <w:color w:val="2E7D8C"/>
          <w:sz w:val="26"/>
          <w:szCs w:val="26"/>
        </w:rPr>
        <w:t xml:space="preserve">7.8  Teacher-Friendly Language</w:t>
      </w:r>
    </w:p>
    <w:p>
      <w:pPr>
        <w:keepLines/>
        <w:spacing w:after="160" w:line="280"/>
      </w:pPr>
      <w:r>
        <w:rPr>
          <w:rFonts w:ascii="Georgia" w:cs="Georgia" w:eastAsia="Georgia" w:hAnsi="Georgia"/>
          <w:sz w:val="24"/>
          <w:szCs w:val="24"/>
        </w:rPr>
        <w:t xml:space="preserve">The theoretical constructs in this proposal are the academic framing for design and research. In practice, during PLC sessions and everyday teacher conversation, accessible language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Academic Term</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Teacher-Facing Language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AI-TPACK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Does AI handle my subject’s knowledge structures the way I do?</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Ethical TPACK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Should I use AI here — and what could go wrong?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Contextual Knowledge (XK)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Will this work with my students, at CNG, right now?</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HAIC-K</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How do I set up the task so students stay in charge of the thinking?</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VISTA Protocol</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If AI did this perfectly, what learning would disappear?</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Interpretable Evidence</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would I see that tells me the student actually understood?</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Visible Reasoning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can I make thinking visible — not just the answer?</w:t>
            </w:r>
          </w:p>
        </w:tc>
      </w:tr>
    </w:tbl>
    <w:p>
      <w:pPr>
        <w:keepNext/>
        <w:spacing w:after="16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8. CNG Tool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Guiding Principle</w:t>
            </w:r>
          </w:p>
          <w:p>
            <w:pPr>
              <w:spacing w:after="0"/>
            </w:pPr>
            <w:r>
              <w:rPr>
                <w:rFonts w:ascii="Georgia" w:cs="Georgia" w:eastAsia="Georgia" w:hAnsi="Georgia"/>
                <w:sz w:val="24"/>
                <w:szCs w:val="24"/>
              </w:rPr>
              <w:t xml:space="preserve">Tools should be selected according to the thinking being developed. Not vice versa.</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Three institutionally supported tools serve distinct pedagogical roles — described here as functions rather than platforms, because the function is what matters:</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400"/>
        <w:gridCol w:w="3360"/>
      </w:tblGrid>
      <w:tr>
        <w:trPr>
          <w:cantSplit/>
        </w:trPr>
        <w:tc>
          <w:tcPr>
            <w:tcW w:type="dxa" w:w="168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Tool</w:t>
            </w:r>
          </w:p>
        </w:tc>
        <w:tc>
          <w:tcPr>
            <w:tcW w:type="dxa" w:w="192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Pedagogical Role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Use When</w:t>
            </w:r>
          </w:p>
        </w:tc>
        <w:tc>
          <w:tcPr>
            <w:tcW w:type="dxa" w:w="33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Risks: Fluency, Bias, Privacy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Gemini Education
(ChatGPT / Claude as alternatives)</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Divergent Thinking Partner
Brainstorming, perspective-taking, critique generation</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Generating alternatives; exploring perspectives; producing material for student critique</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Fluency illusion; premature closure; bias reproduction (training data reflects dominant perspectives); privacy (no PII in prompts)</w:t>
            </w:r>
          </w:p>
        </w:tc>
      </w:tr>
      <w:tr>
        <w:trPr>
          <w:cantSplit/>
        </w:trPr>
        <w:tc>
          <w:tcPr>
            <w:tcW w:type="dxa" w:w="168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NotebookLM</w:t>
            </w:r>
          </w:p>
        </w:tc>
        <w:tc>
          <w:tcPr>
            <w:tcW w:type="dxa" w:w="192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i/>
                <w:iCs/>
                <w:sz w:val="22"/>
                <w:szCs w:val="22"/>
              </w:rPr>
              <w:t xml:space="preserve">Knowledge Hub &amp; Evidence Grounding Partner
Source triangulation, institutional memory</w:t>
            </w:r>
          </w:p>
        </w:tc>
        <w:tc>
          <w:tcPr>
            <w:tcW w:type="dxa" w:w="240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Grounding claims in specified sources; source triangulation; evidence synthesis; SRP research preparation; PLC knowledge archiving</w:t>
            </w:r>
          </w:p>
        </w:tc>
        <w:tc>
          <w:tcPr>
            <w:tcW w:type="dxa" w:w="3360"/>
            <w:tcBorders>
              <w:top w:val="single" w:color="C5DCE4" w:sz="4"/>
              <w:left w:val="single" w:color="C5DCE4" w:sz="4"/>
              <w:bottom w:val="single" w:color="C5DCE4" w:sz="4"/>
              <w:right w:val="single" w:color="C5DCE4" w:sz="4"/>
            </w:tcBorders>
            <w:shd w:fill="FFFFFF" w:val="clear"/>
            <w:tcMar>
              <w:top w:type="dxa" w:w="80"/>
              <w:left w:type="dxa" w:w="120"/>
              <w:bottom w:type="dxa" w:w="80"/>
              <w:right w:type="dxa" w:w="120"/>
            </w:tcMar>
          </w:tcPr>
          <w:p>
            <w:pPr>
              <w:spacing w:after="0"/>
            </w:pPr>
            <w:r>
              <w:rPr>
                <w:rFonts w:ascii="Georgia" w:cs="Georgia" w:eastAsia="Georgia" w:hAnsi="Georgia"/>
                <w:sz w:val="22"/>
                <w:szCs w:val="22"/>
              </w:rPr>
              <w:t xml:space="preserve">Source overreliance; false confidence; equity gap (source diversity shapes analysis quality)</w:t>
            </w:r>
          </w:p>
        </w:tc>
      </w:tr>
      <w:tr>
        <w:trPr>
          <w:cantSplit/>
        </w:trPr>
        <w:tc>
          <w:tcPr>
            <w:tcW w:type="dxa" w:w="168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b/>
                <w:bCs/>
                <w:sz w:val="22"/>
                <w:szCs w:val="22"/>
              </w:rPr>
              <w:t xml:space="preserve">Flint (teacher-discretion tool)</w:t>
            </w:r>
          </w:p>
        </w:tc>
        <w:tc>
          <w:tcPr>
            <w:tcW w:type="dxa" w:w="192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i/>
                <w:iCs/>
                <w:sz w:val="22"/>
                <w:szCs w:val="22"/>
              </w:rPr>
              <w:t xml:space="preserve">Structured Inquiry Partner
Guided questioning, visible reasoning</w:t>
            </w:r>
          </w:p>
        </w:tc>
        <w:tc>
          <w:tcPr>
            <w:tcW w:type="dxa" w:w="240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Structured inquiry and Socratic coaching; teacher-designed learning experiences; assessment contexts with teacher-set parameters</w:t>
            </w:r>
          </w:p>
        </w:tc>
        <w:tc>
          <w:tcPr>
            <w:tcW w:type="dxa" w:w="3360"/>
            <w:tcBorders>
              <w:top w:val="single" w:color="C5DCE4" w:sz="4"/>
              <w:left w:val="single" w:color="C5DCE4" w:sz="4"/>
              <w:bottom w:val="single" w:color="C5DCE4" w:sz="4"/>
              <w:right w:val="single" w:color="C5DCE4" w:sz="4"/>
            </w:tcBorders>
            <w:shd w:fill="EAF2F5" w:val="clear"/>
            <w:tcMar>
              <w:top w:type="dxa" w:w="80"/>
              <w:left w:type="dxa" w:w="120"/>
              <w:bottom w:type="dxa" w:w="80"/>
              <w:right w:type="dxa" w:w="120"/>
            </w:tcMar>
          </w:tcPr>
          <w:p>
            <w:pPr>
              <w:spacing w:after="0"/>
            </w:pPr>
            <w:r>
              <w:rPr>
                <w:rFonts w:ascii="Georgia" w:cs="Georgia" w:eastAsia="Georgia" w:hAnsi="Georgia"/>
                <w:sz w:val="22"/>
                <w:szCs w:val="22"/>
              </w:rPr>
              <w:t xml:space="preserve">Over-scaffolding; compliance orientation; design bias (teacher parameters shape what thinking is valued)</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8.1  Technology Position Statement</w:t>
      </w:r>
    </w:p>
    <w:p>
      <w:pPr>
        <w:keepLines/>
        <w:spacing w:after="160" w:line="280"/>
      </w:pPr>
      <w:r>
        <w:rPr>
          <w:rFonts w:ascii="Georgia" w:cs="Georgia" w:eastAsia="Georgia" w:hAnsi="Georgia"/>
          <w:sz w:val="24"/>
          <w:szCs w:val="24"/>
        </w:rPr>
        <w:t xml:space="preserve">This fellowship is intentionally </w:t>
      </w:r>
      <w:r>
        <w:rPr>
          <w:rFonts w:ascii="Georgia" w:cs="Georgia" w:eastAsia="Georgia" w:hAnsi="Georgia"/>
          <w:b/>
          <w:bCs/>
          <w:sz w:val="24"/>
          <w:szCs w:val="24"/>
        </w:rPr>
        <w:t xml:space="preserve">tool-agnostic</w:t>
      </w:r>
      <w:r>
        <w:rPr>
          <w:rFonts w:ascii="Georgia" w:cs="Georgia" w:eastAsia="Georgia" w:hAnsi="Georgia"/>
          <w:sz w:val="24"/>
          <w:szCs w:val="24"/>
        </w:rPr>
        <w:t xml:space="preserve">. Assessment routines are designed to remain valid regardless of future technological changes. When better tools become available, the HCAP question provides the evaluation criterion: does this serve human learning, or does it substitute for it?</w:t>
      </w:r>
    </w:p>
    <w:p>
      <w:pPr>
        <w:keepLines/>
        <w:spacing w:after="160" w:line="280"/>
      </w:pPr>
      <w:r>
        <w:rPr>
          <w:rFonts w:ascii="Georgia" w:cs="Georgia" w:eastAsia="Georgia" w:hAnsi="Georgia"/>
          <w:b/>
          <w:bCs/>
          <w:sz w:val="24"/>
          <w:szCs w:val="24"/>
        </w:rPr>
        <w:t xml:space="preserve">Embedded ethics is not a separate step.</w:t>
      </w:r>
      <w:r>
        <w:rPr>
          <w:rFonts w:ascii="Georgia" w:cs="Georgia" w:eastAsia="Georgia" w:hAnsi="Georgia"/>
          <w:sz w:val="24"/>
          <w:szCs w:val="24"/>
        </w:rPr>
        <w:t xml:space="preserve"> Every tool integration is evaluated for bias in outputs, data privacy implications, and equitable design — embedded in the Assessment Audit, the Disclosure Protocol, and every PLC.</w:t>
      </w:r>
    </w:p>
    <w:p>
      <w:pPr>
        <w:pStyle w:val="Heading2"/>
        <w:keepNext/>
        <w:spacing w:after="120" w:before="280"/>
      </w:pPr>
      <w:r>
        <w:rPr>
          <w:rFonts w:ascii="Arial" w:cs="Arial" w:eastAsia="Arial" w:hAnsi="Arial"/>
          <w:b/>
          <w:bCs/>
          <w:color w:val="2E7D8C"/>
          <w:sz w:val="26"/>
          <w:szCs w:val="26"/>
        </w:rPr>
        <w:t xml:space="preserve">8.2  Backwards Design as the Iteration Logic</w:t>
      </w:r>
    </w:p>
    <w:p>
      <w:pPr>
        <w:keepLines/>
        <w:spacing w:after="160" w:line="280"/>
      </w:pPr>
      <w:r>
        <w:rPr>
          <w:rFonts w:ascii="Georgia" w:cs="Georgia" w:eastAsia="Georgia" w:hAnsi="Georgia"/>
          <w:sz w:val="24"/>
          <w:szCs w:val="24"/>
        </w:rPr>
        <w:t xml:space="preserve">Every iteration in the fellowship is structured around backwards design (Wiggins &amp; McTighe, 1998, 2005): teachers begin by identifying the specific disciplinary capacity the task is designed to develop, define what interpretable evidence of that capacity would look like in student work, and only then examine whether the current task design actually requires students to demonstrate it. The VISTA audit operationalizes this sequence explicitly: Step 1 asks teachers to name the learning and describe the evidence </w:t>
      </w:r>
      <w:r>
        <w:rPr>
          <w:rFonts w:ascii="Georgia" w:cs="Georgia" w:eastAsia="Georgia" w:hAnsi="Georgia"/>
          <w:i/>
          <w:iCs/>
          <w:sz w:val="24"/>
          <w:szCs w:val="24"/>
        </w:rPr>
        <w:t xml:space="preserve">before</w:t>
      </w:r>
      <w:r>
        <w:rPr>
          <w:rFonts w:ascii="Georgia" w:cs="Georgia" w:eastAsia="Georgia" w:hAnsi="Georgia"/>
          <w:sz w:val="24"/>
          <w:szCs w:val="24"/>
        </w:rPr>
        <w:t xml:space="preserve"> asking anything about AI.</w:t>
      </w:r>
    </w:p>
    <w:p>
      <w:pPr>
        <w:keepLines/>
        <w:spacing w:after="160" w:line="280"/>
      </w:pPr>
      <w:r>
        <w:rPr>
          <w:rFonts w:ascii="Georgia" w:cs="Georgia" w:eastAsia="Georgia" w:hAnsi="Georgia"/>
          <w:sz w:val="24"/>
          <w:szCs w:val="24"/>
        </w:rPr>
        <w:t xml:space="preserve">Backwards design reveals a structural problem in AI-rich environments: many tasks were originally designed for a pre-AI context and were often not rigorously evidence-first to begin with. AI does not create the problem of tasks that don’t require the thinking they claim to require — it makes the problem impossible to ignore. The fellowship uses that visibility as a pedagogical opportunity. Every redesign is also a backwards design exercise. Every teacher who completes an iteration cycle is developing the professional habit of starting from the question: </w:t>
      </w:r>
      <w:r>
        <w:rPr>
          <w:rFonts w:ascii="Georgia" w:cs="Georgia" w:eastAsia="Georgia" w:hAnsi="Georgia"/>
          <w:i/>
          <w:iCs/>
          <w:sz w:val="24"/>
          <w:szCs w:val="24"/>
        </w:rPr>
        <w:t xml:space="preserve">What would I see in student work that tells me this learning actually happened?</w:t>
      </w:r>
    </w:p>
    <w:p>
      <w:pPr>
        <w:keepNext/>
        <w:spacing w:after="8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9. Cognitive Agency Knowledge Hub</w:t>
      </w:r>
    </w:p>
    <w:p>
      <w:pPr>
        <w:keepLines/>
        <w:spacing w:after="160" w:line="280"/>
      </w:pPr>
      <w:r>
        <w:rPr>
          <w:rFonts w:ascii="Georgia" w:cs="Georgia" w:eastAsia="Georgia" w:hAnsi="Georgia"/>
          <w:sz w:val="24"/>
          <w:szCs w:val="24"/>
        </w:rPr>
        <w:t xml:space="preserve">The primary long-term knowledge infrastructure is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 a shared NotebookLM workspace that evolves continuously. A document becomes outdated. A knowledge hub grows with each iteration, each new exemplar, each PLC discussion archived.</w:t>
      </w:r>
    </w:p>
    <w:p>
      <w:pPr>
        <w:keepLines/>
        <w:spacing w:after="160" w:line="280"/>
      </w:pPr>
      <w:r>
        <w:rPr>
          <w:rFonts w:ascii="Georgia" w:cs="Georgia" w:eastAsia="Georgia" w:hAnsi="Georgia"/>
          <w:sz w:val="24"/>
          <w:szCs w:val="24"/>
        </w:rPr>
        <w:t xml:space="preserve">The Hub contains:</w:t>
      </w:r>
    </w:p>
    <w:p>
      <w:pPr>
        <w:pStyle w:val="ListParagraph"/>
        <w:numPr>
          <w:ilvl w:val="0"/>
          <w:numId w:val="2"/>
        </w:numPr>
        <w:spacing w:after="100"/>
      </w:pPr>
      <w:r>
        <w:rPr>
          <w:rFonts w:ascii="Georgia" w:cs="Georgia" w:eastAsia="Georgia" w:hAnsi="Georgia"/>
          <w:sz w:val="24"/>
          <w:szCs w:val="24"/>
        </w:rPr>
        <w:t xml:space="preserve">Research library: foundational and current literature on AI-TPACK, visible reasoning, assessment design, and PLC sustainability</w:t>
      </w:r>
    </w:p>
    <w:p>
      <w:pPr>
        <w:pStyle w:val="ListParagraph"/>
        <w:numPr>
          <w:ilvl w:val="0"/>
          <w:numId w:val="2"/>
        </w:numPr>
        <w:spacing w:after="100"/>
      </w:pPr>
      <w:r>
        <w:rPr>
          <w:rFonts w:ascii="Georgia" w:cs="Georgia" w:eastAsia="Georgia" w:hAnsi="Georgia"/>
          <w:sz w:val="24"/>
          <w:szCs w:val="24"/>
        </w:rPr>
        <w:t xml:space="preserve">Annotated exemplars: student reasoning artifacts organized by discipline and evidence mode</w:t>
      </w:r>
    </w:p>
    <w:p>
      <w:pPr>
        <w:pStyle w:val="ListParagraph"/>
        <w:numPr>
          <w:ilvl w:val="0"/>
          <w:numId w:val="2"/>
        </w:numPr>
        <w:spacing w:after="100"/>
      </w:pPr>
      <w:r>
        <w:rPr>
          <w:rFonts w:ascii="Georgia" w:cs="Georgia" w:eastAsia="Georgia" w:hAnsi="Georgia"/>
          <w:sz w:val="24"/>
          <w:szCs w:val="24"/>
        </w:rPr>
        <w:t xml:space="preserve">Assessment audits: documented VISTA Protocol applications across disciplines</w:t>
      </w:r>
    </w:p>
    <w:p>
      <w:pPr>
        <w:pStyle w:val="ListParagraph"/>
        <w:numPr>
          <w:ilvl w:val="0"/>
          <w:numId w:val="2"/>
        </w:numPr>
        <w:spacing w:after="100"/>
      </w:pPr>
      <w:r>
        <w:rPr>
          <w:rFonts w:ascii="Georgia" w:cs="Georgia" w:eastAsia="Georgia" w:hAnsi="Georgia"/>
          <w:sz w:val="24"/>
          <w:szCs w:val="24"/>
        </w:rPr>
        <w:t xml:space="preserve">Visible reasoning protocols: nine protocols with purpose, use cases, and sample prompts</w:t>
      </w:r>
    </w:p>
    <w:p>
      <w:pPr>
        <w:pStyle w:val="ListParagraph"/>
        <w:numPr>
          <w:ilvl w:val="0"/>
          <w:numId w:val="2"/>
        </w:numPr>
        <w:spacing w:after="100"/>
      </w:pPr>
      <w:r>
        <w:rPr>
          <w:rFonts w:ascii="Georgia" w:cs="Georgia" w:eastAsia="Georgia" w:hAnsi="Georgia"/>
          <w:sz w:val="24"/>
          <w:szCs w:val="24"/>
        </w:rPr>
        <w:t xml:space="preserve">AI reflection and disclosure examples: authentic, avoids performative compliance</w:t>
      </w:r>
    </w:p>
    <w:p>
      <w:pPr>
        <w:pStyle w:val="ListParagraph"/>
        <w:numPr>
          <w:ilvl w:val="0"/>
          <w:numId w:val="2"/>
        </w:numPr>
        <w:spacing w:after="100"/>
      </w:pPr>
      <w:r>
        <w:rPr>
          <w:rFonts w:ascii="Georgia" w:cs="Georgia" w:eastAsia="Georgia" w:hAnsi="Georgia"/>
          <w:sz w:val="24"/>
          <w:szCs w:val="24"/>
        </w:rPr>
        <w:t xml:space="preserve">VSR examples: hinge point analysis with teacher commentary</w:t>
      </w:r>
    </w:p>
    <w:p>
      <w:pPr>
        <w:pStyle w:val="ListParagraph"/>
        <w:numPr>
          <w:ilvl w:val="0"/>
          <w:numId w:val="2"/>
        </w:numPr>
        <w:spacing w:after="100"/>
      </w:pPr>
      <w:r>
        <w:rPr>
          <w:rFonts w:ascii="Georgia" w:cs="Georgia" w:eastAsia="Georgia" w:hAnsi="Georgia"/>
          <w:sz w:val="24"/>
          <w:szCs w:val="24"/>
        </w:rPr>
        <w:t xml:space="preserve">PLC discussion archives: epistemological tension discussions and cross-disciplinary patterns</w:t>
      </w:r>
    </w:p>
    <w:p>
      <w:pPr>
        <w:pStyle w:val="ListParagraph"/>
        <w:numPr>
          <w:ilvl w:val="0"/>
          <w:numId w:val="2"/>
        </w:numPr>
        <w:spacing w:after="100"/>
      </w:pPr>
      <w:r>
        <w:rPr>
          <w:rFonts w:ascii="Georgia" w:cs="Georgia" w:eastAsia="Georgia" w:hAnsi="Georgia"/>
          <w:sz w:val="24"/>
          <w:szCs w:val="24"/>
        </w:rPr>
        <w:t xml:space="preserve">Implementation resources: AI Task Force Handoff Package, Department PLC Protocol, Curriculum Review Integration guide</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Why NotebookLM specifically: </w:t>
      </w:r>
      <w:r>
        <w:rPr>
          <w:rFonts w:ascii="Georgia" w:cs="Georgia" w:eastAsia="Georgia" w:hAnsi="Georgia"/>
          <w:sz w:val="24"/>
          <w:szCs w:val="24"/>
        </w:rPr>
        <w:t xml:space="preserve">NotebookLM enables source-grounded inquiry — teachers and Task Force members can ask questions of the Hub’s content and receive evidence-grounded responses. This models the same epistemic practices the fellowship promotes in students: ground your claims, triangulate across sources, interrogate outputs critically. The Hub does not replace teacher judgment. It supports it.</w:t>
      </w:r>
    </w:p>
    <w:p>
      <w:pPr>
        <w:pStyle w:val="Heading3"/>
        <w:keepNext/>
        <w:spacing w:after="100" w:before="200"/>
      </w:pPr>
      <w:r>
        <w:rPr>
          <w:rFonts w:ascii="Arial" w:cs="Arial" w:eastAsia="Arial" w:hAnsi="Arial"/>
          <w:b/>
          <w:bCs/>
          <w:color w:val="1B3A5C"/>
          <w:sz w:val="24"/>
          <w:szCs w:val="24"/>
        </w:rPr>
        <w:t xml:space="preserve">The Long-Term Trajectory: From Hub to Institutional Chatbot</w:t>
      </w:r>
    </w:p>
    <w:p>
      <w:pPr>
        <w:keepLines/>
        <w:spacing w:after="160" w:line="280"/>
      </w:pPr>
      <w:r>
        <w:rPr>
          <w:rFonts w:ascii="Georgia" w:cs="Georgia" w:eastAsia="Georgia" w:hAnsi="Georgia"/>
          <w:sz w:val="24"/>
          <w:szCs w:val="24"/>
        </w:rPr>
        <w:t xml:space="preserve">The Cognitive Agency Knowledge Hub is designed with a long-term trajectory in mind. In its early form it is a shared NotebookLM workspace. Over time, as it accumulates research, exemplars, audits, PLC archives, and implementation experience, it develops into something more powerful: a </w:t>
      </w:r>
      <w:r>
        <w:rPr>
          <w:rFonts w:ascii="Georgia" w:cs="Georgia" w:eastAsia="Georgia" w:hAnsi="Georgia"/>
          <w:b/>
          <w:bCs/>
          <w:sz w:val="24"/>
          <w:szCs w:val="24"/>
        </w:rPr>
        <w:t xml:space="preserve">CNG institutional AI chatbot</w:t>
      </w:r>
      <w:r>
        <w:rPr>
          <w:rFonts w:ascii="Georgia" w:cs="Georgia" w:eastAsia="Georgia" w:hAnsi="Georgia"/>
          <w:sz w:val="24"/>
          <w:szCs w:val="24"/>
        </w:rPr>
        <w:t xml:space="preserve"> — a queryable knowledge base that any teacher, department chair, or administrator can interrogate to get evidence-grounded guidance on assessment design in AI-rich classrooms.</w:t>
      </w:r>
    </w:p>
    <w:p>
      <w:pPr>
        <w:keepLines/>
        <w:spacing w:after="160" w:line="280"/>
      </w:pPr>
      <w:r>
        <w:rPr>
          <w:rFonts w:ascii="Georgia" w:cs="Georgia" w:eastAsia="Georgia" w:hAnsi="Georgia"/>
          <w:sz w:val="24"/>
          <w:szCs w:val="24"/>
        </w:rPr>
        <w:t xml:space="preserve">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Stage</w:t>
            </w:r>
          </w:p>
        </w:tc>
        <w:tc>
          <w:tcPr>
            <w:tcW w:type="dxa" w:w="69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Hub Capacity</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Shared NotebookLM workspace. Five teachers contributing. Research library and first exemplars. AI Task Force members as co-stewards.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2</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Growing repository across divisions. Department PLC archives added. Cross-disciplinary patterns documented. Task Force queries the Hub to prepare facilitation.</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3</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LC, Makerspace, and support faculty contributions. Multimodal and UDL-adapted exemplars. Hub begins to serve as onboarding resource for new teachers.</w:t>
            </w:r>
          </w:p>
        </w:tc>
      </w:tr>
      <w:tr>
        <w:trPr>
          <w:cantSplit/>
        </w:trPr>
        <w:tc>
          <w:tcPr>
            <w:tcW w:type="dxa" w:w="24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4</w:t>
            </w:r>
          </w:p>
        </w:tc>
        <w:tc>
          <w:tcPr>
            <w:tcW w:type="dxa" w:w="69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Institutional integration. The Hub is embedded in departmental curriculum review. Any teacher at CNG can query it: What does the evidence say about visible reasoning in mathematics? What exemplars exist for science CER tasks? What does the research say about AI and embodied learning?</w:t>
            </w:r>
          </w:p>
        </w:tc>
      </w:tr>
      <w:tr>
        <w:trPr>
          <w:cantSplit/>
        </w:trPr>
        <w:tc>
          <w:tcPr>
            <w:tcW w:type="dxa" w:w="24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Beyond Year 4</w:t>
            </w:r>
          </w:p>
        </w:tc>
        <w:tc>
          <w:tcPr>
            <w:tcW w:type="dxa" w:w="69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Hub evolves toward a fully queryable CNG institutional chatbot — trained on CNG’s own professional learning, assessment research, exemplars, and disciplinary science of teaching literature. It becomes a living institutional memory that grows smarter with every cohort, every PLC discussion, every redesign decision documented.</w:t>
            </w:r>
          </w:p>
        </w:tc>
      </w:tr>
    </w:tbl>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trajectory is not a technology ambition. It is a </w:t>
      </w:r>
      <w:r>
        <w:rPr>
          <w:rFonts w:ascii="Georgia" w:cs="Georgia" w:eastAsia="Georgia" w:hAnsi="Georgia"/>
          <w:b/>
          <w:bCs/>
          <w:sz w:val="24"/>
          <w:szCs w:val="24"/>
        </w:rPr>
        <w:t xml:space="preserve">learning organization ambition</w:t>
      </w:r>
      <w:r>
        <w:rPr>
          <w:rFonts w:ascii="Georgia" w:cs="Georgia" w:eastAsia="Georgia" w:hAnsi="Georgia"/>
          <w:sz w:val="24"/>
          <w:szCs w:val="24"/>
        </w:rPr>
        <w:t xml:space="preserve"> — the vision of a school that captures its own professional wisdom, makes it queryable, and uses it to continuously improve. The fellowship is the first step in building that infrastructure, starting with the specific domain where CNG needs it most right now: assessment design in AI-rich classrooms.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10. Departmental PLC and Curriculum Integration</w:t>
      </w:r>
    </w:p>
    <w:p>
      <w:pPr>
        <w:pStyle w:val="Heading2"/>
        <w:keepNext/>
        <w:spacing w:after="120" w:before="280"/>
      </w:pPr>
      <w:r>
        <w:rPr>
          <w:rFonts w:ascii="Arial" w:cs="Arial" w:eastAsia="Arial" w:hAnsi="Arial"/>
          <w:b/>
          <w:bCs/>
          <w:color w:val="2E7D8C"/>
          <w:sz w:val="26"/>
          <w:szCs w:val="26"/>
        </w:rPr>
        <w:t xml:space="preserve">10.1  Why Departments Are the Right Unit</w:t>
      </w:r>
    </w:p>
    <w:p>
      <w:pPr>
        <w:keepLines/>
        <w:spacing w:after="160" w:line="280"/>
      </w:pPr>
      <w:r>
        <w:rPr>
          <w:rFonts w:ascii="Georgia" w:cs="Georgia" w:eastAsia="Georgia" w:hAnsi="Georgia"/>
          <w:sz w:val="24"/>
          <w:szCs w:val="24"/>
        </w:rPr>
        <w:t xml:space="preserve">Sustainable educational change does not happen through individuals. Fullan (2016) demonstrates that deep change requires embedding new practices in collaborative professional structures. DuFour and Eaker (1998) establish that PLCs are the most powerful professional development model available. Coburn (2003) argues that sustainable reform requires </w:t>
      </w:r>
      <w:r>
        <w:rPr>
          <w:rFonts w:ascii="Georgia" w:cs="Georgia" w:eastAsia="Georgia" w:hAnsi="Georgia"/>
          <w:i/>
          <w:iCs/>
          <w:sz w:val="24"/>
          <w:szCs w:val="24"/>
        </w:rPr>
        <w:t xml:space="preserve">depth</w:t>
      </w:r>
      <w:r>
        <w:rPr>
          <w:rFonts w:ascii="Georgia" w:cs="Georgia" w:eastAsia="Georgia" w:hAnsi="Georgia"/>
          <w:sz w:val="24"/>
          <w:szCs w:val="24"/>
        </w:rPr>
        <w:t xml:space="preserve"> — shifting underlying beliefs and practices. Bryk et al. (2015) demonstrate that reliable change builds on existing organizational structures. Hargreaves and Fullan (2012) identify </w:t>
      </w:r>
      <w:r>
        <w:rPr>
          <w:rFonts w:ascii="Georgia" w:cs="Georgia" w:eastAsia="Georgia" w:hAnsi="Georgia"/>
          <w:i/>
          <w:iCs/>
          <w:sz w:val="24"/>
          <w:szCs w:val="24"/>
        </w:rPr>
        <w:t xml:space="preserve">professional capital</w:t>
      </w:r>
      <w:r>
        <w:rPr>
          <w:rFonts w:ascii="Georgia" w:cs="Georgia" w:eastAsia="Georgia" w:hAnsi="Georgia"/>
          <w:sz w:val="24"/>
          <w:szCs w:val="24"/>
        </w:rPr>
        <w:t xml:space="preserve"> — collective knowledge, skill, and decisiveness — as the key variable in educational improvement.</w:t>
      </w:r>
    </w:p>
    <w:p>
      <w:pPr>
        <w:keepLines/>
        <w:spacing w:after="160" w:line="280"/>
      </w:pPr>
      <w:r>
        <w:rPr>
          <w:rFonts w:ascii="Georgia" w:cs="Georgia" w:eastAsia="Georgia" w:hAnsi="Georgia"/>
          <w:sz w:val="24"/>
          <w:szCs w:val="24"/>
        </w:rPr>
        <w:t xml:space="preserve">Departments already share </w:t>
      </w:r>
      <w:r>
        <w:rPr>
          <w:rFonts w:ascii="Georgia" w:cs="Georgia" w:eastAsia="Georgia" w:hAnsi="Georgia"/>
          <w:b/>
          <w:bCs/>
          <w:sz w:val="24"/>
          <w:szCs w:val="24"/>
        </w:rPr>
        <w:t xml:space="preserve">CK, PK, and PCK</w:t>
      </w:r>
      <w:r>
        <w:rPr>
          <w:rFonts w:ascii="Georgia" w:cs="Georgia" w:eastAsia="Georgia" w:hAnsi="Georgia"/>
          <w:sz w:val="24"/>
          <w:szCs w:val="24"/>
        </w:rPr>
        <w:t xml:space="preserve"> — the foundational knowledge that makes AI-specific layers meaningful. A mathematics department that shares a commitment to proof and justification already knows what it means for AI to mishandle a proof. A humanities department that shares a commitment to evidence and interpretation already knows what a good historical argument looks like. The fellowship builds the AI-specific knowledge layers — AI-TPACK, Ethical TPACK, XK, and HAIC-K — on top of this shared foundation. This is not about replacing what teachers know. It is about extending it.</w:t>
      </w:r>
    </w:p>
    <w:p>
      <w:pPr>
        <w:pStyle w:val="Heading2"/>
        <w:keepNext/>
        <w:spacing w:after="120" w:before="280"/>
      </w:pPr>
      <w:r>
        <w:rPr>
          <w:rFonts w:ascii="Arial" w:cs="Arial" w:eastAsia="Arial" w:hAnsi="Arial"/>
          <w:b/>
          <w:bCs/>
          <w:color w:val="2E7D8C"/>
          <w:sz w:val="26"/>
          <w:szCs w:val="26"/>
        </w:rPr>
        <w:t xml:space="preserve">10.2  Department Cognitive Agency PLC Protocol</w:t>
      </w:r>
    </w:p>
    <w:p>
      <w:pPr>
        <w:keepLines/>
        <w:spacing w:after="160" w:line="280"/>
      </w:pPr>
      <w:r>
        <w:rPr>
          <w:rFonts w:ascii="Georgia" w:cs="Georgia" w:eastAsia="Georgia" w:hAnsi="Georgia"/>
          <w:sz w:val="24"/>
          <w:szCs w:val="24"/>
        </w:rPr>
        <w:t xml:space="preserve">The most scalable output is a </w:t>
      </w:r>
      <w:r>
        <w:rPr>
          <w:rFonts w:ascii="Georgia" w:cs="Georgia" w:eastAsia="Georgia" w:hAnsi="Georgia"/>
          <w:b/>
          <w:bCs/>
          <w:sz w:val="24"/>
          <w:szCs w:val="24"/>
        </w:rPr>
        <w:t xml:space="preserve">repeatable 30-minute routine</w:t>
      </w:r>
      <w:r>
        <w:rPr>
          <w:rFonts w:ascii="Georgia" w:cs="Georgia" w:eastAsia="Georgia" w:hAnsi="Georgia"/>
          <w:sz w:val="24"/>
          <w:szCs w:val="24"/>
        </w:rPr>
        <w:t xml:space="preserve"> any department can use independently:</w:t>
      </w:r>
    </w:p>
    <w:p>
      <w:pPr>
        <w:pStyle w:val="ListParagraph"/>
        <w:numPr>
          <w:ilvl w:val="0"/>
          <w:numId w:val="3"/>
        </w:numPr>
        <w:spacing w:after="100"/>
      </w:pPr>
      <w:r>
        <w:rPr>
          <w:rFonts w:ascii="Georgia" w:cs="Georgia" w:eastAsia="Georgia" w:hAnsi="Georgia"/>
          <w:sz w:val="24"/>
          <w:szCs w:val="24"/>
        </w:rPr>
        <w:t xml:space="preserve">Select one recent or upcoming assessment.</w:t>
      </w:r>
    </w:p>
    <w:p>
      <w:pPr>
        <w:pStyle w:val="ListParagraph"/>
        <w:numPr>
          <w:ilvl w:val="0"/>
          <w:numId w:val="3"/>
        </w:numPr>
        <w:spacing w:after="100"/>
      </w:pPr>
      <w:r>
        <w:rPr>
          <w:rFonts w:ascii="Georgia" w:cs="Georgia" w:eastAsia="Georgia" w:hAnsi="Georgia"/>
          <w:sz w:val="24"/>
          <w:szCs w:val="24"/>
        </w:rPr>
        <w:t xml:space="preserve">Ask: </w:t>
      </w:r>
      <w:r>
        <w:rPr>
          <w:rFonts w:ascii="Georgia" w:cs="Georgia" w:eastAsia="Georgia" w:hAnsi="Georgia"/>
          <w:b/>
          <w:bCs/>
          <w:sz w:val="24"/>
          <w:szCs w:val="24"/>
        </w:rPr>
        <w:t xml:space="preserve">If AI completed this task perfectly, what learning would disappear?</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with AI assistance.</w:t>
      </w:r>
    </w:p>
    <w:p>
      <w:pPr>
        <w:pStyle w:val="ListParagraph"/>
        <w:numPr>
          <w:ilvl w:val="0"/>
          <w:numId w:val="3"/>
        </w:numPr>
        <w:spacing w:after="100"/>
      </w:pPr>
      <w:r>
        <w:rPr>
          <w:rFonts w:ascii="Georgia" w:cs="Georgia" w:eastAsia="Georgia" w:hAnsi="Georgia"/>
          <w:sz w:val="24"/>
          <w:szCs w:val="24"/>
        </w:rPr>
        <w:t xml:space="preserve">Identify the evidence that would demonstrate that thinking is genuine.</w:t>
      </w:r>
    </w:p>
    <w:p>
      <w:pPr>
        <w:pStyle w:val="ListParagraph"/>
        <w:numPr>
          <w:ilvl w:val="0"/>
          <w:numId w:val="3"/>
        </w:numPr>
        <w:spacing w:after="100"/>
      </w:pPr>
      <w:r>
        <w:rPr>
          <w:rFonts w:ascii="Georgia" w:cs="Georgia" w:eastAsia="Georgia" w:hAnsi="Georgia"/>
          <w:sz w:val="24"/>
          <w:szCs w:val="24"/>
        </w:rPr>
        <w:t xml:space="preserve">Identify the appropriate SAIL positioning for this task.</w:t>
      </w:r>
    </w:p>
    <w:p>
      <w:pPr>
        <w:pStyle w:val="ListParagraph"/>
        <w:numPr>
          <w:ilvl w:val="0"/>
          <w:numId w:val="3"/>
        </w:numPr>
        <w:spacing w:after="100"/>
      </w:pPr>
      <w:r>
        <w:rPr>
          <w:rFonts w:ascii="Georgia" w:cs="Georgia" w:eastAsia="Georgia" w:hAnsi="Georgia"/>
          <w:sz w:val="24"/>
          <w:szCs w:val="24"/>
        </w:rPr>
        <w:t xml:space="preserve">Make one specific change to the assessment design.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protocol requires no new curriculum, no new technology, and no external facilitator once established. Its power comes from repeated use — each iteration building shared departmental language, shared exemplars, and shared judgment. Research identifies three mechanisms that make this routine durable: artifact analysis (teachers reviewing student work together develops shared disciplinary standards faster than any training), collaborative co-design (teachers who design assessments together own them and use them consistently), and collective sensemaking (teachers negotiating together what AI means for their discipline rather than resolving it individually). Sustainable change comes from these routines embedded in existing structures, not from isolated professional development events.</w:t>
      </w:r>
    </w:p>
    <w:p>
      <w:pPr>
        <w:pStyle w:val="Heading2"/>
        <w:keepNext/>
        <w:spacing w:after="120" w:before="280"/>
      </w:pPr>
      <w:r>
        <w:rPr>
          <w:rFonts w:ascii="Arial" w:cs="Arial" w:eastAsia="Arial" w:hAnsi="Arial"/>
          <w:b/>
          <w:bCs/>
          <w:color w:val="2E7D8C"/>
          <w:sz w:val="26"/>
          <w:szCs w:val="26"/>
        </w:rPr>
        <w:t xml:space="preserve">10.3  Curriculum Review Integration</w:t>
      </w:r>
    </w:p>
    <w:p>
      <w:pPr>
        <w:keepLines/>
        <w:spacing w:after="160" w:line="280"/>
      </w:pPr>
      <w:r>
        <w:rPr>
          <w:rFonts w:ascii="Georgia" w:cs="Georgia" w:eastAsia="Georgia" w:hAnsi="Georgia"/>
          <w:sz w:val="24"/>
          <w:szCs w:val="24"/>
        </w:rPr>
        <w:t xml:space="preserve">The most durable innovations become embedded in existing systems. The fellowship’s assessment audit question can be incorporated into curriculum review through a single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Curriculum Review Integration Question</w:t>
            </w:r>
          </w:p>
          <w:p>
            <w:pPr>
              <w:spacing w:after="0"/>
            </w:pPr>
            <w:r>
              <w:rPr>
                <w:rFonts w:ascii="Georgia" w:cs="Georgia" w:eastAsia="Georgia" w:hAnsi="Georgia"/>
                <w:sz w:val="24"/>
                <w:szCs w:val="24"/>
              </w:rPr>
              <w:t xml:space="preserve">What evidence will demonstrate learning if AI can generate the product? This moves the work from an AI initiative to a curriculum and assessment initiative — the reframe needed for long-term sustainability.</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question requires no new training and no new meeting. By Year 4, it is embedded in CNG’s departmental planning as standard practice.</w:t>
      </w:r>
    </w:p>
    <w:p>
      <w:pPr>
        <w:pStyle w:val="Heading2"/>
        <w:keepNext/>
        <w:spacing w:after="120" w:before="280"/>
      </w:pPr>
      <w:r>
        <w:rPr>
          <w:rFonts w:ascii="Arial" w:cs="Arial" w:eastAsia="Arial" w:hAnsi="Arial"/>
          <w:b/>
          <w:bCs/>
          <w:color w:val="2E7D8C"/>
          <w:sz w:val="26"/>
          <w:szCs w:val="26"/>
        </w:rPr>
        <w:t xml:space="preserve">10.4  Emerging Shared Language — Co-Constructed Through Inquiry</w:t>
      </w:r>
    </w:p>
    <w:p>
      <w:pPr>
        <w:keepLines/>
        <w:spacing w:after="160" w:line="280"/>
      </w:pPr>
      <w:r>
        <w:rPr>
          <w:rFonts w:ascii="Georgia" w:cs="Georgia" w:eastAsia="Georgia" w:hAnsi="Georgia"/>
          <w:sz w:val="24"/>
          <w:szCs w:val="24"/>
        </w:rPr>
        <w:t xml:space="preserve">A key outcome of the departmental PLC work is the gradual co-construction of shared professional language — ways of talking about assessment, evidence, and student reasoning that travel across disciplinary boundaries. This language is not pre-designed and is not presented as a framework. It emerges from sustained collaborative inquiry. The June transfer sessions are one site where this language is observed: what terms prove transportable? What concepts require translation? That data becomes part of the fellowship’s contribution to the CNG professional community — the beginning of a vocabulary, not the announcement of one.</w:t>
      </w:r>
    </w:p>
    <w:p>
      <w:pPr>
        <w:keepNext/>
        <w:spacing w:after="12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11. Deliverables</w:t>
      </w:r>
    </w:p>
    <w:p>
      <w:pPr>
        <w:keepLines/>
        <w:spacing w:after="160" w:line="280"/>
      </w:pPr>
      <w:r>
        <w:rPr>
          <w:rFonts w:ascii="Georgia" w:cs="Georgia" w:eastAsia="Georgia" w:hAnsi="Georgia"/>
          <w:sz w:val="24"/>
          <w:szCs w:val="24"/>
        </w:rPr>
        <w:t xml:space="preserve">Full documentation for each deliverable appears in the </w:t>
      </w:r>
      <w:r>
        <w:rPr>
          <w:rFonts w:ascii="Georgia" w:cs="Georgia" w:eastAsia="Georgia" w:hAnsi="Georgia"/>
          <w:b/>
          <w:bCs/>
          <w:sz w:val="24"/>
          <w:szCs w:val="24"/>
        </w:rPr>
        <w:t xml:space="preserve">Appendices</w:t>
      </w:r>
      <w:r>
        <w:rPr>
          <w:rFonts w:ascii="Georgia" w:cs="Georgia" w:eastAsia="Georgia" w:hAnsi="Georgia"/>
          <w:sz w:val="24"/>
          <w:szCs w:val="24"/>
        </w:rPr>
        <w:t xml:space="preserve">. The following is a summary.</w:t>
      </w:r>
    </w:p>
    <w:p>
      <w:pPr>
        <w:pStyle w:val="Heading2"/>
        <w:keepNext/>
        <w:spacing w:after="120" w:before="280"/>
      </w:pPr>
      <w:r>
        <w:rPr>
          <w:rFonts w:ascii="Arial" w:cs="Arial" w:eastAsia="Arial" w:hAnsi="Arial"/>
          <w:b/>
          <w:bCs/>
          <w:color w:val="2E7D8C"/>
          <w:sz w:val="26"/>
          <w:szCs w:val="26"/>
        </w:rPr>
        <w:t xml:space="preserve">11.1  Per Teacher</w:t>
      </w:r>
    </w:p>
    <w:p>
      <w:pPr>
        <w:pStyle w:val="ListParagraph"/>
        <w:numPr>
          <w:ilvl w:val="0"/>
          <w:numId w:val="2"/>
        </w:numPr>
        <w:spacing w:after="100"/>
      </w:pPr>
      <w:r>
        <w:rPr>
          <w:rFonts w:ascii="Georgia" w:cs="Georgia" w:eastAsia="Georgia" w:hAnsi="Georgia"/>
          <w:sz w:val="24"/>
          <w:szCs w:val="24"/>
        </w:rPr>
        <w:t xml:space="preserve">Two to three documented assessment iteration arcs</w:t>
      </w:r>
    </w:p>
    <w:p>
      <w:pPr>
        <w:pStyle w:val="ListParagraph"/>
        <w:numPr>
          <w:ilvl w:val="0"/>
          <w:numId w:val="2"/>
        </w:numPr>
        <w:spacing w:after="100"/>
      </w:pPr>
      <w:r>
        <w:rPr>
          <w:rFonts w:ascii="Georgia" w:cs="Georgia" w:eastAsia="Georgia" w:hAnsi="Georgia"/>
          <w:sz w:val="24"/>
          <w:szCs w:val="24"/>
        </w:rPr>
        <w:t xml:space="preserve">Written feedback correspondence documenting I-CK development</w:t>
      </w:r>
    </w:p>
    <w:p>
      <w:pPr>
        <w:pStyle w:val="ListParagraph"/>
        <w:numPr>
          <w:ilvl w:val="0"/>
          <w:numId w:val="2"/>
        </w:numPr>
        <w:spacing w:after="100"/>
      </w:pPr>
      <w:r>
        <w:rPr>
          <w:rFonts w:ascii="Georgia" w:cs="Georgia" w:eastAsia="Georgia" w:hAnsi="Georgia"/>
          <w:sz w:val="24"/>
          <w:szCs w:val="24"/>
        </w:rPr>
        <w:t xml:space="preserve">One VSR cycle with hinge point identification</w:t>
      </w:r>
    </w:p>
    <w:p>
      <w:pPr>
        <w:pStyle w:val="ListParagraph"/>
        <w:numPr>
          <w:ilvl w:val="0"/>
          <w:numId w:val="2"/>
        </w:numPr>
        <w:spacing w:after="100"/>
      </w:pPr>
      <w:r>
        <w:rPr>
          <w:rFonts w:ascii="Georgia" w:cs="Georgia" w:eastAsia="Georgia" w:hAnsi="Georgia"/>
          <w:sz w:val="24"/>
          <w:szCs w:val="24"/>
        </w:rPr>
        <w:t xml:space="preserve">AI Reflection and Disclosure Protocol enacted with students</w:t>
      </w:r>
    </w:p>
    <w:p>
      <w:pPr>
        <w:pStyle w:val="ListParagraph"/>
        <w:numPr>
          <w:ilvl w:val="0"/>
          <w:numId w:val="2"/>
        </w:numPr>
        <w:spacing w:after="100"/>
      </w:pPr>
      <w:r>
        <w:rPr>
          <w:rFonts w:ascii="Georgia" w:cs="Georgia" w:eastAsia="Georgia" w:hAnsi="Georgia"/>
          <w:sz w:val="24"/>
          <w:szCs w:val="24"/>
        </w:rPr>
        <w:t xml:space="preserve">Contributions to Cognitive Agency Knowledge Hub: two to four exemplars with documentation</w:t>
      </w:r>
    </w:p>
    <w:p>
      <w:pPr>
        <w:pStyle w:val="ListParagraph"/>
        <w:numPr>
          <w:ilvl w:val="0"/>
          <w:numId w:val="2"/>
        </w:numPr>
        <w:spacing w:after="100"/>
      </w:pPr>
      <w:r>
        <w:rPr>
          <w:rFonts w:ascii="Georgia" w:cs="Georgia" w:eastAsia="Georgia" w:hAnsi="Georgia"/>
          <w:sz w:val="24"/>
          <w:szCs w:val="24"/>
        </w:rPr>
        <w:t xml:space="preserve">June showcase presentation: 10 minutes</w:t>
      </w:r>
    </w:p>
    <w:p>
      <w:pPr>
        <w:pStyle w:val="Heading2"/>
        <w:keepNext/>
        <w:spacing w:after="120" w:before="280"/>
      </w:pPr>
      <w:r>
        <w:rPr>
          <w:rFonts w:ascii="Arial" w:cs="Arial" w:eastAsia="Arial" w:hAnsi="Arial"/>
          <w:b/>
          <w:bCs/>
          <w:color w:val="2E7D8C"/>
          <w:sz w:val="26"/>
          <w:szCs w:val="26"/>
        </w:rPr>
        <w:t xml:space="preserve">11.2  Fellowship Cohort Products</w:t>
      </w:r>
    </w:p>
    <w:p>
      <w:pPr>
        <w:pStyle w:val="ListParagraph"/>
        <w:numPr>
          <w:ilvl w:val="0"/>
          <w:numId w:val="2"/>
        </w:numPr>
        <w:spacing w:after="100"/>
      </w:pPr>
      <w:r>
        <w:rPr>
          <w:rFonts w:ascii="Georgia" w:cs="Georgia" w:eastAsia="Georgia" w:hAnsi="Georgia"/>
          <w:sz w:val="24"/>
          <w:szCs w:val="24"/>
        </w:rPr>
        <w:t xml:space="preserve">Assessment Audit Toolkit: VISTA Protocol (digital and paper), facilitation guide, discipline-specific examples (</w:t>
      </w:r>
      <w:r>
        <w:rPr>
          <w:rFonts w:ascii="Georgia" w:cs="Georgia" w:eastAsia="Georgia" w:hAnsi="Georgia"/>
          <w:b/>
          <w:bCs/>
          <w:sz w:val="24"/>
          <w:szCs w:val="24"/>
        </w:rPr>
        <w:t xml:space="preserve">Appendix A</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VISTA Paper Audit: printable, bilingual one-page audit instrument — identical to the digital tool, no browser or AI required. Ensures every teacher and student has a non-AI pathway generating equivalent evidence.</w:t>
      </w:r>
    </w:p>
    <w:p>
      <w:pPr>
        <w:pStyle w:val="ListParagraph"/>
        <w:numPr>
          <w:ilvl w:val="0"/>
          <w:numId w:val="2"/>
        </w:numPr>
        <w:spacing w:after="100"/>
      </w:pPr>
      <w:r>
        <w:rPr>
          <w:rFonts w:ascii="Georgia" w:cs="Georgia" w:eastAsia="Georgia" w:hAnsi="Georgia"/>
          <w:sz w:val="24"/>
          <w:szCs w:val="24"/>
        </w:rPr>
        <w:t xml:space="preserve">Visible Reasoning Protocol Suite: nine protocols (</w:t>
      </w:r>
      <w:r>
        <w:rPr>
          <w:rFonts w:ascii="Georgia" w:cs="Georgia" w:eastAsia="Georgia" w:hAnsi="Georgia"/>
          <w:b/>
          <w:bCs/>
          <w:sz w:val="24"/>
          <w:szCs w:val="24"/>
        </w:rPr>
        <w:t xml:space="preserve">Appendix B</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Cross-Disciplinary Rubric: five dimensions, four levels, developmental progressions (</w:t>
      </w:r>
      <w:r>
        <w:rPr>
          <w:rFonts w:ascii="Georgia" w:cs="Georgia" w:eastAsia="Georgia" w:hAnsi="Georgia"/>
          <w:b/>
          <w:bCs/>
          <w:sz w:val="24"/>
          <w:szCs w:val="24"/>
        </w:rPr>
        <w:t xml:space="preserve">Appendix C</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Triangulated Evidence Framework: validity argument structure (</w:t>
      </w:r>
      <w:r>
        <w:rPr>
          <w:rFonts w:ascii="Georgia" w:cs="Georgia" w:eastAsia="Georgia" w:hAnsi="Georgia"/>
          <w:b/>
          <w:bCs/>
          <w:sz w:val="24"/>
          <w:szCs w:val="24"/>
        </w:rPr>
        <w:t xml:space="preserve">Appendix D</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Reflection and Disclosure Protocol (</w:t>
      </w:r>
      <w:r>
        <w:rPr>
          <w:rFonts w:ascii="Georgia" w:cs="Georgia" w:eastAsia="Georgia" w:hAnsi="Georgia"/>
          <w:b/>
          <w:bCs/>
          <w:sz w:val="24"/>
          <w:szCs w:val="24"/>
        </w:rPr>
        <w:t xml:space="preserve">Appendix E</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Department Cognitive Agency PLC Protocol (</w:t>
      </w:r>
      <w:r>
        <w:rPr>
          <w:rFonts w:ascii="Georgia" w:cs="Georgia" w:eastAsia="Georgia" w:hAnsi="Georgia"/>
          <w:b/>
          <w:bCs/>
          <w:sz w:val="24"/>
          <w:szCs w:val="24"/>
        </w:rPr>
        <w:t xml:space="preserve">Appendix F</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Emerging shared language documentation (</w:t>
      </w:r>
      <w:r>
        <w:rPr>
          <w:rFonts w:ascii="Georgia" w:cs="Georgia" w:eastAsia="Georgia" w:hAnsi="Georgia"/>
          <w:b/>
          <w:bCs/>
          <w:sz w:val="24"/>
          <w:szCs w:val="24"/>
        </w:rPr>
        <w:t xml:space="preserve">Appendix G</w:t>
      </w:r>
      <w:r>
        <w:rPr>
          <w:rFonts w:ascii="Georgia" w:cs="Georgia" w:eastAsia="Georgia" w:hAnsi="Georgia"/>
          <w:sz w:val="24"/>
          <w:szCs w:val="24"/>
        </w:rPr>
        <w:t xml:space="preserve">)</w:t>
      </w:r>
    </w:p>
    <w:p>
      <w:pPr>
        <w:pStyle w:val="ListParagraph"/>
        <w:numPr>
          <w:ilvl w:val="0"/>
          <w:numId w:val="2"/>
        </w:numPr>
        <w:spacing w:after="100"/>
      </w:pPr>
      <w:r>
        <w:rPr>
          <w:rFonts w:ascii="Georgia" w:cs="Georgia" w:eastAsia="Georgia" w:hAnsi="Georgia"/>
          <w:sz w:val="24"/>
          <w:szCs w:val="24"/>
        </w:rPr>
        <w:t xml:space="preserve">AI Task Force Handoff Package (</w:t>
      </w:r>
      <w:r>
        <w:rPr>
          <w:rFonts w:ascii="Georgia" w:cs="Georgia" w:eastAsia="Georgia" w:hAnsi="Georgia"/>
          <w:b/>
          <w:bCs/>
          <w:sz w:val="24"/>
          <w:szCs w:val="24"/>
        </w:rPr>
        <w:t xml:space="preserve">Appendix 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11.3  Institutional Products</w:t>
      </w:r>
    </w:p>
    <w:p>
      <w:pPr>
        <w:pStyle w:val="ListParagraph"/>
        <w:numPr>
          <w:ilvl w:val="0"/>
          <w:numId w:val="2"/>
        </w:numPr>
        <w:spacing w:after="100"/>
      </w:pPr>
      <w:r>
        <w:rPr>
          <w:rFonts w:ascii="Georgia" w:cs="Georgia" w:eastAsia="Georgia" w:hAnsi="Georgia"/>
          <w:sz w:val="24"/>
          <w:szCs w:val="24"/>
        </w:rPr>
        <w:t xml:space="preserve">Cognitive Agency Knowledge Hub (NotebookLM): living repository — research library, annotated exemplars, audits, protocols, PLC archives</w:t>
      </w:r>
    </w:p>
    <w:p>
      <w:pPr>
        <w:pStyle w:val="ListParagraph"/>
        <w:numPr>
          <w:ilvl w:val="0"/>
          <w:numId w:val="2"/>
        </w:numPr>
        <w:spacing w:after="100"/>
      </w:pPr>
      <w:r>
        <w:rPr>
          <w:rFonts w:ascii="Georgia" w:cs="Georgia" w:eastAsia="Georgia" w:hAnsi="Georgia"/>
          <w:sz w:val="24"/>
          <w:szCs w:val="24"/>
        </w:rPr>
        <w:t xml:space="preserve">Curriculum Review Integration Question: single addition to existing departmental planning structures</w:t>
      </w:r>
    </w:p>
    <w:p>
      <w:pPr>
        <w:pStyle w:val="ListParagraph"/>
        <w:numPr>
          <w:ilvl w:val="0"/>
          <w:numId w:val="2"/>
        </w:numPr>
        <w:spacing w:after="100"/>
      </w:pPr>
      <w:r>
        <w:rPr>
          <w:rFonts w:ascii="Georgia" w:cs="Georgia" w:eastAsia="Georgia" w:hAnsi="Georgia"/>
          <w:sz w:val="24"/>
          <w:szCs w:val="24"/>
        </w:rPr>
        <w:t xml:space="preserve">Year 1 Research Report: AI-TPACK development, I-CK growth, student intellectual labour evidence quality, iteration analysis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12. Evaluation and Research Design</w:t>
      </w:r>
    </w:p>
    <w:p>
      <w:pPr>
        <w:pStyle w:val="Heading2"/>
        <w:keepNext/>
        <w:spacing w:after="120" w:before="280"/>
      </w:pPr>
      <w:r>
        <w:rPr>
          <w:rFonts w:ascii="Arial" w:cs="Arial" w:eastAsia="Arial" w:hAnsi="Arial"/>
          <w:b/>
          <w:bCs/>
          <w:color w:val="2E7D8C"/>
          <w:sz w:val="26"/>
          <w:szCs w:val="26"/>
        </w:rPr>
        <w:t xml:space="preserve">12.1  Primary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AF2F5"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Primary Research Question</w:t>
            </w:r>
          </w:p>
          <w:p>
            <w:pPr>
              <w:spacing w:after="0"/>
            </w:pPr>
            <w:r>
              <w:rPr>
                <w:rFonts w:ascii="Georgia" w:cs="Georgia" w:eastAsia="Georgia" w:hAnsi="Georgia"/>
                <w:sz w:val="24"/>
                <w:szCs w:val="24"/>
              </w:rPr>
              <w:t xml:space="preserve">What does it actually look like, in real classrooms with real teachers, when AI-TPACK develops through sustained disciplinary inquiry rather than through training?</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Sub-question: </w:t>
      </w:r>
      <w:r>
        <w:rPr>
          <w:rFonts w:ascii="Georgia" w:cs="Georgia" w:eastAsia="Georgia" w:hAnsi="Georgia"/>
          <w:sz w:val="24"/>
          <w:szCs w:val="24"/>
        </w:rPr>
        <w:t xml:space="preserve">Does the development of AI-TPACK through disciplinary inquiry change the quality of assessment design in ways that generate more interpretable evidence of student learning?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This sub-question allows the fellowship to use performance-based tools — specifically the Technology Integration Assessment Instrument (TIAI) — to score the “fit” of redesigned assessments before and after the iteration cycle. This produces defensible, triangulated evidence of Intended TPACK growth by comparing assessment design artifacts across iterations, directly addressing the know-do gap documented in classroom implementation research. Self-report surveys measure confidence (what teachers believe they know); the TIAI and artifact comparison measure competence (what teachers actually design and enact).</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Additional sub-questions:</w:t>
      </w:r>
    </w:p>
    <w:p>
      <w:pPr>
        <w:pStyle w:val="ListParagraph"/>
        <w:numPr>
          <w:ilvl w:val="0"/>
          <w:numId w:val="3"/>
        </w:numPr>
        <w:spacing w:after="100"/>
      </w:pPr>
      <w:r>
        <w:rPr>
          <w:rFonts w:ascii="Georgia" w:cs="Georgia" w:eastAsia="Georgia" w:hAnsi="Georgia"/>
          <w:sz w:val="24"/>
          <w:szCs w:val="24"/>
        </w:rPr>
        <w:t xml:space="preserve">How do iterative assessment redesigns with structured feedback develop AI-TPACK and I-CK across diverse professional perspectives (experienced, developing, and resistant teachers)?</w:t>
      </w:r>
    </w:p>
    <w:p>
      <w:pPr>
        <w:pStyle w:val="ListParagraph"/>
        <w:numPr>
          <w:ilvl w:val="0"/>
          <w:numId w:val="3"/>
        </w:numPr>
        <w:spacing w:after="100"/>
      </w:pPr>
      <w:r>
        <w:rPr>
          <w:rFonts w:ascii="Georgia" w:cs="Georgia" w:eastAsia="Georgia" w:hAnsi="Georgia"/>
          <w:sz w:val="24"/>
          <w:szCs w:val="24"/>
        </w:rPr>
        <w:t xml:space="preserve">How do visible reasoning protocols influence the quality and interpretability of student intellectual labour evidence across iterations?</w:t>
      </w:r>
    </w:p>
    <w:p>
      <w:pPr>
        <w:pStyle w:val="ListParagraph"/>
        <w:numPr>
          <w:ilvl w:val="0"/>
          <w:numId w:val="3"/>
        </w:numPr>
        <w:spacing w:after="100"/>
      </w:pPr>
      <w:r>
        <w:rPr>
          <w:rFonts w:ascii="Georgia" w:cs="Georgia" w:eastAsia="Georgia" w:hAnsi="Georgia"/>
          <w:sz w:val="24"/>
          <w:szCs w:val="24"/>
        </w:rPr>
        <w:t xml:space="preserve">What happens at the </w:t>
      </w:r>
      <w:r>
        <w:rPr>
          <w:rFonts w:ascii="Georgia" w:cs="Georgia" w:eastAsia="Georgia" w:hAnsi="Georgia"/>
          <w:b/>
          <w:bCs/>
          <w:sz w:val="24"/>
          <w:szCs w:val="24"/>
        </w:rPr>
        <w:t xml:space="preserve">transfer moment</w:t>
      </w:r>
      <w:r>
        <w:rPr>
          <w:rFonts w:ascii="Georgia" w:cs="Georgia" w:eastAsia="Georgia" w:hAnsi="Georgia"/>
          <w:sz w:val="24"/>
          <w:szCs w:val="24"/>
        </w:rPr>
        <w:t xml:space="preserve"> — when Year 1 teachers bring their AI-TPACK development back to their departments? What language transfers? What questions emerge? What resistance appears? This is the bridge from individual to Collective TPACK.</w:t>
      </w:r>
    </w:p>
    <w:p>
      <w:pPr>
        <w:pStyle w:val="ListParagraph"/>
        <w:numPr>
          <w:ilvl w:val="0"/>
          <w:numId w:val="3"/>
        </w:numPr>
        <w:spacing w:after="100"/>
      </w:pPr>
      <w:r>
        <w:rPr>
          <w:rFonts w:ascii="Georgia" w:cs="Georgia" w:eastAsia="Georgia" w:hAnsi="Georgia"/>
          <w:sz w:val="24"/>
          <w:szCs w:val="24"/>
        </w:rPr>
        <w:t xml:space="preserve">How do teachers describe shifts in I-CK and perceived behavioral control after sustained disciplinary inquiry?</w:t>
      </w:r>
    </w:p>
    <w:p>
      <w:pPr>
        <w:pStyle w:val="Heading2"/>
        <w:keepNext/>
        <w:spacing w:after="120" w:before="280"/>
      </w:pPr>
      <w:r>
        <w:rPr>
          <w:rFonts w:ascii="Arial" w:cs="Arial" w:eastAsia="Arial" w:hAnsi="Arial"/>
          <w:b/>
          <w:bCs/>
          <w:color w:val="2E7D8C"/>
          <w:sz w:val="26"/>
          <w:szCs w:val="26"/>
        </w:rPr>
        <w:t xml:space="preserve">12.2  Research Design Matrix</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60"/>
        <w:gridCol w:w="180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Research Question</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Data Source</w:t>
            </w:r>
          </w:p>
        </w:tc>
        <w:tc>
          <w:tcPr>
            <w:tcW w:type="dxa" w:w="216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Collection Method</w:t>
            </w:r>
          </w:p>
        </w:tc>
        <w:tc>
          <w:tcPr>
            <w:tcW w:type="dxa" w:w="1800"/>
            <w:tcBorders>
              <w:top w:val="single" w:color="C5DCE4" w:sz="4"/>
              <w:left w:val="single" w:color="C5DCE4" w:sz="4"/>
              <w:bottom w:val="single" w:color="C5DCE4" w:sz="4"/>
              <w:right w:val="single" w:color="C5DCE4" w:sz="4"/>
            </w:tcBorders>
            <w:shd w:fill="1B3A5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Analysis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Primary: How can teachers design assessments that generate interpretable evidence of learning while preserving student cognitive agency in AI-rich classrooms?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 student artifacts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Assessment audits; artifact collection; reflections</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analysis; TPACK mapping</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SQ1: How do iterative redesigns with structured feedback develop AI-TPACK and HAIC-K?</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Audit artifacts; feedback logs; reflections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Iteration comparison; knowledge layer mapping</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bCs/>
                <w:sz w:val="22"/>
                <w:szCs w:val="22"/>
              </w:rPr>
              <w:t xml:space="preserve">SQ2: How do visible reasoning protocols influence the quality of student intellectual labour evidence?</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Student artifacts; rubric scores</w:t>
            </w:r>
          </w:p>
        </w:tc>
        <w:tc>
          <w:tcPr>
            <w:tcW w:type="dxa" w:w="216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Artifact collection per iteration; rubric annotation</w:t>
            </w:r>
          </w:p>
        </w:tc>
        <w:tc>
          <w:tcPr>
            <w:tcW w:type="dxa" w:w="1800"/>
            <w:tcBorders>
              <w:top w:val="single" w:color="C5DCE4" w:sz="4"/>
              <w:left w:val="single" w:color="C5DCE4" w:sz="4"/>
              <w:bottom w:val="single" w:color="C5DCE4" w:sz="4"/>
              <w:right w:val="single" w:color="C5DCE4" w:sz="4"/>
            </w:tcBorders>
            <w:shd w:fill="EAF2F5"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Cross-iteration artifact analysis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bCs/>
                <w:sz w:val="22"/>
                <w:szCs w:val="22"/>
              </w:rPr>
              <w:t xml:space="preserve">SQ3: How do teachers describe shifts in I-CK after sustained PLC and audit engagement?</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Teacher interviews; PLC transcripts</w:t>
            </w:r>
          </w:p>
        </w:tc>
        <w:tc>
          <w:tcPr>
            <w:tcW w:type="dxa" w:w="216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Semi-structured interviews; observation notes</w:t>
            </w:r>
          </w:p>
        </w:tc>
        <w:tc>
          <w:tcPr>
            <w:tcW w:type="dxa" w:w="1800"/>
            <w:tcBorders>
              <w:top w:val="single" w:color="C5DCE4" w:sz="4"/>
              <w:left w:val="single" w:color="C5DCE4" w:sz="4"/>
              <w:bottom w:val="single" w:color="C5DCE4" w:sz="4"/>
              <w:right w:val="single" w:color="C5DCE4" w:sz="4"/>
            </w:tcBorders>
            <w:shd w:fill="FFFFFF" w:val="clear"/>
            <w:tcMar>
              <w:top w:type="dxa" w:w="80"/>
              <w:left w:type="dxa" w:w="100"/>
              <w:bottom w:type="dxa" w:w="80"/>
              <w:right w:type="dxa" w:w="100"/>
            </w:tcMar>
          </w:tcPr>
          <w:p>
            <w:pPr>
              <w:spacing w:after="0"/>
            </w:pPr>
            <w:r>
              <w:rPr>
                <w:rFonts w:ascii="Georgia" w:cs="Georgia" w:eastAsia="Georgia" w:hAnsi="Georgia"/>
                <w:b w:val="false"/>
                <w:bCs w:val="false"/>
                <w:sz w:val="22"/>
                <w:szCs w:val="22"/>
              </w:rPr>
              <w:t xml:space="preserve">Narrative analysis; I-CK documentation</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12.3  Validity Strategy — Triangulated Evidence</w:t>
      </w:r>
    </w:p>
    <w:p>
      <w:pPr>
        <w:keepLines/>
        <w:spacing w:after="160" w:line="280"/>
      </w:pPr>
      <w:r>
        <w:rPr>
          <w:rFonts w:ascii="Georgia" w:cs="Georgia" w:eastAsia="Georgia" w:hAnsi="Georgia"/>
          <w:sz w:val="24"/>
          <w:szCs w:val="24"/>
        </w:rPr>
        <w:t xml:space="preserve">The fellowship adopts a </w:t>
      </w:r>
      <w:r>
        <w:rPr>
          <w:rFonts w:ascii="Georgia" w:cs="Georgia" w:eastAsia="Georgia" w:hAnsi="Georgia"/>
          <w:b/>
          <w:bCs/>
          <w:sz w:val="24"/>
          <w:szCs w:val="24"/>
        </w:rPr>
        <w:t xml:space="preserve">validity argument approach</w:t>
      </w:r>
      <w:r>
        <w:rPr>
          <w:rFonts w:ascii="Georgia" w:cs="Georgia" w:eastAsia="Georgia" w:hAnsi="Georgia"/>
          <w:sz w:val="24"/>
          <w:szCs w:val="24"/>
        </w:rPr>
        <w:t xml:space="preserve"> (Messick, 1989; Kane, 2006). No single artifact is assumed to reveal learning, agency, judgment, or disciplinary understanding in isolation. Claims are supported through the convergence of multiple evidence sources. The strength of any interpretation increases when evidence converges — and no claim is made beyond what convergence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Source</w:t>
            </w:r>
          </w:p>
        </w:tc>
        <w:tc>
          <w:tcPr>
            <w:tcW w:type="dxa" w:w="57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Reveals</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1 — Assessment Design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What opportunities for agency existed? (Intended TPACK)</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2 — Student Artifact</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decisions, creations, or reasoning were visible?</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3 — Interaction Trace</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thinking evolve? Prompt logs, revision histories, making traces.</w:t>
            </w:r>
          </w:p>
        </w:tc>
      </w:tr>
      <w:tr>
        <w:trPr>
          <w:cantSplit/>
        </w:trPr>
        <w:tc>
          <w:tcPr>
            <w:tcW w:type="dxa" w:w="36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4 — Teacher Observation / VSR</w:t>
            </w:r>
          </w:p>
        </w:tc>
        <w:tc>
          <w:tcPr>
            <w:tcW w:type="dxa" w:w="57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What was noticed during enactment? Hinge points, instructional regression.</w:t>
            </w:r>
          </w:p>
        </w:tc>
      </w:tr>
      <w:tr>
        <w:trPr>
          <w:cantSplit/>
        </w:trPr>
        <w:tc>
          <w:tcPr>
            <w:tcW w:type="dxa" w:w="36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Evidence Source 5 — Student Reflection</w:t>
            </w:r>
          </w:p>
        </w:tc>
        <w:tc>
          <w:tcPr>
            <w:tcW w:type="dxa" w:w="57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How did the learner interpret their own thinking? Disclosure protocol.</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TPACK triangulation: </w:t>
      </w:r>
      <w:r>
        <w:rPr>
          <w:rFonts w:ascii="Georgia" w:cs="Georgia" w:eastAsia="Georgia" w:hAnsi="Georgia"/>
          <w:b/>
          <w:bCs/>
          <w:sz w:val="24"/>
          <w:szCs w:val="24"/>
        </w:rPr>
        <w:t xml:space="preserve">Intended</w:t>
      </w:r>
      <w:r>
        <w:rPr>
          <w:rFonts w:ascii="Georgia" w:cs="Georgia" w:eastAsia="Georgia" w:hAnsi="Georgia"/>
          <w:sz w:val="24"/>
          <w:szCs w:val="24"/>
        </w:rPr>
        <w:t xml:space="preserve"> (audit documentation), </w:t>
      </w:r>
      <w:r>
        <w:rPr>
          <w:rFonts w:ascii="Georgia" w:cs="Georgia" w:eastAsia="Georgia" w:hAnsi="Georgia"/>
          <w:b/>
          <w:bCs/>
          <w:sz w:val="24"/>
          <w:szCs w:val="24"/>
        </w:rPr>
        <w:t xml:space="preserve">Enacted</w:t>
      </w:r>
      <w:r>
        <w:rPr>
          <w:rFonts w:ascii="Georgia" w:cs="Georgia" w:eastAsia="Georgia" w:hAnsi="Georgia"/>
          <w:sz w:val="24"/>
          <w:szCs w:val="24"/>
        </w:rPr>
        <w:t xml:space="preserve"> (VSR; PLC notes; artifacts), </w:t>
      </w:r>
      <w:r>
        <w:rPr>
          <w:rFonts w:ascii="Georgia" w:cs="Georgia" w:eastAsia="Georgia" w:hAnsi="Georgia"/>
          <w:b/>
          <w:bCs/>
          <w:sz w:val="24"/>
          <w:szCs w:val="24"/>
        </w:rPr>
        <w:t xml:space="preserve">Reflected</w:t>
      </w:r>
      <w:r>
        <w:rPr>
          <w:rFonts w:ascii="Georgia" w:cs="Georgia" w:eastAsia="Georgia" w:hAnsi="Georgia"/>
          <w:sz w:val="24"/>
          <w:szCs w:val="24"/>
        </w:rPr>
        <w:t xml:space="preserve"> (post-interviews; showcase presentations).</w:t>
      </w:r>
    </w:p>
    <w:p>
      <w:pPr>
        <w:pStyle w:val="Heading2"/>
        <w:keepNext/>
        <w:spacing w:after="120" w:before="280"/>
      </w:pPr>
      <w:r>
        <w:rPr>
          <w:rFonts w:ascii="Arial" w:cs="Arial" w:eastAsia="Arial" w:hAnsi="Arial"/>
          <w:b/>
          <w:bCs/>
          <w:color w:val="2E7D8C"/>
          <w:sz w:val="26"/>
          <w:szCs w:val="26"/>
        </w:rPr>
        <w:t xml:space="preserve">12.4  Scope of Year 1</w:t>
      </w:r>
    </w:p>
    <w:p>
      <w:pPr>
        <w:keepLines/>
        <w:spacing w:after="160" w:line="280"/>
      </w:pPr>
      <w:r>
        <w:rPr>
          <w:rFonts w:ascii="Georgia" w:cs="Georgia" w:eastAsia="Georgia" w:hAnsi="Georgia"/>
          <w:sz w:val="24"/>
          <w:szCs w:val="24"/>
        </w:rPr>
        <w:t xml:space="preserve">Year 1 is designed to test feasibility, refine tools, establish exemplars, and build faculty capacity. The fellowship does not seek to establish causal claims regarding student achievement, retention, or transfer. Claims are limited to teacher AI-TPACK and HAIC-K development, assessment design quality across iterations, indicators of student epistemic vigilance and cognitive agency, and quality of student intellectual labour evidence. Future implementation cycles may investigate downstream learning outcomes.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13. Sustainability and Institutional Rollout</w:t>
      </w:r>
    </w:p>
    <w:p>
      <w:pPr>
        <w:pStyle w:val="Heading2"/>
        <w:keepNext/>
        <w:spacing w:after="120" w:before="280"/>
      </w:pPr>
      <w:r>
        <w:rPr>
          <w:rFonts w:ascii="Arial" w:cs="Arial" w:eastAsia="Arial" w:hAnsi="Arial"/>
          <w:b/>
          <w:bCs/>
          <w:color w:val="2E7D8C"/>
          <w:sz w:val="26"/>
          <w:szCs w:val="26"/>
        </w:rPr>
        <w:t xml:space="preserve">13.1  The Long-Term Vision</w:t>
      </w:r>
    </w:p>
    <w:p>
      <w:pPr>
        <w:keepLines/>
        <w:spacing w:after="160" w:line="280"/>
      </w:pPr>
      <w:r>
        <w:rPr>
          <w:rFonts w:ascii="Georgia" w:cs="Georgia" w:eastAsia="Georgia" w:hAnsi="Georgia"/>
          <w:sz w:val="24"/>
          <w:szCs w:val="24"/>
        </w:rPr>
        <w:t xml:space="preserve">This fellowship is not ultimately about AI. AI is the pressure exposing a broader assessment challenge. The lasting contribution is a framework for designing assessments that generate interpretable evidence of learning — grounded in </w:t>
      </w:r>
      <w:r>
        <w:rPr>
          <w:rFonts w:ascii="Georgia" w:cs="Georgia" w:eastAsia="Georgia" w:hAnsi="Georgia"/>
          <w:b/>
          <w:bCs/>
          <w:sz w:val="24"/>
          <w:szCs w:val="24"/>
        </w:rPr>
        <w:t xml:space="preserve">disciplinary thinking, departmental knowledge, and shared professional routines</w:t>
      </w:r>
      <w:r>
        <w:rPr>
          <w:rFonts w:ascii="Georgia" w:cs="Georgia" w:eastAsia="Georgia" w:hAnsi="Georgia"/>
          <w:sz w:val="24"/>
          <w:szCs w:val="24"/>
        </w:rPr>
        <w:t xml:space="preserve"> rather than in specific platforms.</w:t>
      </w:r>
    </w:p>
    <w:p>
      <w:pPr>
        <w:keepLines/>
        <w:spacing w:after="160" w:line="280"/>
      </w:pPr>
      <w:r>
        <w:rPr>
          <w:rFonts w:ascii="Georgia" w:cs="Georgia" w:eastAsia="Georgia" w:hAnsi="Georgia"/>
          <w:sz w:val="24"/>
          <w:szCs w:val="24"/>
        </w:rPr>
        <w:t xml:space="preserve">Long-term sustainability does not depend on AI expertise becoming widely distributed across the faculty. It depends on departments developing shared content knowledge (CK), pedagogical knowledge (PK), and pedagogical content knowledge (PCK) around assessment, evidence, and learning — professional knowledge structures that already exist within departments and just need the AI-specific dimensions added. The fellowship focuses precisely on those intersections. This is what makes it an </w:t>
      </w:r>
      <w:r>
        <w:rPr>
          <w:rFonts w:ascii="Georgia" w:cs="Georgia" w:eastAsia="Georgia" w:hAnsi="Georgia"/>
          <w:i/>
          <w:iCs/>
          <w:sz w:val="24"/>
          <w:szCs w:val="24"/>
        </w:rPr>
        <w:t xml:space="preserve">instructional improvement initiative that happens to address AI</w:t>
      </w:r>
      <w:r>
        <w:rPr>
          <w:rFonts w:ascii="Georgia" w:cs="Georgia" w:eastAsia="Georgia" w:hAnsi="Georgia"/>
          <w:sz w:val="24"/>
          <w:szCs w:val="24"/>
        </w:rPr>
        <w:t xml:space="preserve">, rather than an AI initiative that happens to touch instruction.</w:t>
      </w:r>
    </w:p>
    <w:p>
      <w:pPr>
        <w:keepLines/>
        <w:spacing w:after="160" w:line="280"/>
      </w:pPr>
      <w:r>
        <w:rPr>
          <w:rFonts w:ascii="Georgia" w:cs="Georgia" w:eastAsia="Georgia" w:hAnsi="Georgia"/>
          <w:sz w:val="24"/>
          <w:szCs w:val="24"/>
        </w:rPr>
        <w:t xml:space="preserve">Over time, the framework should feel less like an AI initiative and more like a curriculum and assessment initiative catalyzed by AI. When departments own the VISTA Protocol as a curriculum review tool, the fellowship’s work lives in institutional structures rather than in individual enthusiasm.</w:t>
      </w:r>
    </w:p>
    <w:p>
      <w:pPr>
        <w:keepLines/>
        <w:spacing w:after="160" w:line="280"/>
      </w:pPr>
      <w:r>
        <w:rPr>
          <w:rFonts w:ascii="Georgia" w:cs="Georgia" w:eastAsia="Georgia" w:hAnsi="Georgia"/>
          <w:sz w:val="24"/>
          <w:szCs w:val="24"/>
        </w:rPr>
        <w:t xml:space="preserve">The Cognitive Agency Knowledge Hub charts a parallel trajectory: from shared workspace to institutional memory to queryable institutional chatbot. By Year 4 and beyond, any CNG teacher can ask the Hub what the evidence says about assessment design in their discipline in an AI-rich classroom — and receive a grounded, sourced, contextually aware response built from CNG’s own accumulated professional learning. That is what a learning organization looks like.</w:t>
      </w:r>
    </w:p>
    <w:p>
      <w:pPr>
        <w:pStyle w:val="Heading2"/>
        <w:keepNext/>
        <w:spacing w:after="120" w:before="280"/>
      </w:pPr>
      <w:r>
        <w:rPr>
          <w:rFonts w:ascii="Arial" w:cs="Arial" w:eastAsia="Arial" w:hAnsi="Arial"/>
          <w:b/>
          <w:bCs/>
          <w:color w:val="2E7D8C"/>
          <w:sz w:val="26"/>
          <w:szCs w:val="26"/>
        </w:rPr>
        <w:t xml:space="preserve">13.2  Year 2 Architecture: From Individual to Collective TPACK</w:t>
      </w:r>
    </w:p>
    <w:p>
      <w:pPr>
        <w:keepLines/>
        <w:spacing w:after="160" w:line="280"/>
      </w:pPr>
      <w:r>
        <w:rPr>
          <w:rFonts w:ascii="Georgia" w:cs="Georgia" w:eastAsia="Georgia" w:hAnsi="Georgia"/>
          <w:sz w:val="24"/>
          <w:szCs w:val="24"/>
        </w:rPr>
        <w:t xml:space="preserve">Year 2 is not a replication of Year 1. It is a structural expansion in which Year 1 participants transition from learners to leaders, and the AI Task Force assumes shared facilitation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Year 2 Component</w:t>
            </w:r>
          </w:p>
        </w:tc>
        <w:tc>
          <w:tcPr>
            <w:tcW w:type="dxa" w:w="616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It Accomplishes</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Year 1 Teachers as Mentors</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Year 1 participants are invited to serve as peer mentors for Year 2 cohort members in their discipline. Their role is to share their iteration arc — what they tried, what surprised them, what their student reasoning artifacts revealed. This is the most credible professional learning source: a colleague who did the work, at the same school, with the same students.</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AI Task Force as Co-Facilitators</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2 brings Task Force members into the facilitation structure. Task Force members who completed Year 1 can co-lead PLC sessions, provide feedback on VISTA audits in their departments, and design the curriculum review integration that makes the protocol a standing institutional practice.</w:t>
            </w:r>
          </w:p>
        </w:tc>
      </w:tr>
      <w:tr>
        <w:trPr>
          <w:cantSplit/>
        </w:trPr>
        <w:tc>
          <w:tcPr>
            <w:tcW w:type="dxa" w:w="320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Distributed Leadership</w:t>
            </w:r>
          </w:p>
        </w:tc>
        <w:tc>
          <w:tcPr>
            <w:tcW w:type="dxa" w:w="616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Facilitation in Year 2 is distributed: Cajina (VISTA instrument and research documentation), Year 1 teacher mentors (disciplinary peer support), Task Force members (institutional coordination). No single person holds the entire model. This is the sustainability condition.</w:t>
            </w:r>
          </w:p>
        </w:tc>
      </w:tr>
      <w:tr>
        <w:trPr>
          <w:cantSplit/>
        </w:trPr>
        <w:tc>
          <w:tcPr>
            <w:tcW w:type="dxa" w:w="320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Knowledge Hub as Shared Resource</w:t>
            </w:r>
          </w:p>
        </w:tc>
        <w:tc>
          <w:tcPr>
            <w:tcW w:type="dxa" w:w="616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Year 1’s Knowledge Hub — populated with VISTA artifacts, student reasoning exemplars, and VSR reflection notes — becomes the foundational resource for Year 2 participants. Each cohort adds to it.</w:t>
            </w:r>
          </w:p>
        </w:tc>
      </w:tr>
    </w:tbl>
    <w:p>
      <w:pPr>
        <w:keepNext/>
        <w:spacing w:after="8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Why This Is a Stronger Sustainability Model</w:t>
            </w:r>
          </w:p>
          <w:p>
            <w:pPr>
              <w:spacing w:after="0"/>
            </w:pPr>
            <w:r>
              <w:rPr>
                <w:rFonts w:ascii="Georgia" w:cs="Georgia" w:eastAsia="Georgia" w:hAnsi="Georgia"/>
                <w:sz w:val="24"/>
                <w:szCs w:val="24"/>
              </w:rPr>
              <w:t xml:space="preserve">When Year 1 teachers become Year 2 mentors, the fellowship knowledge is no longer held by one facilitator. When the Task Force co-facilitates, the model is institutionally owned. When the Hub accumulates cross-disciplinary evidence, the question ‘does this work?’ has documented, school-specific answers.</w:t>
            </w:r>
          </w:p>
        </w:tc>
      </w:tr>
    </w:tbl>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13.3  Scaling Model</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cantSplit/>
        </w:trPr>
        <w:tc>
          <w:tcPr>
            <w:tcW w:type="dxa" w:w="12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Year</w:t>
            </w:r>
          </w:p>
        </w:tc>
        <w:tc>
          <w:tcPr>
            <w:tcW w:type="dxa" w:w="20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Phase</w:t>
            </w:r>
          </w:p>
        </w:tc>
        <w:tc>
          <w:tcPr>
            <w:tcW w:type="dxa" w:w="240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Locus</w:t>
            </w:r>
          </w:p>
        </w:tc>
        <w:tc>
          <w:tcPr>
            <w:tcW w:type="dxa" w:w="3760"/>
            <w:tcBorders>
              <w:top w:val="single" w:color="C5DCE4" w:sz="4"/>
              <w:left w:val="single" w:color="C5DCE4" w:sz="4"/>
              <w:bottom w:val="single" w:color="C5DCE4" w:sz="4"/>
              <w:right w:val="single" w:color="C5DCE4"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Focus</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1</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Pilot Cohort</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High School — 5 teachers</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Feasibility, tool refinement, exemplar generation, capacity building. Cajina leads facilitation and feedback. AI Task Force observes and co-develops handoff materials.</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2</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Expanded Pilot</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All divisions — AI Task Force facilitates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Expanded implementation across additional departments. AI Task Force assumes facilitation role. Knowledge Hub grows. Department PLC protocols introduced.</w:t>
            </w:r>
          </w:p>
        </w:tc>
      </w:tr>
      <w:tr>
        <w:trPr>
          <w:cantSplit/>
        </w:trPr>
        <w:tc>
          <w:tcPr>
            <w:tcW w:type="dxa" w:w="12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3</w:t>
            </w:r>
          </w:p>
        </w:tc>
        <w:tc>
          <w:tcPr>
            <w:tcW w:type="dxa" w:w="20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bCs/>
                <w:sz w:val="22"/>
                <w:szCs w:val="22"/>
              </w:rPr>
              <w:t xml:space="preserve">LC, Makerspace &amp; Support Faculty</w:t>
            </w:r>
          </w:p>
        </w:tc>
        <w:tc>
          <w:tcPr>
            <w:tcW w:type="dxa" w:w="240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Learning Center + Makerspace + support faculty</w:t>
            </w:r>
          </w:p>
        </w:tc>
        <w:tc>
          <w:tcPr>
            <w:tcW w:type="dxa" w:w="3760"/>
            <w:tcBorders>
              <w:top w:val="single" w:color="C5DCE4" w:sz="4"/>
              <w:left w:val="single" w:color="C5DCE4" w:sz="4"/>
              <w:bottom w:val="single" w:color="C5DCE4" w:sz="4"/>
              <w:right w:val="single" w:color="C5DCE4" w:sz="4"/>
            </w:tcBorders>
            <w:shd w:fill="EAF2F5"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UDL adaptation, multimodal evidence pathways, accessibility-first design, intervention support. Specialist-led with AI Task Force support.</w:t>
            </w:r>
          </w:p>
        </w:tc>
      </w:tr>
      <w:tr>
        <w:trPr>
          <w:cantSplit/>
        </w:trPr>
        <w:tc>
          <w:tcPr>
            <w:tcW w:type="dxa" w:w="12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Year 4</w:t>
            </w:r>
          </w:p>
        </w:tc>
        <w:tc>
          <w:tcPr>
            <w:tcW w:type="dxa" w:w="20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bCs/>
                <w:sz w:val="22"/>
                <w:szCs w:val="22"/>
              </w:rPr>
              <w:t xml:space="preserve">Institutional Integration</w:t>
            </w:r>
          </w:p>
        </w:tc>
        <w:tc>
          <w:tcPr>
            <w:tcW w:type="dxa" w:w="240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Department PLCs — AI Task Force stewards</w:t>
            </w:r>
          </w:p>
        </w:tc>
        <w:tc>
          <w:tcPr>
            <w:tcW w:type="dxa" w:w="3760"/>
            <w:tcBorders>
              <w:top w:val="single" w:color="C5DCE4" w:sz="4"/>
              <w:left w:val="single" w:color="C5DCE4" w:sz="4"/>
              <w:bottom w:val="single" w:color="C5DCE4" w:sz="4"/>
              <w:right w:val="single" w:color="C5DCE4" w:sz="4"/>
            </w:tcBorders>
            <w:shd w:fill="FFFFFF" w:val="clear"/>
            <w:tcMar>
              <w:top w:type="dxa" w:w="100"/>
              <w:left w:type="dxa" w:w="120"/>
              <w:bottom w:type="dxa" w:w="100"/>
              <w:right w:type="dxa" w:w="120"/>
            </w:tcMar>
          </w:tcPr>
          <w:p>
            <w:pPr>
              <w:spacing w:after="0"/>
            </w:pPr>
            <w:r>
              <w:rPr>
                <w:rFonts w:ascii="Georgia" w:cs="Georgia" w:eastAsia="Georgia" w:hAnsi="Georgia"/>
                <w:b w:val="false"/>
                <w:bCs w:val="false"/>
                <w:sz w:val="22"/>
                <w:szCs w:val="22"/>
              </w:rPr>
              <w:t xml:space="preserve">Assessment audit routines embedded in departmental curriculum review. Knowledge Hub becomes institutional infrastructure. AI Task Force transitions to steward.</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13.4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Concern</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Response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more work</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fellowship redesigns existing assessments. One question takes thirty seconds. The PLC Protocol takes thirty minutes. Total async commitment: ~4–5 hours across eleven months.</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is AI professional development</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This is about learning, assessment validity, and student intellectual labour. AI is the context. By Year 4, this is a curriculum and assessment initiative.</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This doesn’t fit my discipline</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The emerging shared language table shows discipline-specific connections. The protocol suite spans verbal, written, visual, computational, embodied, and artistic evidence.</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SAIL already covers this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SAIL provides policy architecture. This fellowship provides the AI-TPACK, Ethical TPACK, XK, and HAIC-K mechanism that makes SAIL a pedagogical decision, not a label.</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Departments won’t sustain it</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Sustainable change depends on routines in existing structures, not individual champions (Fullan, 2016; DuFour &amp; Eaker, 1998). The PLC Protocol and Curriculum Review Integration Question are designed for exactly this.</w:t>
            </w:r>
          </w:p>
        </w:tc>
      </w:tr>
    </w:tbl>
    <w:p>
      <w:pPr>
        <w:keepNext/>
        <w:spacing w:after="200"/>
      </w:pPr>
      <w:r>
        <w:rPr>
          <w:rFonts w:ascii="Georgia" w:cs="Georgia" w:eastAsia="Georgia" w:hAnsi="Georgia"/>
          <w:sz w:val="24"/>
          <w:szCs w:val="24"/>
        </w:rPr>
        <w:t xml:space="preserve"/>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14. Direct Alignment with CNG School Priorities</w:t>
      </w:r>
    </w:p>
    <w:p>
      <w:pPr>
        <w:pStyle w:val="Heading2"/>
        <w:keepNext/>
        <w:spacing w:after="120" w:before="280"/>
      </w:pPr>
      <w:r>
        <w:rPr>
          <w:rFonts w:ascii="Arial" w:cs="Arial" w:eastAsia="Arial" w:hAnsi="Arial"/>
          <w:b/>
          <w:bCs/>
          <w:color w:val="2E7D8C"/>
          <w:sz w:val="26"/>
          <w:szCs w:val="26"/>
        </w:rPr>
        <w:t xml:space="preserve">14.1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“Educating the mind, strengthening the body, and developing character for LEADERSHIP AND SERVICE in the world of today for a better tomorrow.”</w:t>
            </w:r>
          </w:p>
          <w:p>
            <w:pPr>
              <w:spacing w:after="0"/>
            </w:pPr>
            <w:r>
              <w:rPr>
                <w:rFonts w:ascii="Georgia" w:cs="Georgia" w:eastAsia="Georgia" w:hAnsi="Georgia"/>
                <w:b/>
                <w:bCs/>
                <w:color w:val="2E7D8C"/>
                <w:sz w:val="22"/>
                <w:szCs w:val="22"/>
              </w:rPr>
              <w:t xml:space="preserve">— CNG Vision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philosophy that grounds this vision states: </w:t>
      </w:r>
      <w:r>
        <w:rPr>
          <w:rFonts w:ascii="Georgia" w:cs="Georgia" w:eastAsia="Georgia" w:hAnsi="Georgia"/>
          <w:i/>
          <w:i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operationalizes this precisely: values are not taught through a policy document but through teachers modeling disciplinary judgment, intellectual honesty, and epistemic care in their own practice.</w:t>
      </w:r>
    </w:p>
    <w:p>
      <w:pPr>
        <w:keepLines/>
        <w:spacing w:after="160" w:line="280"/>
      </w:pPr>
      <w:r>
        <w:rPr>
          <w:rFonts w:ascii="Georgia" w:cs="Georgia" w:eastAsia="Georgia" w:hAnsi="Georgia"/>
          <w:sz w:val="24"/>
          <w:szCs w:val="24"/>
        </w:rPr>
        <w:t xml:space="preserve">The fellowship addresses all three dimensions of the Vision. </w:t>
      </w:r>
      <w:r>
        <w:rPr>
          <w:rFonts w:ascii="Georgia" w:cs="Georgia" w:eastAsia="Georgia" w:hAnsi="Georgia"/>
          <w:b/>
          <w:bCs/>
          <w:sz w:val="24"/>
          <w:szCs w:val="24"/>
        </w:rPr>
        <w:t xml:space="preserve">Educating the mind</w:t>
      </w:r>
      <w:r>
        <w:rPr>
          <w:rFonts w:ascii="Georgia" w:cs="Georgia" w:eastAsia="Georgia" w:hAnsi="Georgia"/>
          <w:sz w:val="24"/>
          <w:szCs w:val="24"/>
        </w:rPr>
        <w:t xml:space="preserve">: visible reasoning protocols develop the metacognitive habits that define a well-educated mind. </w:t>
      </w:r>
      <w:r>
        <w:rPr>
          <w:rFonts w:ascii="Georgia" w:cs="Georgia" w:eastAsia="Georgia" w:hAnsi="Georgia"/>
          <w:b/>
          <w:bCs/>
          <w:sz w:val="24"/>
          <w:szCs w:val="24"/>
        </w:rPr>
        <w:t xml:space="preserve">Developing character</w:t>
      </w:r>
      <w:r>
        <w:rPr>
          <w:rFonts w:ascii="Georgia" w:cs="Georgia" w:eastAsia="Georgia" w:hAnsi="Georgia"/>
          <w:sz w:val="24"/>
          <w:szCs w:val="24"/>
        </w:rPr>
        <w:t xml:space="preserve">: the Disclosure Protocol builds intellectual honesty as practice. </w:t>
      </w:r>
      <w:r>
        <w:rPr>
          <w:rFonts w:ascii="Georgia" w:cs="Georgia" w:eastAsia="Georgia" w:hAnsi="Georgia"/>
          <w:b/>
          <w:bCs/>
          <w:sz w:val="24"/>
          <w:szCs w:val="24"/>
        </w:rPr>
        <w:t xml:space="preserve">Leadership and service</w:t>
      </w:r>
      <w:r>
        <w:rPr>
          <w:rFonts w:ascii="Georgia" w:cs="Georgia" w:eastAsia="Georgia" w:hAnsi="Georgia"/>
          <w:sz w:val="24"/>
          <w:szCs w:val="24"/>
        </w:rPr>
        <w:t xml:space="preserve">: Guerrero-Dib et al. (2020, 2023) demonstrate that ethical habits formed in school predict ethical behavior in professional and civic contexts. Students who develop Human Agency and Judgment at CNG carry that capacity into positions of influence worldwide.</w:t>
      </w:r>
    </w:p>
    <w:p>
      <w:pPr>
        <w:pStyle w:val="Heading2"/>
        <w:keepNext/>
        <w:spacing w:after="120" w:before="280"/>
      </w:pPr>
      <w:r>
        <w:rPr>
          <w:rFonts w:ascii="Arial" w:cs="Arial" w:eastAsia="Arial" w:hAnsi="Arial"/>
          <w:b/>
          <w:bCs/>
          <w:color w:val="2E7D8C"/>
          <w:sz w:val="26"/>
          <w:szCs w:val="26"/>
        </w:rPr>
        <w:t xml:space="preserve">14.2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“CNG is a learning community committed to serving a diverse student population and preparing responsible global citizens through an accredited United States/Colombian college-preparatory program focused on motivating students to achieve their fullest individual potential for excellence.”</w:t>
            </w:r>
          </w:p>
          <w:p>
            <w:pPr>
              <w:spacing w:after="0"/>
            </w:pPr>
            <w:r>
              <w:rPr>
                <w:rFonts w:ascii="Georgia" w:cs="Georgia" w:eastAsia="Georgia" w:hAnsi="Georgia"/>
                <w:b/>
                <w:bCs/>
                <w:color w:val="2E7D8C"/>
                <w:sz w:val="22"/>
                <w:szCs w:val="22"/>
              </w:rPr>
              <w:t xml:space="preserve">— CNG Mission Statement</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Diverse student population</w:t>
      </w:r>
      <w:r>
        <w:rPr>
          <w:rFonts w:ascii="Georgia" w:cs="Georgia" w:eastAsia="Georgia" w:hAnsi="Georgia"/>
          <w:sz w:val="24"/>
          <w:szCs w:val="24"/>
        </w:rPr>
        <w:t xml:space="preserve">: the multimodal evidence framework — accepting verbal, written, visual, computational, embodied, and artistic reasoning — ensures students from 51 nationalities and 87% non-native English speakers can demonstrate intellectual labour authentically. CNG’s philosophy explicitly values this diversity as an educational asset, not merely a demographic fact.</w:t>
      </w:r>
    </w:p>
    <w:p>
      <w:pPr>
        <w:keepLines/>
        <w:spacing w:after="160" w:line="280"/>
      </w:pPr>
      <w:r>
        <w:rPr>
          <w:rFonts w:ascii="Georgia" w:cs="Georgia" w:eastAsia="Georgia" w:hAnsi="Georgia"/>
          <w:b/>
          <w:bCs/>
          <w:sz w:val="24"/>
          <w:szCs w:val="24"/>
        </w:rPr>
        <w:t xml:space="preserve">Responsible global citizens</w:t>
      </w:r>
      <w:r>
        <w:rPr>
          <w:rFonts w:ascii="Georgia" w:cs="Georgia" w:eastAsia="Georgia" w:hAnsi="Georgia"/>
          <w:sz w:val="24"/>
          <w:szCs w:val="24"/>
        </w:rPr>
        <w:t xml:space="preserve">: epistemic vigilance — the capacity to interrogate AI-generated claims, recognize whose knowledge is centered, and take responsibility for the conclusions one reaches — is a foundational citizenship skill. The Disclosure Protocol builds this as practice.</w:t>
      </w:r>
    </w:p>
    <w:p>
      <w:pPr>
        <w:keepLines/>
        <w:spacing w:after="160" w:line="280"/>
      </w:pPr>
      <w:r>
        <w:rPr>
          <w:rFonts w:ascii="Georgia" w:cs="Georgia" w:eastAsia="Georgia" w:hAnsi="Georgia"/>
          <w:b/>
          <w:bCs/>
          <w:sz w:val="24"/>
          <w:szCs w:val="24"/>
        </w:rPr>
        <w:t xml:space="preserve">Fullest individual potential for excellence</w:t>
      </w:r>
      <w:r>
        <w:rPr>
          <w:rFonts w:ascii="Georgia" w:cs="Georgia" w:eastAsia="Georgia" w:hAnsi="Georgia"/>
          <w:sz w:val="24"/>
          <w:szCs w:val="24"/>
        </w:rPr>
        <w:t xml:space="preserve">: assessment designs that capture intellectual labour give every student the opportunity to demonstrate actual capacity. When a student’s final product is indistinguishable from AI’s output, their potential remains invisible. When their reasoning is the evidence, every student has the opportunity to demonstrate who they actually are as a thinker.</w:t>
      </w:r>
    </w:p>
    <w:p>
      <w:pPr>
        <w:pStyle w:val="Heading2"/>
        <w:keepNext/>
        <w:spacing w:after="120" w:before="280"/>
      </w:pPr>
      <w:r>
        <w:rPr>
          <w:rFonts w:ascii="Arial" w:cs="Arial" w:eastAsia="Arial" w:hAnsi="Arial"/>
          <w:b/>
          <w:bCs/>
          <w:color w:val="2E7D8C"/>
          <w:sz w:val="26"/>
          <w:szCs w:val="26"/>
        </w:rPr>
        <w:t xml:space="preserve">14.3  Innovation Learning Initiative and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none" w:color="FFFFFF" w:sz="0"/>
              <w:left w:val="single" w:color="C9952A" w:sz="20"/>
              <w:bottom w:val="none" w:color="FFFFFF" w:sz="0"/>
              <w:right w:val="none" w:color="FFFFFF" w:sz="0"/>
            </w:tcBorders>
            <w:shd w:fill="FDF3E3" w:val="clear"/>
            <w:tcMar>
              <w:top w:type="dxa" w:w="120"/>
              <w:left w:type="dxa" w:w="240"/>
              <w:bottom w:type="dxa" w:w="120"/>
              <w:right w:type="dxa" w:w="240"/>
            </w:tcMar>
          </w:tcPr>
          <w:p>
            <w:pPr>
              <w:spacing w:after="60"/>
            </w:pPr>
            <w:r>
              <w:rPr>
                <w:rFonts w:ascii="Georgia" w:cs="Georgia" w:eastAsia="Georgia" w:hAnsi="Georgia"/>
                <w:i/>
                <w:iCs/>
                <w:sz w:val="24"/>
                <w:szCs w:val="24"/>
              </w:rPr>
              <w:t xml:space="preserve">“Innovation Learning is a schoolwide initiative focused on supporting students to master the competencies listed in our CNG Learner Profile.”</w:t>
            </w:r>
          </w:p>
          <w:p>
            <w:pPr>
              <w:spacing w:after="0"/>
            </w:pPr>
            <w:r>
              <w:rPr>
                <w:rFonts w:ascii="Georgia" w:cs="Georgia" w:eastAsia="Georgia" w:hAnsi="Georgia"/>
                <w:b/>
                <w:bCs/>
                <w:color w:val="2E7D8C"/>
                <w:sz w:val="22"/>
                <w:szCs w:val="22"/>
              </w:rPr>
              <w:t xml:space="preserve">— CNG School Profile, 2025–2026</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sz w:val="24"/>
          <w:szCs w:val="24"/>
        </w:rPr>
        <w:t xml:space="preserve">The Innovation Learning Initiative is student-facing by design. CNG’s own philosophy states that values are </w:t>
      </w:r>
      <w:r>
        <w:rPr>
          <w:rFonts w:ascii="Georgia" w:cs="Georgia" w:eastAsia="Georgia" w:hAnsi="Georgia"/>
          <w:i/>
          <w:iCs/>
          <w:sz w:val="24"/>
          <w:szCs w:val="24"/>
        </w:rPr>
        <w:t xml:space="preserve">taught through direct instruction, modeling, and experience</w:t>
      </w:r>
      <w:r>
        <w:rPr>
          <w:rFonts w:ascii="Georgia" w:cs="Georgia" w:eastAsia="Georgia" w:hAnsi="Georgia"/>
          <w:sz w:val="24"/>
          <w:szCs w:val="24"/>
        </w:rPr>
        <w:t xml:space="preserve">. Teachers who develop AI-TPACK, Ethical TPACK, and HAIC-K through this fellowship are not just learning to assess differently. They are </w:t>
      </w:r>
      <w:r>
        <w:rPr>
          <w:rFonts w:ascii="Georgia" w:cs="Georgia" w:eastAsia="Georgia" w:hAnsi="Georgia"/>
          <w:i/>
          <w:iCs/>
          <w:sz w:val="24"/>
          <w:szCs w:val="24"/>
        </w:rPr>
        <w:t xml:space="preserve">modeling</w:t>
      </w:r>
      <w:r>
        <w:rPr>
          <w:rFonts w:ascii="Georgia" w:cs="Georgia" w:eastAsia="Georgia" w:hAnsi="Georgia"/>
          <w:sz w:val="24"/>
          <w:szCs w:val="24"/>
        </w:rPr>
        <w:t xml:space="preserve"> what </w:t>
      </w:r>
      <w:r>
        <w:rPr>
          <w:rFonts w:ascii="Georgia" w:cs="Georgia" w:eastAsia="Georgia" w:hAnsi="Georgia"/>
          <w:b/>
          <w:bCs/>
          <w:sz w:val="24"/>
          <w:szCs w:val="24"/>
        </w:rPr>
        <w:t xml:space="preserve">Deep Thinking</w:t>
      </w:r>
      <w:r>
        <w:rPr>
          <w:rFonts w:ascii="Georgia" w:cs="Georgia" w:eastAsia="Georgia" w:hAnsi="Georgia"/>
          <w:sz w:val="24"/>
          <w:szCs w:val="24"/>
        </w:rPr>
        <w:t xml:space="preserve"> looks like when it meets AI — interrogating AI outputs, questioning assumptions, revising conclusions. They are modeling </w:t>
      </w:r>
      <w:r>
        <w:rPr>
          <w:rFonts w:ascii="Georgia" w:cs="Georgia" w:eastAsia="Georgia" w:hAnsi="Georgia"/>
          <w:b/>
          <w:bCs/>
          <w:sz w:val="24"/>
          <w:szCs w:val="24"/>
        </w:rPr>
        <w:t xml:space="preserve">Bold Innovation</w:t>
      </w:r>
      <w:r>
        <w:rPr>
          <w:rFonts w:ascii="Georgia" w:cs="Georgia" w:eastAsia="Georgia" w:hAnsi="Georgia"/>
          <w:sz w:val="24"/>
          <w:szCs w:val="24"/>
        </w:rPr>
        <w:t xml:space="preserve"> by redesigning assessment from within existing practice. They are modeling </w:t>
      </w:r>
      <w:r>
        <w:rPr>
          <w:rFonts w:ascii="Georgia" w:cs="Georgia" w:eastAsia="Georgia" w:hAnsi="Georgia"/>
          <w:b/>
          <w:bCs/>
          <w:sz w:val="24"/>
          <w:szCs w:val="24"/>
        </w:rPr>
        <w:t xml:space="preserve">Change Agency</w:t>
      </w:r>
      <w:r>
        <w:rPr>
          <w:rFonts w:ascii="Georgia" w:cs="Georgia" w:eastAsia="Georgia" w:hAnsi="Georgia"/>
          <w:sz w:val="24"/>
          <w:szCs w:val="24"/>
        </w:rPr>
        <w:t xml:space="preserve"> by taking civic-minded, solution-focused responsibility for the ethical dimensions of AI use in their own classrooms. And they are modeling </w:t>
      </w:r>
      <w:r>
        <w:rPr>
          <w:rFonts w:ascii="Georgia" w:cs="Georgia" w:eastAsia="Georgia" w:hAnsi="Georgia"/>
          <w:b/>
          <w:bCs/>
          <w:sz w:val="24"/>
          <w:szCs w:val="24"/>
        </w:rPr>
        <w:t xml:space="preserve">Community Building</w:t>
      </w:r>
      <w:r>
        <w:rPr>
          <w:rFonts w:ascii="Georgia" w:cs="Georgia" w:eastAsia="Georgia" w:hAnsi="Georgia"/>
          <w:sz w:val="24"/>
          <w:szCs w:val="24"/>
        </w:rPr>
        <w:t xml:space="preserve"> by developing shared departmental language and collaborative assessment practices. </w:t>
      </w:r>
      <w:r>
        <w:rPr>
          <w:rFonts w:ascii="Georgia" w:cs="Georgia" w:eastAsia="Georgia" w:hAnsi="Georgia"/>
          <w:b/>
          <w:bCs/>
          <w:sz w:val="24"/>
          <w:szCs w:val="24"/>
        </w:rPr>
        <w:t xml:space="preserve">The fellowship is the mechanism through which the Innovation Learning Initiative becomes something teachers live, not only something they teach</w:t>
      </w:r>
      <w:r>
        <w:rPr>
          <w:rFonts w:ascii="Georgia" w:cs="Georgia" w:eastAsia="Georgia" w:hAnsi="Georgia"/>
          <w:sz w:val="24"/>
          <w:szCs w:val="24"/>
        </w:rPr>
        <w:t xml:space="preserve">.</w:t>
      </w:r>
    </w:p>
    <w:p>
      <w:pPr>
        <w:pStyle w:val="Heading2"/>
        <w:keepNext/>
        <w:spacing w:after="120" w:before="280"/>
      </w:pPr>
      <w:r>
        <w:rPr>
          <w:rFonts w:ascii="Arial" w:cs="Arial" w:eastAsia="Arial" w:hAnsi="Arial"/>
          <w:b/>
          <w:bCs/>
          <w:color w:val="2E7D8C"/>
          <w:sz w:val="26"/>
          <w:szCs w:val="26"/>
        </w:rPr>
        <w:t xml:space="preserve">14.4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cantSplit/>
        </w:trPr>
        <w:tc>
          <w:tcPr>
            <w:tcW w:type="dxa" w:w="432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Core Value</w:t>
            </w:r>
          </w:p>
        </w:tc>
        <w:tc>
          <w:tcPr>
            <w:tcW w:type="dxa" w:w="5040"/>
            <w:tcBorders>
              <w:top w:val="single" w:color="C5DCE4" w:sz="4"/>
              <w:left w:val="single" w:color="C5DCE4" w:sz="4"/>
              <w:bottom w:val="single" w:color="C5DCE4" w:sz="4"/>
              <w:right w:val="single" w:color="C5DCE4" w:sz="4"/>
            </w:tcBorders>
            <w:shd w:fill="1B3A5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Fellowship Connection</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Integrity (Commitment, Honesty, Fair Play, Assertiveness)</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Integrity at CNG means doing what you say you will do and demonstrating academic integrity. The Disclosure Protocol operationalizes this: students document their reasoning, their AI contributions, and their evaluative judgments — building the habit of honest self-accounting that CNG’s definition of integrity requires. The fellowship models this before asking students to practice it.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Respect (Value Uniqueness, Follow Rules, Care for Property)</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Respect at CNG means valuing and protecting each individual’s worth, rights, dignity, and boundaries. The multimodal evidence framework — accepting verbal, written, visual, computational, embodied, and artistic reasoning — enacts this: it protects the irreducible diversity of how understanding manifests across CNG’s 51 nationalities. No mode of knowing is treated as less valid than another.</w:t>
            </w:r>
          </w:p>
        </w:tc>
      </w:tr>
      <w:tr>
        <w:trPr>
          <w:cantSplit/>
        </w:trPr>
        <w:tc>
          <w:tcPr>
            <w:tcW w:type="dxa" w:w="432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b/>
                <w:bCs/>
                <w:sz w:val="22"/>
                <w:szCs w:val="22"/>
              </w:rPr>
              <w:t xml:space="preserve">Responsibility (Accountability, Personal Growth, Critical Thinking)</w:t>
            </w:r>
          </w:p>
        </w:tc>
        <w:tc>
          <w:tcPr>
            <w:tcW w:type="dxa" w:w="5040"/>
            <w:tcBorders>
              <w:top w:val="single" w:color="C5DCE4" w:sz="4"/>
              <w:left w:val="single" w:color="C5DCE4" w:sz="4"/>
              <w:bottom w:val="single" w:color="C5DCE4" w:sz="4"/>
              <w:right w:val="single" w:color="C5DCE4" w:sz="4"/>
            </w:tcBorders>
            <w:shd w:fill="EAF2F5" w:val="clear"/>
            <w:tcMar>
              <w:top w:type="dxa" w:w="100"/>
              <w:left w:type="dxa" w:w="140"/>
              <w:bottom w:type="dxa" w:w="100"/>
              <w:right w:type="dxa" w:w="140"/>
            </w:tcMar>
          </w:tcPr>
          <w:p>
            <w:pPr>
              <w:spacing w:after="0"/>
            </w:pPr>
            <w:r>
              <w:rPr>
                <w:rFonts w:ascii="Georgia" w:cs="Georgia" w:eastAsia="Georgia" w:hAnsi="Georgia"/>
                <w:sz w:val="22"/>
                <w:szCs w:val="22"/>
              </w:rPr>
              <w:t xml:space="preserve">Responsibility at CNG means taking ownership of behavior and decisions, and using critical thinking to make educated decisions. Students who develop the capacity to interrogate AI-generated claims, recognize bias, and justify their conclusions are exercising exactly this — taking intellectual ownership rather than outsourcing judgment.</w:t>
            </w:r>
          </w:p>
        </w:tc>
      </w:tr>
      <w:tr>
        <w:trPr>
          <w:cantSplit/>
        </w:trPr>
        <w:tc>
          <w:tcPr>
            <w:tcW w:type="dxa" w:w="432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b/>
                <w:bCs/>
                <w:sz w:val="22"/>
                <w:szCs w:val="22"/>
              </w:rPr>
              <w:t xml:space="preserve">Caring (Empathy, Service, Relationships)</w:t>
            </w:r>
          </w:p>
        </w:tc>
        <w:tc>
          <w:tcPr>
            <w:tcW w:type="dxa" w:w="5040"/>
            <w:tcBorders>
              <w:top w:val="single" w:color="C5DCE4" w:sz="4"/>
              <w:left w:val="single" w:color="C5DCE4" w:sz="4"/>
              <w:bottom w:val="single" w:color="C5DCE4" w:sz="4"/>
              <w:right w:val="single" w:color="C5DCE4" w:sz="4"/>
            </w:tcBorders>
            <w:shd w:fill="FFFFFF" w:val="clear"/>
            <w:tcMar>
              <w:top w:type="dxa" w:w="100"/>
              <w:left w:type="dxa" w:w="140"/>
              <w:bottom w:type="dxa" w:w="100"/>
              <w:right w:type="dxa" w:w="140"/>
            </w:tcMar>
          </w:tcPr>
          <w:p>
            <w:pPr>
              <w:spacing w:after="0"/>
            </w:pPr>
            <w:r>
              <w:rPr>
                <w:rFonts w:ascii="Georgia" w:cs="Georgia" w:eastAsia="Georgia" w:hAnsi="Georgia"/>
                <w:sz w:val="22"/>
                <w:szCs w:val="22"/>
              </w:rPr>
              <w:t xml:space="preserve">Caring at CNG means investing in relationships and displaying empathy without expecting anything in return. Teacher feedback built on interpretable evidence of thinking — responding to what the student actually thought, not to a polished product that may not reflect them — is a more genuinely caring assessment practice. The fellowship builds teachers’ capacity to care responsively.</w:t>
            </w:r>
          </w:p>
        </w:tc>
      </w:tr>
    </w:tbl>
    <w:p>
      <w:pPr>
        <w:keepNext/>
        <w:spacing w:after="16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14.4a  CNG Philosophy</w:t>
      </w:r>
    </w:p>
    <w:p>
      <w:pPr>
        <w:keepLines/>
        <w:spacing w:after="160" w:line="280"/>
      </w:pPr>
      <w:r>
        <w:rPr>
          <w:rFonts w:ascii="Georgia" w:cs="Georgia" w:eastAsia="Georgia" w:hAnsi="Georgia"/>
          <w:sz w:val="24"/>
          <w:szCs w:val="24"/>
        </w:rPr>
        <w:t xml:space="preserve">CNG’s educational philosophy articulates specific beliefs that this fellowship enacts directly. Three are worth naming explicitly:</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“Universal moral values such as respect, responsibility, integrity, and caring, are taught through direct instruction, modeling, and experience.”</w:t>
      </w:r>
      <w:r>
        <w:rPr>
          <w:rFonts w:ascii="Georgia" w:cs="Georgia" w:eastAsia="Georgia" w:hAnsi="Georgia"/>
          <w:sz w:val="24"/>
          <w:szCs w:val="24"/>
        </w:rPr>
        <w:t xml:space="preserve"> The fellowship models what principled AI use looks like in practice — not through a policy document, but through teachers working through bias, epistemic vigilance, and disclosure in their own assessments. Values taught through modeling, not recitation.</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“A balance of local and international faculty emphasizes an awareness, appreciation, and inclusion of our multi-cultural demographic.”</w:t>
      </w:r>
      <w:r>
        <w:rPr>
          <w:rFonts w:ascii="Georgia" w:cs="Georgia" w:eastAsia="Georgia" w:hAnsi="Georgia"/>
          <w:sz w:val="24"/>
          <w:szCs w:val="24"/>
        </w:rPr>
        <w:t xml:space="preserve"> The deliberate selection of one local Colombian and one international faculty pair in Year 1 is a direct enactment of this philosophy — both contextual knowledge profiles enrich the fellowship’s tools and make the resulting artifacts more genuinely inclusive.</w:t>
      </w:r>
    </w:p>
    <w:p>
      <w:pPr>
        <w:pStyle w:val="ListParagraph"/>
        <w:numPr>
          <w:ilvl w:val="0"/>
          <w:numId w:val="2"/>
        </w:numPr>
        <w:spacing w:after="100"/>
      </w:pPr>
      <w:r>
        <w:rPr>
          <w:rFonts w:ascii="Georgia" w:cs="Georgia" w:eastAsia="Georgia" w:hAnsi="Georgia"/>
          <w:sz w:val="24"/>
          <w:szCs w:val="24"/>
        </w:rPr>
        <w:t xml:space="preserve"/>
      </w:r>
      <w:r>
        <w:rPr>
          <w:rFonts w:ascii="Georgia" w:cs="Georgia" w:eastAsia="Georgia" w:hAnsi="Georgia"/>
          <w:b/>
          <w:bCs/>
          <w:sz w:val="24"/>
          <w:szCs w:val="24"/>
        </w:rPr>
        <w:t xml:space="preserve">“Students are happy and they experience the joy of learning.”</w:t>
      </w:r>
      <w:r>
        <w:rPr>
          <w:rFonts w:ascii="Georgia" w:cs="Georgia" w:eastAsia="Georgia" w:hAnsi="Georgia"/>
          <w:sz w:val="24"/>
          <w:szCs w:val="24"/>
        </w:rPr>
        <w:t xml:space="preserve"> The fellowship’s workload design — approximately 7–9 hours across eleven months, with async feedback and optional third iterations — reflects this. The VISTA Protocol is designed to be usable on a tired day in February, not only on an energized day in September. A fellowship that burns out its participants is not an ethical professional learning initiative.</w:t>
      </w:r>
    </w:p>
    <w:p>
      <w:pPr>
        <w:keepNext/>
        <w:spacing w:after="8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14.5  Senior Research Project</w:t>
      </w:r>
    </w:p>
    <w:p>
      <w:pPr>
        <w:keepLines/>
        <w:spacing w:after="160" w:line="280"/>
      </w:pPr>
      <w:r>
        <w:rPr>
          <w:rFonts w:ascii="Georgia" w:cs="Georgia" w:eastAsia="Georgia" w:hAnsi="Georgia"/>
          <w:sz w:val="24"/>
          <w:szCs w:val="24"/>
        </w:rPr>
        <w:t xml:space="preserve">The SRP’s oral defense requirement is structurally identical to the oral defense visible reasoning protocol the fellowship develops. The fellowship builds the pedagogical scaffold that prepares students for SRP demands years earlier — across every discipline, not only in the SRP year.</w:t>
      </w:r>
    </w:p>
    <w:p>
      <w:pPr>
        <w:pStyle w:val="Heading2"/>
        <w:keepNext/>
        <w:spacing w:after="120" w:before="280"/>
      </w:pPr>
      <w:r>
        <w:rPr>
          <w:rFonts w:ascii="Arial" w:cs="Arial" w:eastAsia="Arial" w:hAnsi="Arial"/>
          <w:b/>
          <w:bCs/>
          <w:color w:val="2E7D8C"/>
          <w:sz w:val="26"/>
          <w:szCs w:val="26"/>
        </w:rPr>
        <w:t xml:space="preserve">14.6  Technology Strategic Direction and AI Framework</w:t>
      </w:r>
    </w:p>
    <w:p>
      <w:pPr>
        <w:keepLines/>
        <w:spacing w:after="160" w:line="280"/>
      </w:pPr>
      <w:r>
        <w:rPr>
          <w:rFonts w:ascii="Georgia" w:cs="Georgia" w:eastAsia="Georgia" w:hAnsi="Georgia"/>
          <w:sz w:val="24"/>
          <w:szCs w:val="24"/>
        </w:rPr>
        <w:t xml:space="preserve">CNG’s technology philosophy states that </w:t>
      </w:r>
      <w:r>
        <w:rPr>
          <w:rFonts w:ascii="Georgia" w:cs="Georgia" w:eastAsia="Georgia" w:hAnsi="Georgia"/>
          <w:i/>
          <w:iCs/>
          <w:sz w:val="24"/>
          <w:szCs w:val="24"/>
        </w:rPr>
        <w:t xml:space="preserve">the thoughtful and intentional use of technology allows each child to fully understand and take charge of their own learning</w:t>
      </w:r>
      <w:r>
        <w:rPr>
          <w:rFonts w:ascii="Georgia" w:cs="Georgia" w:eastAsia="Georgia" w:hAnsi="Georgia"/>
          <w:sz w:val="24"/>
          <w:szCs w:val="24"/>
        </w:rPr>
        <w:t xml:space="preserve">. CNG’s AI Framework for Employees (Draft v4, SY2024–2025) establishes this as institutional expectation: teachers are responsible for making </w:t>
      </w:r>
      <w:r>
        <w:rPr>
          <w:rFonts w:ascii="Georgia" w:cs="Georgia" w:eastAsia="Georgia" w:hAnsi="Georgia"/>
          <w:b/>
          <w:bCs/>
          <w:sz w:val="24"/>
          <w:szCs w:val="24"/>
        </w:rPr>
        <w:t xml:space="preserve">deliberate, ethical, pedagogically-grounded AI integration decisions</w:t>
      </w:r>
      <w:r>
        <w:rPr>
          <w:rFonts w:ascii="Georgia" w:cs="Georgia" w:eastAsia="Georgia" w:hAnsi="Georgia"/>
          <w:sz w:val="24"/>
          <w:szCs w:val="24"/>
        </w:rPr>
        <w:t xml:space="preserve"> rather than default or arbitrary ones.</w:t>
      </w:r>
    </w:p>
    <w:p>
      <w:pPr>
        <w:keepLines/>
        <w:spacing w:after="160" w:line="280"/>
      </w:pPr>
      <w:r>
        <w:rPr>
          <w:rFonts w:ascii="Georgia" w:cs="Georgia" w:eastAsia="Georgia" w:hAnsi="Georgia"/>
          <w:sz w:val="24"/>
          <w:szCs w:val="24"/>
        </w:rPr>
        <w:t xml:space="preserve">The fellowship is the professional learning mechanism the Framework describes but does not yet specify. The Framework requires teachers to determine SAIL levels for assessments, model ethical AI use, teach students to cite AI, and engage in continuous AI literacy development. What it does not yet provide is the pedagogical mechanism for how teachers develop the AI-TPACK needed to do those things well. The fellowship builds exactly that — through sustained disciplinary inquiry, iterative assessment design, and the kind of practice-embedded professional learning the Framework's professional learning section envisions.</w:t>
      </w:r>
    </w:p>
    <w:p>
      <w:pPr>
        <w:keepLines/>
        <w:spacing w:after="160" w:line="280"/>
      </w:pPr>
      <w:r>
        <w:rPr>
          <w:rFonts w:ascii="Georgia" w:cs="Georgia" w:eastAsia="Georgia" w:hAnsi="Georgia"/>
          <w:sz w:val="24"/>
          <w:szCs w:val="24"/>
        </w:rPr>
        <w:t xml:space="preserve">This fellowship also deepens the Framework’s section on High School expectations — specifically the requirement to design tasks where AI use is </w:t>
      </w:r>
      <w:r>
        <w:rPr>
          <w:rFonts w:ascii="Georgia" w:cs="Georgia" w:eastAsia="Georgia" w:hAnsi="Georgia"/>
          <w:i/>
          <w:iCs/>
          <w:sz w:val="24"/>
          <w:szCs w:val="24"/>
        </w:rPr>
        <w:t xml:space="preserve">intentional, transparent, and aligned to a defined SAIL level</w:t>
      </w:r>
      <w:r>
        <w:rPr>
          <w:rFonts w:ascii="Georgia" w:cs="Georgia" w:eastAsia="Georgia" w:hAnsi="Georgia"/>
          <w:sz w:val="24"/>
          <w:szCs w:val="24"/>
        </w:rPr>
        <w:t xml:space="preserve">. The VISTA Protocol makes that alignment a disciplinary practice rather than an administrative checkbox.</w:t>
      </w:r>
    </w:p>
    <w:p>
      <w:pPr>
        <w:pStyle w:val="Heading2"/>
        <w:keepNext/>
        <w:spacing w:after="120" w:before="280"/>
      </w:pPr>
      <w:r>
        <w:rPr>
          <w:rFonts w:ascii="Arial" w:cs="Arial" w:eastAsia="Arial" w:hAnsi="Arial"/>
          <w:b/>
          <w:bCs/>
          <w:color w:val="2E7D8C"/>
          <w:sz w:val="26"/>
          <w:szCs w:val="26"/>
        </w:rPr>
        <w:t xml:space="preserve">14.7  Community Service and Leadership</w:t>
      </w:r>
    </w:p>
    <w:p>
      <w:pPr>
        <w:keepLines/>
        <w:spacing w:after="160" w:line="280"/>
      </w:pPr>
      <w:r>
        <w:rPr>
          <w:rFonts w:ascii="Georgia" w:cs="Georgia" w:eastAsia="Georgia" w:hAnsi="Georgia"/>
          <w:sz w:val="24"/>
          <w:szCs w:val="24"/>
        </w:rPr>
        <w:t xml:space="preserve">CNG’s community service requirement — 80+ hours per student, aligned with UN SDGs — reflects a leadership and service commitment inseparable from the Human Agency and Judgment the fellowship develops. A student who has learned to interrogate AI-generated claims, recognize whose knowledge is centered, and take responsibility for their conclusions is developing exactly the dispositions that meaningful community service demands.</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15. References</w:t>
      </w:r>
    </w:p>
    <w:p>
      <w:pPr>
        <w:pStyle w:val="Heading2"/>
        <w:keepNext/>
        <w:spacing w:after="120" w:before="280"/>
      </w:pPr>
      <w:r>
        <w:rPr>
          <w:rFonts w:ascii="Arial" w:cs="Arial" w:eastAsia="Arial" w:hAnsi="Arial"/>
          <w:b/>
          <w:bCs/>
          <w:color w:val="2E7D8C"/>
          <w:sz w:val="26"/>
          <w:szCs w:val="26"/>
        </w:rPr>
        <w:t xml:space="preserve">Foundational and Organizational Learning Literature</w:t>
      </w:r>
    </w:p>
    <w:p>
      <w:pPr>
        <w:keepLines/>
        <w:spacing w:after="160" w:line="280"/>
      </w:pPr>
      <w:r>
        <w:rPr>
          <w:rFonts w:ascii="Georgia" w:cs="Georgia" w:eastAsia="Georgia" w:hAnsi="Georgia"/>
          <w:b/>
          <w:bCs/>
          <w:sz w:val="24"/>
          <w:szCs w:val="24"/>
        </w:rPr>
        <w:t xml:space="preserve">Bandura, A. </w:t>
      </w:r>
      <w:r>
        <w:rPr>
          <w:rFonts w:ascii="Georgia" w:cs="Georgia" w:eastAsia="Georgia" w:hAnsi="Georgia"/>
          <w:sz w:val="24"/>
          <w:szCs w:val="24"/>
        </w:rPr>
        <w:t xml:space="preserve">(1986). </w:t>
      </w:r>
      <w:r>
        <w:rPr>
          <w:rFonts w:ascii="Georgia" w:cs="Georgia" w:eastAsia="Georgia" w:hAnsi="Georgia"/>
          <w:i/>
          <w:iCs/>
          <w:sz w:val="24"/>
          <w:szCs w:val="24"/>
        </w:rPr>
        <w:t xml:space="preserve">Social foundations of thought and action.</w:t>
      </w:r>
      <w:r>
        <w:rPr>
          <w:rFonts w:ascii="Georgia" w:cs="Georgia" w:eastAsia="Georgia" w:hAnsi="Georgia"/>
          <w:sz w:val="24"/>
          <w:szCs w:val="24"/>
        </w:rPr>
        <w:t xml:space="preserve"> Prentice-Hall.</w:t>
      </w:r>
    </w:p>
    <w:p>
      <w:pPr>
        <w:keepLines/>
        <w:spacing w:after="160" w:line="280"/>
      </w:pPr>
      <w:r>
        <w:rPr>
          <w:rFonts w:ascii="Georgia" w:cs="Georgia" w:eastAsia="Georgia" w:hAnsi="Georgia"/>
          <w:b/>
          <w:bCs/>
          <w:sz w:val="24"/>
          <w:szCs w:val="24"/>
        </w:rPr>
        <w:t xml:space="preserve">Boaler, J. </w:t>
      </w:r>
      <w:r>
        <w:rPr>
          <w:rFonts w:ascii="Georgia" w:cs="Georgia" w:eastAsia="Georgia" w:hAnsi="Georgia"/>
          <w:sz w:val="24"/>
          <w:szCs w:val="24"/>
        </w:rPr>
        <w:t xml:space="preserve">(2016). </w:t>
      </w:r>
      <w:r>
        <w:rPr>
          <w:rFonts w:ascii="Georgia" w:cs="Georgia" w:eastAsia="Georgia" w:hAnsi="Georgia"/>
          <w:i/>
          <w:iCs/>
          <w:sz w:val="24"/>
          <w:szCs w:val="24"/>
        </w:rPr>
        <w:t xml:space="preserve">Mathematical mindsets: Unleashing students’ potential through creative mathematics, inspiring messages and innovative teaching.</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Bardone, E., Mottus, P., &amp; Eradze, M. </w:t>
      </w:r>
      <w:r>
        <w:rPr>
          <w:rFonts w:ascii="Georgia" w:cs="Georgia" w:eastAsia="Georgia" w:hAnsi="Georgia"/>
          <w:sz w:val="24"/>
          <w:szCs w:val="24"/>
        </w:rPr>
        <w:t xml:space="preserve">(2024). Tinkering as a complement to design in technology integration. </w:t>
      </w:r>
      <w:r>
        <w:rPr>
          <w:rFonts w:ascii="Georgia" w:cs="Georgia" w:eastAsia="Georgia" w:hAnsi="Georgia"/>
          <w:i/>
          <w:iCs/>
          <w:sz w:val="24"/>
          <w:szCs w:val="24"/>
        </w:rPr>
        <w:t xml:space="preserve">Postdigital Science and Education, 6</w:t>
      </w:r>
      <w:r>
        <w:rPr>
          <w:rFonts w:ascii="Georgia" w:cs="Georgia" w:eastAsia="Georgia" w:hAnsi="Georgia"/>
          <w:sz w:val="24"/>
          <w:szCs w:val="24"/>
        </w:rPr>
        <w:t xml:space="preserve">(1), 114–134.</w:t>
      </w:r>
    </w:p>
    <w:p>
      <w:pPr>
        <w:keepLines/>
        <w:spacing w:after="160" w:line="280"/>
      </w:pPr>
      <w:r>
        <w:rPr>
          <w:rFonts w:ascii="Georgia" w:cs="Georgia" w:eastAsia="Georgia" w:hAnsi="Georgia"/>
          <w:b/>
          <w:bCs/>
          <w:sz w:val="24"/>
          <w:szCs w:val="24"/>
        </w:rPr>
        <w:t xml:space="preserve">Biggs, J. </w:t>
      </w:r>
      <w:r>
        <w:rPr>
          <w:rFonts w:ascii="Georgia" w:cs="Georgia" w:eastAsia="Georgia" w:hAnsi="Georgia"/>
          <w:sz w:val="24"/>
          <w:szCs w:val="24"/>
        </w:rPr>
        <w:t xml:space="preserve">(2003). </w:t>
      </w:r>
      <w:r>
        <w:rPr>
          <w:rFonts w:ascii="Georgia" w:cs="Georgia" w:eastAsia="Georgia" w:hAnsi="Georgia"/>
          <w:i/>
          <w:iCs/>
          <w:sz w:val="24"/>
          <w:szCs w:val="24"/>
        </w:rPr>
        <w:t xml:space="preserve">Teaching for quality learning at university</w:t>
      </w:r>
      <w:r>
        <w:rPr>
          <w:rFonts w:ascii="Georgia" w:cs="Georgia" w:eastAsia="Georgia" w:hAnsi="Georgia"/>
          <w:sz w:val="24"/>
          <w:szCs w:val="24"/>
        </w:rPr>
        <w:t xml:space="preserve"> (2nd ed.). Society for Research into Higher Education &amp; Open University Press.</w:t>
      </w:r>
    </w:p>
    <w:p>
      <w:pPr>
        <w:keepLines/>
        <w:spacing w:after="160" w:line="280"/>
      </w:pPr>
      <w:r>
        <w:rPr>
          <w:rFonts w:ascii="Georgia" w:cs="Georgia" w:eastAsia="Georgia" w:hAnsi="Georgia"/>
          <w:b/>
          <w:bCs/>
          <w:sz w:val="24"/>
          <w:szCs w:val="24"/>
        </w:rPr>
        <w:t xml:space="preserve">Black, P., &amp; Wiliam, D. </w:t>
      </w:r>
      <w:r>
        <w:rPr>
          <w:rFonts w:ascii="Georgia" w:cs="Georgia" w:eastAsia="Georgia" w:hAnsi="Georgia"/>
          <w:sz w:val="24"/>
          <w:szCs w:val="24"/>
        </w:rPr>
        <w:t xml:space="preserve">(1998). Assessment and classroom learning. </w:t>
      </w:r>
      <w:r>
        <w:rPr>
          <w:rFonts w:ascii="Georgia" w:cs="Georgia" w:eastAsia="Georgia" w:hAnsi="Georgia"/>
          <w:i/>
          <w:iCs/>
          <w:sz w:val="24"/>
          <w:szCs w:val="24"/>
        </w:rPr>
        <w:t xml:space="preserve">Assessment in Education, 5</w:t>
      </w:r>
      <w:r>
        <w:rPr>
          <w:rFonts w:ascii="Georgia" w:cs="Georgia" w:eastAsia="Georgia" w:hAnsi="Georgia"/>
          <w:sz w:val="24"/>
          <w:szCs w:val="24"/>
        </w:rPr>
        <w:t xml:space="preserve">(1), 7–74.</w:t>
      </w:r>
    </w:p>
    <w:p>
      <w:pPr>
        <w:keepLines/>
        <w:spacing w:after="160" w:line="280"/>
      </w:pPr>
      <w:r>
        <w:rPr>
          <w:rFonts w:ascii="Georgia" w:cs="Georgia" w:eastAsia="Georgia" w:hAnsi="Georgia"/>
          <w:b/>
          <w:bCs/>
          <w:sz w:val="24"/>
          <w:szCs w:val="24"/>
        </w:rPr>
        <w:t xml:space="preserve">Bryk, A. S., Gomez, L. M., Grunow, A., &amp; LeMahieu, P. G. </w:t>
      </w:r>
      <w:r>
        <w:rPr>
          <w:rFonts w:ascii="Georgia" w:cs="Georgia" w:eastAsia="Georgia" w:hAnsi="Georgia"/>
          <w:sz w:val="24"/>
          <w:szCs w:val="24"/>
        </w:rPr>
        <w:t xml:space="preserve">(2015). </w:t>
      </w:r>
      <w:r>
        <w:rPr>
          <w:rFonts w:ascii="Georgia" w:cs="Georgia" w:eastAsia="Georgia" w:hAnsi="Georgia"/>
          <w:i/>
          <w:iCs/>
          <w:sz w:val="24"/>
          <w:szCs w:val="24"/>
        </w:rPr>
        <w:t xml:space="preserve">Learning to improve.</w:t>
      </w:r>
      <w:r>
        <w:rPr>
          <w:rFonts w:ascii="Georgia" w:cs="Georgia" w:eastAsia="Georgia" w:hAnsi="Georgia"/>
          <w:sz w:val="24"/>
          <w:szCs w:val="24"/>
        </w:rPr>
        <w:t xml:space="preserve"> Harvard Education Press.</w:t>
      </w:r>
    </w:p>
    <w:p>
      <w:pPr>
        <w:keepLines/>
        <w:spacing w:after="160" w:line="280"/>
      </w:pPr>
      <w:r>
        <w:rPr>
          <w:rFonts w:ascii="Georgia" w:cs="Georgia" w:eastAsia="Georgia" w:hAnsi="Georgia"/>
          <w:b/>
          <w:bCs/>
          <w:sz w:val="24"/>
          <w:szCs w:val="24"/>
        </w:rPr>
        <w:t xml:space="preserve">CAST. </w:t>
      </w:r>
      <w:r>
        <w:rPr>
          <w:rFonts w:ascii="Georgia" w:cs="Georgia" w:eastAsia="Georgia" w:hAnsi="Georgia"/>
          <w:sz w:val="24"/>
          <w:szCs w:val="24"/>
        </w:rPr>
        <w:t xml:space="preserve">(2018). </w:t>
      </w:r>
      <w:r>
        <w:rPr>
          <w:rFonts w:ascii="Georgia" w:cs="Georgia" w:eastAsia="Georgia" w:hAnsi="Georgia"/>
          <w:i/>
          <w:iCs/>
          <w:sz w:val="24"/>
          <w:szCs w:val="24"/>
        </w:rPr>
        <w:t xml:space="preserve">Universal design for learning guidelines version 2.2.</w:t>
      </w:r>
      <w:r>
        <w:rPr>
          <w:rFonts w:ascii="Georgia" w:cs="Georgia" w:eastAsia="Georgia" w:hAnsi="Georgia"/>
          <w:sz w:val="24"/>
          <w:szCs w:val="24"/>
        </w:rPr>
        <w:t xml:space="preserve"> http://udlguidelines.cast.org</w:t>
      </w:r>
    </w:p>
    <w:p>
      <w:pPr>
        <w:keepLines/>
        <w:spacing w:after="160" w:line="280"/>
      </w:pPr>
      <w:r>
        <w:rPr>
          <w:rFonts w:ascii="Georgia" w:cs="Georgia" w:eastAsia="Georgia" w:hAnsi="Georgia"/>
          <w:b/>
          <w:bCs/>
          <w:sz w:val="24"/>
          <w:szCs w:val="24"/>
        </w:rPr>
        <w:t xml:space="preserve">Coburn, C. E. </w:t>
      </w:r>
      <w:r>
        <w:rPr>
          <w:rFonts w:ascii="Georgia" w:cs="Georgia" w:eastAsia="Georgia" w:hAnsi="Georgia"/>
          <w:sz w:val="24"/>
          <w:szCs w:val="24"/>
        </w:rPr>
        <w:t xml:space="preserve">(2003). Rethinking scale: Moving beyond numbers to deep and lasting change. </w:t>
      </w:r>
      <w:r>
        <w:rPr>
          <w:rFonts w:ascii="Georgia" w:cs="Georgia" w:eastAsia="Georgia" w:hAnsi="Georgia"/>
          <w:i/>
          <w:iCs/>
          <w:sz w:val="24"/>
          <w:szCs w:val="24"/>
        </w:rPr>
        <w:t xml:space="preserve">Educational Researcher, 32</w:t>
      </w:r>
      <w:r>
        <w:rPr>
          <w:rFonts w:ascii="Georgia" w:cs="Georgia" w:eastAsia="Georgia" w:hAnsi="Georgia"/>
          <w:sz w:val="24"/>
          <w:szCs w:val="24"/>
        </w:rPr>
        <w:t xml:space="preserve">(6), 3–12.</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(2011). </w:t>
      </w:r>
      <w:r>
        <w:rPr>
          <w:rFonts w:ascii="Georgia" w:cs="Georgia" w:eastAsia="Georgia" w:hAnsi="Georgia"/>
          <w:i/>
          <w:iCs/>
          <w:sz w:val="24"/>
          <w:szCs w:val="24"/>
        </w:rPr>
        <w:t xml:space="preserve">The number sense: How the mind creates mathematics</w:t>
      </w:r>
      <w:r>
        <w:rPr>
          <w:rFonts w:ascii="Georgia" w:cs="Georgia" w:eastAsia="Georgia" w:hAnsi="Georgia"/>
          <w:sz w:val="24"/>
          <w:szCs w:val="24"/>
        </w:rPr>
        <w:t xml:space="preserve"> (2nd ed.). Oxford University Press.</w:t>
      </w:r>
    </w:p>
    <w:p>
      <w:pPr>
        <w:keepLines/>
        <w:spacing w:after="160" w:line="280"/>
      </w:pPr>
      <w:r>
        <w:rPr>
          <w:rFonts w:ascii="Georgia" w:cs="Georgia" w:eastAsia="Georgia" w:hAnsi="Georgia"/>
          <w:b/>
          <w:bCs/>
          <w:sz w:val="24"/>
          <w:szCs w:val="24"/>
        </w:rPr>
        <w:t xml:space="preserve">Dehaene, S. </w:t>
      </w:r>
      <w:r>
        <w:rPr>
          <w:rFonts w:ascii="Georgia" w:cs="Georgia" w:eastAsia="Georgia" w:hAnsi="Georgia"/>
          <w:sz w:val="24"/>
          <w:szCs w:val="24"/>
        </w:rPr>
        <w:t xml:space="preserve">(2020). </w:t>
      </w:r>
      <w:r>
        <w:rPr>
          <w:rFonts w:ascii="Georgia" w:cs="Georgia" w:eastAsia="Georgia" w:hAnsi="Georgia"/>
          <w:i/>
          <w:iCs/>
          <w:sz w:val="24"/>
          <w:szCs w:val="24"/>
        </w:rPr>
        <w:t xml:space="preserve">How we learn: Why brains learn better than any machine … for now.</w:t>
      </w:r>
      <w:r>
        <w:rPr>
          <w:rFonts w:ascii="Georgia" w:cs="Georgia" w:eastAsia="Georgia" w:hAnsi="Georgia"/>
          <w:sz w:val="24"/>
          <w:szCs w:val="24"/>
        </w:rPr>
        <w:t xml:space="preserve"> Viking.</w:t>
      </w:r>
    </w:p>
    <w:p>
      <w:pPr>
        <w:keepLines/>
        <w:spacing w:after="160" w:line="280"/>
      </w:pPr>
      <w:r>
        <w:rPr>
          <w:rFonts w:ascii="Georgia" w:cs="Georgia" w:eastAsia="Georgia" w:hAnsi="Georgia"/>
          <w:b/>
          <w:bCs/>
          <w:sz w:val="24"/>
          <w:szCs w:val="24"/>
        </w:rPr>
        <w:t xml:space="preserve">Dewey, J. </w:t>
      </w:r>
      <w:r>
        <w:rPr>
          <w:rFonts w:ascii="Georgia" w:cs="Georgia" w:eastAsia="Georgia" w:hAnsi="Georgia"/>
          <w:sz w:val="24"/>
          <w:szCs w:val="24"/>
        </w:rPr>
        <w:t xml:space="preserve">(1938). </w:t>
      </w:r>
      <w:r>
        <w:rPr>
          <w:rFonts w:ascii="Georgia" w:cs="Georgia" w:eastAsia="Georgia" w:hAnsi="Georgia"/>
          <w:i/>
          <w:iCs/>
          <w:sz w:val="24"/>
          <w:szCs w:val="24"/>
        </w:rPr>
        <w:t xml:space="preserve">Experience and education.</w:t>
      </w:r>
      <w:r>
        <w:rPr>
          <w:rFonts w:ascii="Georgia" w:cs="Georgia" w:eastAsia="Georgia" w:hAnsi="Georgia"/>
          <w:sz w:val="24"/>
          <w:szCs w:val="24"/>
        </w:rPr>
        <w:t xml:space="preserve"> Macmillan.</w:t>
      </w:r>
    </w:p>
    <w:p>
      <w:pPr>
        <w:keepLines/>
        <w:spacing w:after="160" w:line="280"/>
      </w:pPr>
      <w:r>
        <w:rPr>
          <w:rFonts w:ascii="Georgia" w:cs="Georgia" w:eastAsia="Georgia" w:hAnsi="Georgia"/>
          <w:b/>
          <w:bCs/>
          <w:sz w:val="24"/>
          <w:szCs w:val="24"/>
        </w:rPr>
        <w:t xml:space="preserve">Dillenbourg, P. </w:t>
      </w:r>
      <w:r>
        <w:rPr>
          <w:rFonts w:ascii="Georgia" w:cs="Georgia" w:eastAsia="Georgia" w:hAnsi="Georgia"/>
          <w:sz w:val="24"/>
          <w:szCs w:val="24"/>
        </w:rPr>
        <w:t xml:space="preserve">(2013). Design for classroom orchestration. </w:t>
      </w:r>
      <w:r>
        <w:rPr>
          <w:rFonts w:ascii="Georgia" w:cs="Georgia" w:eastAsia="Georgia" w:hAnsi="Georgia"/>
          <w:i/>
          <w:iCs/>
          <w:sz w:val="24"/>
          <w:szCs w:val="24"/>
        </w:rPr>
        <w:t xml:space="preserve">Computers &amp; Education, 69</w:t>
      </w:r>
      <w:r>
        <w:rPr>
          <w:rFonts w:ascii="Georgia" w:cs="Georgia" w:eastAsia="Georgia" w:hAnsi="Georgia"/>
          <w:sz w:val="24"/>
          <w:szCs w:val="24"/>
        </w:rPr>
        <w:t xml:space="preserve">, 485–492.</w:t>
      </w:r>
    </w:p>
    <w:p>
      <w:pPr>
        <w:keepLines/>
        <w:spacing w:after="160" w:line="280"/>
      </w:pPr>
      <w:r>
        <w:rPr>
          <w:rFonts w:ascii="Georgia" w:cs="Georgia" w:eastAsia="Georgia" w:hAnsi="Georgia"/>
          <w:b/>
          <w:bCs/>
          <w:sz w:val="24"/>
          <w:szCs w:val="24"/>
        </w:rPr>
        <w:t xml:space="preserve">DuFour, R., &amp; Eaker, R. </w:t>
      </w:r>
      <w:r>
        <w:rPr>
          <w:rFonts w:ascii="Georgia" w:cs="Georgia" w:eastAsia="Georgia" w:hAnsi="Georgia"/>
          <w:sz w:val="24"/>
          <w:szCs w:val="24"/>
        </w:rPr>
        <w:t xml:space="preserve">(1998). </w:t>
      </w:r>
      <w:r>
        <w:rPr>
          <w:rFonts w:ascii="Georgia" w:cs="Georgia" w:eastAsia="Georgia" w:hAnsi="Georgia"/>
          <w:i/>
          <w:iCs/>
          <w:sz w:val="24"/>
          <w:szCs w:val="24"/>
        </w:rPr>
        <w:t xml:space="preserve">Professional learning communities at work.</w:t>
      </w:r>
      <w:r>
        <w:rPr>
          <w:rFonts w:ascii="Georgia" w:cs="Georgia" w:eastAsia="Georgia" w:hAnsi="Georgia"/>
          <w:sz w:val="24"/>
          <w:szCs w:val="24"/>
        </w:rPr>
        <w:t xml:space="preserve"> Solution Tree.</w:t>
      </w:r>
    </w:p>
    <w:p>
      <w:pPr>
        <w:keepLines/>
        <w:spacing w:after="160" w:line="280"/>
      </w:pPr>
      <w:r>
        <w:rPr>
          <w:rFonts w:ascii="Georgia" w:cs="Georgia" w:eastAsia="Georgia" w:hAnsi="Georgia"/>
          <w:b/>
          <w:bCs/>
          <w:sz w:val="24"/>
          <w:szCs w:val="24"/>
        </w:rPr>
        <w:t xml:space="preserve">Fullan, M. </w:t>
      </w:r>
      <w:r>
        <w:rPr>
          <w:rFonts w:ascii="Georgia" w:cs="Georgia" w:eastAsia="Georgia" w:hAnsi="Georgia"/>
          <w:sz w:val="24"/>
          <w:szCs w:val="24"/>
        </w:rPr>
        <w:t xml:space="preserve">(2016). </w:t>
      </w:r>
      <w:r>
        <w:rPr>
          <w:rFonts w:ascii="Georgia" w:cs="Georgia" w:eastAsia="Georgia" w:hAnsi="Georgia"/>
          <w:i/>
          <w:iCs/>
          <w:sz w:val="24"/>
          <w:szCs w:val="24"/>
        </w:rPr>
        <w:t xml:space="preserve">The new meaning of educational change</w:t>
      </w:r>
      <w:r>
        <w:rPr>
          <w:rFonts w:ascii="Georgia" w:cs="Georgia" w:eastAsia="Georgia" w:hAnsi="Georgia"/>
          <w:sz w:val="24"/>
          <w:szCs w:val="24"/>
        </w:rPr>
        <w:t xml:space="preserve"> (5th ed.). Teachers College Press.</w:t>
      </w:r>
    </w:p>
    <w:p>
      <w:pPr>
        <w:keepLines/>
        <w:spacing w:after="160" w:line="280"/>
      </w:pPr>
      <w:r>
        <w:rPr>
          <w:rFonts w:ascii="Georgia" w:cs="Georgia" w:eastAsia="Georgia" w:hAnsi="Georgia"/>
          <w:b/>
          <w:bCs/>
          <w:sz w:val="24"/>
          <w:szCs w:val="24"/>
        </w:rPr>
        <w:t xml:space="preserve">Hargreaves, A., &amp; Fullan, M. </w:t>
      </w:r>
      <w:r>
        <w:rPr>
          <w:rFonts w:ascii="Georgia" w:cs="Georgia" w:eastAsia="Georgia" w:hAnsi="Georgia"/>
          <w:sz w:val="24"/>
          <w:szCs w:val="24"/>
        </w:rPr>
        <w:t xml:space="preserve">(2012). </w:t>
      </w:r>
      <w:r>
        <w:rPr>
          <w:rFonts w:ascii="Georgia" w:cs="Georgia" w:eastAsia="Georgia" w:hAnsi="Georgia"/>
          <w:i/>
          <w:iCs/>
          <w:sz w:val="24"/>
          <w:szCs w:val="24"/>
        </w:rPr>
        <w:t xml:space="preserve">Professional capital: Transforming teaching in every school.</w:t>
      </w:r>
      <w:r>
        <w:rPr>
          <w:rFonts w:ascii="Georgia" w:cs="Georgia" w:eastAsia="Georgia" w:hAnsi="Georgia"/>
          <w:sz w:val="24"/>
          <w:szCs w:val="24"/>
        </w:rPr>
        <w:t xml:space="preserve"> Teachers College Press.</w:t>
      </w:r>
    </w:p>
    <w:p>
      <w:pPr>
        <w:keepLines/>
        <w:spacing w:after="160" w:line="280"/>
      </w:pPr>
      <w:r>
        <w:rPr>
          <w:rFonts w:ascii="Georgia" w:cs="Georgia" w:eastAsia="Georgia" w:hAnsi="Georgia"/>
          <w:b/>
          <w:bCs/>
          <w:sz w:val="24"/>
          <w:szCs w:val="24"/>
        </w:rPr>
        <w:t xml:space="preserve">Kane, M. T. </w:t>
      </w:r>
      <w:r>
        <w:rPr>
          <w:rFonts w:ascii="Georgia" w:cs="Georgia" w:eastAsia="Georgia" w:hAnsi="Georgia"/>
          <w:sz w:val="24"/>
          <w:szCs w:val="24"/>
        </w:rPr>
        <w:t xml:space="preserve">(2006). Validation. In R. L. Brennan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(4th ed., pp. 17–64). ACE.</w:t>
      </w:r>
    </w:p>
    <w:p>
      <w:pPr>
        <w:keepLines/>
        <w:spacing w:after="160" w:line="280"/>
      </w:pPr>
      <w:r>
        <w:rPr>
          <w:rFonts w:ascii="Georgia" w:cs="Georgia" w:eastAsia="Georgia" w:hAnsi="Georgia"/>
          <w:b/>
          <w:bCs/>
          <w:sz w:val="24"/>
          <w:szCs w:val="24"/>
        </w:rPr>
        <w:t xml:space="preserve">Messick, S. </w:t>
      </w:r>
      <w:r>
        <w:rPr>
          <w:rFonts w:ascii="Georgia" w:cs="Georgia" w:eastAsia="Georgia" w:hAnsi="Georgia"/>
          <w:sz w:val="24"/>
          <w:szCs w:val="24"/>
        </w:rPr>
        <w:t xml:space="preserve">(1989). Validity. In R. L. Linn (Ed.), </w:t>
      </w:r>
      <w:r>
        <w:rPr>
          <w:rFonts w:ascii="Georgia" w:cs="Georgia" w:eastAsia="Georgia" w:hAnsi="Georgia"/>
          <w:i/>
          <w:iCs/>
          <w:sz w:val="24"/>
          <w:szCs w:val="24"/>
        </w:rPr>
        <w:t xml:space="preserve">Educational measurement</w:t>
      </w:r>
      <w:r>
        <w:rPr>
          <w:rFonts w:ascii="Georgia" w:cs="Georgia" w:eastAsia="Georgia" w:hAnsi="Georgia"/>
          <w:sz w:val="24"/>
          <w:szCs w:val="24"/>
        </w:rPr>
        <w:t xml:space="preserve"> (3rd ed., pp. 13–103). ACE.</w:t>
      </w:r>
    </w:p>
    <w:p>
      <w:pPr>
        <w:keepLines/>
        <w:spacing w:after="160" w:line="280"/>
      </w:pPr>
      <w:r>
        <w:rPr>
          <w:rFonts w:ascii="Georgia" w:cs="Georgia" w:eastAsia="Georgia" w:hAnsi="Georgia"/>
          <w:b/>
          <w:bCs/>
          <w:sz w:val="24"/>
          <w:szCs w:val="24"/>
        </w:rPr>
        <w:t xml:space="preserve">National Council of Teachers of Mathematics. </w:t>
      </w:r>
      <w:r>
        <w:rPr>
          <w:rFonts w:ascii="Georgia" w:cs="Georgia" w:eastAsia="Georgia" w:hAnsi="Georgia"/>
          <w:sz w:val="24"/>
          <w:szCs w:val="24"/>
        </w:rPr>
        <w:t xml:space="preserve">(2014). </w:t>
      </w:r>
      <w:r>
        <w:rPr>
          <w:rFonts w:ascii="Georgia" w:cs="Georgia" w:eastAsia="Georgia" w:hAnsi="Georgia"/>
          <w:i/>
          <w:iCs/>
          <w:sz w:val="24"/>
          <w:szCs w:val="24"/>
        </w:rPr>
        <w:t xml:space="preserve">Principles to actions: Ensuring mathematical success for all.</w:t>
      </w:r>
      <w:r>
        <w:rPr>
          <w:rFonts w:ascii="Georgia" w:cs="Georgia" w:eastAsia="Georgia" w:hAnsi="Georgia"/>
          <w:sz w:val="24"/>
          <w:szCs w:val="24"/>
        </w:rPr>
        <w:t xml:space="preserve"> NCTM.</w:t>
      </w:r>
    </w:p>
    <w:p>
      <w:pPr>
        <w:keepLines/>
        <w:spacing w:after="160" w:line="280"/>
      </w:pPr>
      <w:r>
        <w:rPr>
          <w:rFonts w:ascii="Georgia" w:cs="Georgia" w:eastAsia="Georgia" w:hAnsi="Georgia"/>
          <w:b/>
          <w:bCs/>
          <w:sz w:val="24"/>
          <w:szCs w:val="24"/>
        </w:rPr>
        <w:t xml:space="preserve">Posner, G. J., Strike, K. A., Hewson, P. W., &amp; Gertzog, W. A. </w:t>
      </w:r>
      <w:r>
        <w:rPr>
          <w:rFonts w:ascii="Georgia" w:cs="Georgia" w:eastAsia="Georgia" w:hAnsi="Georgia"/>
          <w:sz w:val="24"/>
          <w:szCs w:val="24"/>
        </w:rPr>
        <w:t xml:space="preserve">(1982). Accommodation of a scientific conception: Toward a theory of conceptual change. </w:t>
      </w:r>
      <w:r>
        <w:rPr>
          <w:rFonts w:ascii="Georgia" w:cs="Georgia" w:eastAsia="Georgia" w:hAnsi="Georgia"/>
          <w:i/>
          <w:iCs/>
          <w:sz w:val="24"/>
          <w:szCs w:val="24"/>
        </w:rPr>
        <w:t xml:space="preserve">Science Education, 66</w:t>
      </w:r>
      <w:r>
        <w:rPr>
          <w:rFonts w:ascii="Georgia" w:cs="Georgia" w:eastAsia="Georgia" w:hAnsi="Georgia"/>
          <w:sz w:val="24"/>
          <w:szCs w:val="24"/>
        </w:rPr>
        <w:t xml:space="preserve">(2), 211–227.</w:t>
      </w:r>
    </w:p>
    <w:p>
      <w:pPr>
        <w:keepLines/>
        <w:spacing w:after="160" w:line="280"/>
      </w:pPr>
      <w:r>
        <w:rPr>
          <w:rFonts w:ascii="Georgia" w:cs="Georgia" w:eastAsia="Georgia" w:hAnsi="Georgia"/>
          <w:b/>
          <w:bCs/>
          <w:sz w:val="24"/>
          <w:szCs w:val="24"/>
        </w:rPr>
        <w:t xml:space="preserve">Wineburg, S. </w:t>
      </w:r>
      <w:r>
        <w:rPr>
          <w:rFonts w:ascii="Georgia" w:cs="Georgia" w:eastAsia="Georgia" w:hAnsi="Georgia"/>
          <w:sz w:val="24"/>
          <w:szCs w:val="24"/>
        </w:rPr>
        <w:t xml:space="preserve">(2001). </w:t>
      </w:r>
      <w:r>
        <w:rPr>
          <w:rFonts w:ascii="Georgia" w:cs="Georgia" w:eastAsia="Georgia" w:hAnsi="Georgia"/>
          <w:i/>
          <w:iCs/>
          <w:sz w:val="24"/>
          <w:szCs w:val="24"/>
        </w:rPr>
        <w:t xml:space="preserve">Historical thinking and other unnatural acts: Charting the future of teaching the past.</w:t>
      </w:r>
      <w:r>
        <w:rPr>
          <w:rFonts w:ascii="Georgia" w:cs="Georgia" w:eastAsia="Georgia" w:hAnsi="Georgia"/>
          <w:sz w:val="24"/>
          <w:szCs w:val="24"/>
        </w:rPr>
        <w:t xml:space="preserve"> Temple University Press.</w:t>
      </w:r>
    </w:p>
    <w:p>
      <w:pPr>
        <w:keepLines/>
        <w:spacing w:after="160" w:line="280"/>
      </w:pPr>
      <w:r>
        <w:rPr>
          <w:rFonts w:ascii="Georgia" w:cs="Georgia" w:eastAsia="Georgia" w:hAnsi="Georgia"/>
          <w:b/>
          <w:bCs/>
          <w:sz w:val="24"/>
          <w:szCs w:val="24"/>
        </w:rPr>
        <w:t xml:space="preserve">Mishra, P., &amp; Koehler, M. J. </w:t>
      </w:r>
      <w:r>
        <w:rPr>
          <w:rFonts w:ascii="Georgia" w:cs="Georgia" w:eastAsia="Georgia" w:hAnsi="Georgia"/>
          <w:sz w:val="24"/>
          <w:szCs w:val="24"/>
        </w:rPr>
        <w:t xml:space="preserve">(2006). Technological pedagogical content knowledge. </w:t>
      </w:r>
      <w:r>
        <w:rPr>
          <w:rFonts w:ascii="Georgia" w:cs="Georgia" w:eastAsia="Georgia" w:hAnsi="Georgia"/>
          <w:i/>
          <w:iCs/>
          <w:sz w:val="24"/>
          <w:szCs w:val="24"/>
        </w:rPr>
        <w:t xml:space="preserve">Teachers College Record, 108</w:t>
      </w:r>
      <w:r>
        <w:rPr>
          <w:rFonts w:ascii="Georgia" w:cs="Georgia" w:eastAsia="Georgia" w:hAnsi="Georgia"/>
          <w:sz w:val="24"/>
          <w:szCs w:val="24"/>
        </w:rPr>
        <w:t xml:space="preserve">(6), 1017–1054.</w:t>
      </w:r>
    </w:p>
    <w:p>
      <w:pPr>
        <w:keepLines/>
        <w:spacing w:after="160" w:line="280"/>
      </w:pPr>
      <w:r>
        <w:rPr>
          <w:rFonts w:ascii="Georgia" w:cs="Georgia" w:eastAsia="Georgia" w:hAnsi="Georgia"/>
          <w:b/>
          <w:bCs/>
          <w:sz w:val="24"/>
          <w:szCs w:val="24"/>
        </w:rPr>
        <w:t xml:space="preserve">Orlikowski, W. J. </w:t>
      </w:r>
      <w:r>
        <w:rPr>
          <w:rFonts w:ascii="Georgia" w:cs="Georgia" w:eastAsia="Georgia" w:hAnsi="Georgia"/>
          <w:sz w:val="24"/>
          <w:szCs w:val="24"/>
        </w:rPr>
        <w:t xml:space="preserve">(1992). The duality of technology. </w:t>
      </w:r>
      <w:r>
        <w:rPr>
          <w:rFonts w:ascii="Georgia" w:cs="Georgia" w:eastAsia="Georgia" w:hAnsi="Georgia"/>
          <w:i/>
          <w:iCs/>
          <w:sz w:val="24"/>
          <w:szCs w:val="24"/>
        </w:rPr>
        <w:t xml:space="preserve">Organization Science, 3</w:t>
      </w:r>
      <w:r>
        <w:rPr>
          <w:rFonts w:ascii="Georgia" w:cs="Georgia" w:eastAsia="Georgia" w:hAnsi="Georgia"/>
          <w:sz w:val="24"/>
          <w:szCs w:val="24"/>
        </w:rPr>
        <w:t xml:space="preserve">(3), 398–427.</w:t>
      </w:r>
    </w:p>
    <w:p>
      <w:pPr>
        <w:keepLines/>
        <w:spacing w:after="160" w:line="280"/>
      </w:pPr>
      <w:r>
        <w:rPr>
          <w:rFonts w:ascii="Georgia" w:cs="Georgia" w:eastAsia="Georgia" w:hAnsi="Georgia"/>
          <w:b/>
          <w:bCs/>
          <w:sz w:val="24"/>
          <w:szCs w:val="24"/>
        </w:rPr>
        <w:t xml:space="preserve">Pellegrino, J. W., Chudowsky, N., &amp; Glaser, R. </w:t>
      </w:r>
      <w:r>
        <w:rPr>
          <w:rFonts w:ascii="Georgia" w:cs="Georgia" w:eastAsia="Georgia" w:hAnsi="Georgia"/>
          <w:sz w:val="24"/>
          <w:szCs w:val="24"/>
        </w:rPr>
        <w:t xml:space="preserve">(Eds.). (2001). </w:t>
      </w:r>
      <w:r>
        <w:rPr>
          <w:rFonts w:ascii="Georgia" w:cs="Georgia" w:eastAsia="Georgia" w:hAnsi="Georgia"/>
          <w:i/>
          <w:iCs/>
          <w:sz w:val="24"/>
          <w:szCs w:val="24"/>
        </w:rPr>
        <w:t xml:space="preserve">Knowing what students know.</w:t>
      </w:r>
      <w:r>
        <w:rPr>
          <w:rFonts w:ascii="Georgia" w:cs="Georgia" w:eastAsia="Georgia" w:hAnsi="Georgia"/>
          <w:sz w:val="24"/>
          <w:szCs w:val="24"/>
        </w:rPr>
        <w:t xml:space="preserve"> National Academy Press.</w:t>
      </w:r>
    </w:p>
    <w:p>
      <w:pPr>
        <w:keepLines/>
        <w:spacing w:after="160" w:line="280"/>
      </w:pPr>
      <w:r>
        <w:rPr>
          <w:rFonts w:ascii="Georgia" w:cs="Georgia" w:eastAsia="Georgia" w:hAnsi="Georgia"/>
          <w:b/>
          <w:bCs/>
          <w:sz w:val="24"/>
          <w:szCs w:val="24"/>
        </w:rPr>
        <w:t xml:space="preserve">Ritchhart, R. </w:t>
      </w:r>
      <w:r>
        <w:rPr>
          <w:rFonts w:ascii="Georgia" w:cs="Georgia" w:eastAsia="Georgia" w:hAnsi="Georgia"/>
          <w:sz w:val="24"/>
          <w:szCs w:val="24"/>
        </w:rPr>
        <w:t xml:space="preserve">(2002). </w:t>
      </w:r>
      <w:r>
        <w:rPr>
          <w:rFonts w:ascii="Georgia" w:cs="Georgia" w:eastAsia="Georgia" w:hAnsi="Georgia"/>
          <w:i/>
          <w:iCs/>
          <w:sz w:val="24"/>
          <w:szCs w:val="24"/>
        </w:rPr>
        <w:t xml:space="preserve">Intellectual character.</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Selwyn, N. </w:t>
      </w:r>
      <w:r>
        <w:rPr>
          <w:rFonts w:ascii="Georgia" w:cs="Georgia" w:eastAsia="Georgia" w:hAnsi="Georgia"/>
          <w:sz w:val="24"/>
          <w:szCs w:val="24"/>
        </w:rPr>
        <w:t xml:space="preserve">(2019). </w:t>
      </w:r>
      <w:r>
        <w:rPr>
          <w:rFonts w:ascii="Georgia" w:cs="Georgia" w:eastAsia="Georgia" w:hAnsi="Georgia"/>
          <w:i/>
          <w:iCs/>
          <w:sz w:val="24"/>
          <w:szCs w:val="24"/>
        </w:rPr>
        <w:t xml:space="preserve">Should robots replace teachers?</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Wiggins, G. </w:t>
      </w:r>
      <w:r>
        <w:rPr>
          <w:rFonts w:ascii="Georgia" w:cs="Georgia" w:eastAsia="Georgia" w:hAnsi="Georgia"/>
          <w:sz w:val="24"/>
          <w:szCs w:val="24"/>
        </w:rPr>
        <w:t xml:space="preserve">(1998). </w:t>
      </w:r>
      <w:r>
        <w:rPr>
          <w:rFonts w:ascii="Georgia" w:cs="Georgia" w:eastAsia="Georgia" w:hAnsi="Georgia"/>
          <w:i/>
          <w:iCs/>
          <w:sz w:val="24"/>
          <w:szCs w:val="24"/>
        </w:rPr>
        <w:t xml:space="preserve">Educative assessment.</w:t>
      </w:r>
      <w:r>
        <w:rPr>
          <w:rFonts w:ascii="Georgia" w:cs="Georgia" w:eastAsia="Georgia" w:hAnsi="Georgia"/>
          <w:sz w:val="24"/>
          <w:szCs w:val="24"/>
        </w:rPr>
        <w:t xml:space="preserve"> Jossey-Bass.</w:t>
      </w:r>
    </w:p>
    <w:p>
      <w:pPr>
        <w:keepLines/>
        <w:spacing w:after="160" w:line="280"/>
      </w:pPr>
      <w:r>
        <w:rPr>
          <w:rFonts w:ascii="Georgia" w:cs="Georgia" w:eastAsia="Georgia" w:hAnsi="Georgia"/>
          <w:b/>
          <w:bCs/>
          <w:sz w:val="24"/>
          <w:szCs w:val="24"/>
        </w:rPr>
        <w:t xml:space="preserve">Whitman, G., &amp; Kelleher, I. </w:t>
      </w:r>
      <w:r>
        <w:rPr>
          <w:rFonts w:ascii="Georgia" w:cs="Georgia" w:eastAsia="Georgia" w:hAnsi="Georgia"/>
          <w:sz w:val="24"/>
          <w:szCs w:val="24"/>
        </w:rPr>
        <w:t xml:space="preserve">(2016). </w:t>
      </w:r>
      <w:r>
        <w:rPr>
          <w:rFonts w:ascii="Georgia" w:cs="Georgia" w:eastAsia="Georgia" w:hAnsi="Georgia"/>
          <w:i/>
          <w:iCs/>
          <w:sz w:val="24"/>
          <w:szCs w:val="24"/>
        </w:rPr>
        <w:t xml:space="preserve">Neuroteach.</w:t>
      </w:r>
      <w:r>
        <w:rPr>
          <w:rFonts w:ascii="Georgia" w:cs="Georgia" w:eastAsia="Georgia" w:hAnsi="Georgia"/>
          <w:sz w:val="24"/>
          <w:szCs w:val="24"/>
        </w:rPr>
        <w:t xml:space="preserve"> Rowman &amp; Littlefield.</w:t>
      </w:r>
    </w:p>
    <w:p>
      <w:pPr>
        <w:keepLines/>
        <w:spacing w:after="160" w:line="280"/>
      </w:pPr>
      <w:r>
        <w:rPr>
          <w:rFonts w:ascii="Georgia" w:cs="Georgia" w:eastAsia="Georgia" w:hAnsi="Georgia"/>
          <w:b/>
          <w:bCs/>
          <w:sz w:val="24"/>
          <w:szCs w:val="24"/>
        </w:rPr>
        <w:t xml:space="preserve">Winner, L. </w:t>
      </w:r>
      <w:r>
        <w:rPr>
          <w:rFonts w:ascii="Georgia" w:cs="Georgia" w:eastAsia="Georgia" w:hAnsi="Georgia"/>
          <w:sz w:val="24"/>
          <w:szCs w:val="24"/>
        </w:rPr>
        <w:t xml:space="preserve">(1980). Do artifacts have politics? </w:t>
      </w:r>
      <w:r>
        <w:rPr>
          <w:rFonts w:ascii="Georgia" w:cs="Georgia" w:eastAsia="Georgia" w:hAnsi="Georgia"/>
          <w:i/>
          <w:iCs/>
          <w:sz w:val="24"/>
          <w:szCs w:val="24"/>
        </w:rPr>
        <w:t xml:space="preserve">Daedalus, 109</w:t>
      </w:r>
      <w:r>
        <w:rPr>
          <w:rFonts w:ascii="Georgia" w:cs="Georgia" w:eastAsia="Georgia" w:hAnsi="Georgia"/>
          <w:sz w:val="24"/>
          <w:szCs w:val="24"/>
        </w:rPr>
        <w:t xml:space="preserve">(1), 121–136.</w:t>
      </w:r>
    </w:p>
    <w:p>
      <w:pPr>
        <w:pStyle w:val="Heading2"/>
        <w:keepNext/>
        <w:spacing w:after="120" w:before="280"/>
      </w:pPr>
      <w:r>
        <w:rPr>
          <w:rFonts w:ascii="Arial" w:cs="Arial" w:eastAsia="Arial" w:hAnsi="Arial"/>
          <w:b/>
          <w:bCs/>
          <w:color w:val="2E7D8C"/>
          <w:sz w:val="26"/>
          <w:szCs w:val="26"/>
        </w:rPr>
        <w:t xml:space="preserve">AI-TPACK and Extended TPACK Literature</w:t>
      </w:r>
    </w:p>
    <w:p>
      <w:pPr>
        <w:keepLines/>
        <w:spacing w:after="160" w:line="280"/>
      </w:pPr>
      <w:r>
        <w:rPr>
          <w:rFonts w:ascii="Georgia" w:cs="Georgia" w:eastAsia="Georgia" w:hAnsi="Georgia"/>
          <w:b/>
          <w:bCs/>
          <w:sz w:val="24"/>
          <w:szCs w:val="24"/>
        </w:rPr>
        <w:t xml:space="preserve">Celik, I. </w:t>
      </w:r>
      <w:r>
        <w:rPr>
          <w:rFonts w:ascii="Georgia" w:cs="Georgia" w:eastAsia="Georgia" w:hAnsi="Georgia"/>
          <w:sz w:val="24"/>
          <w:szCs w:val="24"/>
        </w:rPr>
        <w:t xml:space="preserve">(2023). Towards intelligent-TPACK. </w:t>
      </w:r>
      <w:r>
        <w:rPr>
          <w:rFonts w:ascii="Georgia" w:cs="Georgia" w:eastAsia="Georgia" w:hAnsi="Georgia"/>
          <w:i/>
          <w:iCs/>
          <w:sz w:val="24"/>
          <w:szCs w:val="24"/>
        </w:rPr>
        <w:t xml:space="preserve">Computers in Human Behavior, 138</w:t>
      </w:r>
      <w:r>
        <w:rPr>
          <w:rFonts w:ascii="Georgia" w:cs="Georgia" w:eastAsia="Georgia" w:hAnsi="Georgia"/>
          <w:sz w:val="24"/>
          <w:szCs w:val="24"/>
        </w:rPr>
        <w:t xml:space="preserve">, 107468.</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(2024). Future research recommendations for transforming higher education with generative AI. </w:t>
      </w:r>
      <w:r>
        <w:rPr>
          <w:rFonts w:ascii="Georgia" w:cs="Georgia" w:eastAsia="Georgia" w:hAnsi="Georgia"/>
          <w:i/>
          <w:iCs/>
          <w:sz w:val="24"/>
          <w:szCs w:val="24"/>
        </w:rPr>
        <w:t xml:space="preserve">Computers and Education: Artificial Intelligence, 6</w:t>
      </w:r>
      <w:r>
        <w:rPr>
          <w:rFonts w:ascii="Georgia" w:cs="Georgia" w:eastAsia="Georgia" w:hAnsi="Georgia"/>
          <w:sz w:val="24"/>
          <w:szCs w:val="24"/>
        </w:rPr>
        <w:t xml:space="preserve">, 100197.</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(2025). Developing I-TPACK framework. </w:t>
      </w:r>
      <w:r>
        <w:rPr>
          <w:rFonts w:ascii="Georgia" w:cs="Georgia" w:eastAsia="Georgia" w:hAnsi="Georgia"/>
          <w:i/>
          <w:iCs/>
          <w:sz w:val="24"/>
          <w:szCs w:val="24"/>
        </w:rPr>
        <w:t xml:space="preserve">Interactive Learning Environments, 33</w:t>
      </w:r>
      <w:r>
        <w:rPr>
          <w:rFonts w:ascii="Georgia" w:cs="Georgia" w:eastAsia="Georgia" w:hAnsi="Georgia"/>
          <w:sz w:val="24"/>
          <w:szCs w:val="24"/>
        </w:rPr>
        <w:t xml:space="preserve">(7), 4189–4192.</w:t>
      </w:r>
    </w:p>
    <w:p>
      <w:pPr>
        <w:keepLines/>
        <w:spacing w:after="160" w:line="280"/>
      </w:pPr>
      <w:r>
        <w:rPr>
          <w:rFonts w:ascii="Georgia" w:cs="Georgia" w:eastAsia="Georgia" w:hAnsi="Georgia"/>
          <w:b/>
          <w:bCs/>
          <w:sz w:val="24"/>
          <w:szCs w:val="24"/>
        </w:rPr>
        <w:t xml:space="preserve">Chiu, T. K. F. </w:t>
      </w:r>
      <w:r>
        <w:rPr>
          <w:rFonts w:ascii="Georgia" w:cs="Georgia" w:eastAsia="Georgia" w:hAnsi="Georgia"/>
          <w:sz w:val="24"/>
          <w:szCs w:val="24"/>
        </w:rPr>
        <w:t xml:space="preserve">(2026). Human-Centric Artificial Intelligence Pedagogy (HCAP) framework. </w:t>
      </w:r>
      <w:r>
        <w:rPr>
          <w:rFonts w:ascii="Georgia" w:cs="Georgia" w:eastAsia="Georgia" w:hAnsi="Georgia"/>
          <w:i/>
          <w:iCs/>
          <w:sz w:val="24"/>
          <w:szCs w:val="24"/>
        </w:rPr>
        <w:t xml:space="preserve">Interactive Learning Environments.</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Lin, C.-J., &amp; Tan, S. C. </w:t>
      </w:r>
      <w:r>
        <w:rPr>
          <w:rFonts w:ascii="Georgia" w:cs="Georgia" w:eastAsia="Georgia" w:hAnsi="Georgia"/>
          <w:sz w:val="24"/>
          <w:szCs w:val="24"/>
        </w:rPr>
        <w:t xml:space="preserve">(2024). Rethinking assessment in the age of AI. </w:t>
      </w:r>
      <w:r>
        <w:rPr>
          <w:rFonts w:ascii="Georgia" w:cs="Georgia" w:eastAsia="Georgia" w:hAnsi="Georgia"/>
          <w:i/>
          <w:iCs/>
          <w:sz w:val="24"/>
          <w:szCs w:val="24"/>
        </w:rPr>
        <w:t xml:space="preserve">Educational Technology &amp; Society.</w:t>
      </w:r>
    </w:p>
    <w:p>
      <w:pPr>
        <w:keepLines/>
        <w:spacing w:after="160" w:line="280"/>
      </w:pPr>
      <w:r>
        <w:rPr>
          <w:rFonts w:ascii="Georgia" w:cs="Georgia" w:eastAsia="Georgia" w:hAnsi="Georgia"/>
          <w:b/>
          <w:bCs/>
          <w:sz w:val="24"/>
          <w:szCs w:val="24"/>
        </w:rPr>
        <w:t xml:space="preserve">Hanifah, N., et al. </w:t>
      </w:r>
      <w:r>
        <w:rPr>
          <w:rFonts w:ascii="Georgia" w:cs="Georgia" w:eastAsia="Georgia" w:hAnsi="Georgia"/>
          <w:sz w:val="24"/>
          <w:szCs w:val="24"/>
        </w:rPr>
        <w:t xml:space="preserve">(2026). Triadic TPACK framework: Intended, enacted, and reflected technology integration in mathematics classrooms. </w:t>
      </w:r>
      <w:r>
        <w:rPr>
          <w:rFonts w:ascii="Georgia" w:cs="Georgia" w:eastAsia="Georgia" w:hAnsi="Georgia"/>
          <w:i/>
          <w:iCs/>
          <w:sz w:val="24"/>
          <w:szCs w:val="24"/>
        </w:rPr>
        <w:t xml:space="preserve">Journal of Educational Technology Research and Development.</w:t>
      </w:r>
      <w:r>
        <w:rPr>
          <w:rFonts w:ascii="Georgia" w:cs="Georgia" w:eastAsia="Georgia" w:hAnsi="Georgia"/>
          <w:sz w:val="24"/>
          <w:szCs w:val="24"/>
        </w:rPr>
        <w:t xml:space="preserve"> Advance online publication.</w:t>
      </w:r>
    </w:p>
    <w:p>
      <w:pPr>
        <w:keepLines/>
        <w:spacing w:after="160" w:line="280"/>
      </w:pPr>
      <w:r>
        <w:rPr>
          <w:rFonts w:ascii="Georgia" w:cs="Georgia" w:eastAsia="Georgia" w:hAnsi="Georgia"/>
          <w:b/>
          <w:bCs/>
          <w:sz w:val="24"/>
          <w:szCs w:val="24"/>
        </w:rPr>
        <w:t xml:space="preserve">Meishar-Tal, H., Gedge, M., &amp; Levin, E. </w:t>
      </w:r>
      <w:r>
        <w:rPr>
          <w:rFonts w:ascii="Georgia" w:cs="Georgia" w:eastAsia="Georgia" w:hAnsi="Georgia"/>
          <w:sz w:val="24"/>
          <w:szCs w:val="24"/>
        </w:rPr>
        <w:t xml:space="preserve">(2025). Teachers’ use of generative AI. </w:t>
      </w:r>
      <w:r>
        <w:rPr>
          <w:rFonts w:ascii="Georgia" w:cs="Georgia" w:eastAsia="Georgia" w:hAnsi="Georgia"/>
          <w:i/>
          <w:iCs/>
          <w:sz w:val="24"/>
          <w:szCs w:val="24"/>
        </w:rPr>
        <w:t xml:space="preserve">Journal of Digital Learning in Teacher Education, 42</w:t>
      </w:r>
      <w:r>
        <w:rPr>
          <w:rFonts w:ascii="Georgia" w:cs="Georgia" w:eastAsia="Georgia" w:hAnsi="Georgia"/>
          <w:sz w:val="24"/>
          <w:szCs w:val="24"/>
        </w:rPr>
        <w:t xml:space="preserve">(1), 1–12.</w:t>
      </w:r>
    </w:p>
    <w:p>
      <w:pPr>
        <w:keepLines/>
        <w:spacing w:after="160" w:line="280"/>
      </w:pPr>
      <w:r>
        <w:rPr>
          <w:rFonts w:ascii="Georgia" w:cs="Georgia" w:eastAsia="Georgia" w:hAnsi="Georgia"/>
          <w:b/>
          <w:bCs/>
          <w:sz w:val="24"/>
          <w:szCs w:val="24"/>
        </w:rPr>
        <w:t xml:space="preserve">Porras-Hernández, L. H., &amp; Salinas-Amescua, B. </w:t>
      </w:r>
      <w:r>
        <w:rPr>
          <w:rFonts w:ascii="Georgia" w:cs="Georgia" w:eastAsia="Georgia" w:hAnsi="Georgia"/>
          <w:sz w:val="24"/>
          <w:szCs w:val="24"/>
        </w:rPr>
        <w:t xml:space="preserve">(2013). Strengthening TPACK. </w:t>
      </w:r>
      <w:r>
        <w:rPr>
          <w:rFonts w:ascii="Georgia" w:cs="Georgia" w:eastAsia="Georgia" w:hAnsi="Georgia"/>
          <w:i/>
          <w:iCs/>
          <w:sz w:val="24"/>
          <w:szCs w:val="24"/>
        </w:rPr>
        <w:t xml:space="preserve">Journal of Educational Computing Research, 48</w:t>
      </w:r>
      <w:r>
        <w:rPr>
          <w:rFonts w:ascii="Georgia" w:cs="Georgia" w:eastAsia="Georgia" w:hAnsi="Georgia"/>
          <w:sz w:val="24"/>
          <w:szCs w:val="24"/>
        </w:rPr>
        <w:t xml:space="preserve">(2), 223–244.</w:t>
      </w:r>
    </w:p>
    <w:p>
      <w:pPr>
        <w:keepLines/>
        <w:spacing w:after="160" w:line="280"/>
      </w:pPr>
      <w:r>
        <w:rPr>
          <w:rFonts w:ascii="Georgia" w:cs="Georgia" w:eastAsia="Georgia" w:hAnsi="Georgia"/>
          <w:b/>
          <w:bCs/>
          <w:sz w:val="24"/>
          <w:szCs w:val="24"/>
        </w:rPr>
        <w:t xml:space="preserve">Warr, M., &amp; Heath, M. K. </w:t>
      </w:r>
      <w:r>
        <w:rPr>
          <w:rFonts w:ascii="Georgia" w:cs="Georgia" w:eastAsia="Georgia" w:hAnsi="Georgia"/>
          <w:sz w:val="24"/>
          <w:szCs w:val="24"/>
        </w:rPr>
        <w:t xml:space="preserve">(2022). Unpacking the relationship between technology and learning. </w:t>
      </w:r>
      <w:r>
        <w:rPr>
          <w:rFonts w:ascii="Georgia" w:cs="Georgia" w:eastAsia="Georgia" w:hAnsi="Georgia"/>
          <w:i/>
          <w:iCs/>
          <w:sz w:val="24"/>
          <w:szCs w:val="24"/>
        </w:rPr>
        <w:t xml:space="preserve">Journal of Research on Technology in Education, 54</w:t>
      </w:r>
      <w:r>
        <w:rPr>
          <w:rFonts w:ascii="Georgia" w:cs="Georgia" w:eastAsia="Georgia" w:hAnsi="Georgia"/>
          <w:sz w:val="24"/>
          <w:szCs w:val="24"/>
        </w:rPr>
        <w:t xml:space="preserve">(2), 203–218.</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(2023). </w:t>
      </w:r>
      <w:r>
        <w:rPr>
          <w:rFonts w:ascii="Georgia" w:cs="Georgia" w:eastAsia="Georgia" w:hAnsi="Georgia"/>
          <w:i/>
          <w:iCs/>
          <w:sz w:val="24"/>
          <w:szCs w:val="24"/>
        </w:rPr>
        <w:t xml:space="preserve">Guidance for generative AI in education and research.</w:t>
      </w:r>
      <w:r>
        <w:rPr>
          <w:rFonts w:ascii="Georgia" w:cs="Georgia" w:eastAsia="Georgia" w:hAnsi="Georgia"/>
          <w:sz w:val="24"/>
          <w:szCs w:val="24"/>
        </w:rPr>
        <w:t xml:space="preserve"> UNESCO Publishing.</w:t>
      </w:r>
    </w:p>
    <w:p>
      <w:pPr>
        <w:keepLines/>
        <w:spacing w:after="160" w:line="280"/>
      </w:pPr>
      <w:r>
        <w:rPr>
          <w:rFonts w:ascii="Georgia" w:cs="Georgia" w:eastAsia="Georgia" w:hAnsi="Georgia"/>
          <w:b/>
          <w:bCs/>
          <w:sz w:val="24"/>
          <w:szCs w:val="24"/>
        </w:rPr>
        <w:t xml:space="preserve">UNESCO. </w:t>
      </w:r>
      <w:r>
        <w:rPr>
          <w:rFonts w:ascii="Georgia" w:cs="Georgia" w:eastAsia="Georgia" w:hAnsi="Georgia"/>
          <w:sz w:val="24"/>
          <w:szCs w:val="24"/>
        </w:rPr>
        <w:t xml:space="preserve">(2024). </w:t>
      </w:r>
      <w:r>
        <w:rPr>
          <w:rFonts w:ascii="Georgia" w:cs="Georgia" w:eastAsia="Georgia" w:hAnsi="Georgia"/>
          <w:i/>
          <w:iCs/>
          <w:sz w:val="24"/>
          <w:szCs w:val="24"/>
        </w:rPr>
        <w:t xml:space="preserve">AI competency framework for teachers.</w:t>
      </w:r>
      <w:r>
        <w:rPr>
          <w:rFonts w:ascii="Georgia" w:cs="Georgia" w:eastAsia="Georgia" w:hAnsi="Georgia"/>
          <w:sz w:val="24"/>
          <w:szCs w:val="24"/>
        </w:rPr>
        <w:t xml:space="preserve"> UNESCO.</w:t>
      </w:r>
    </w:p>
    <w:p>
      <w:pPr>
        <w:pStyle w:val="Heading2"/>
        <w:keepNext/>
        <w:spacing w:after="120" w:before="280"/>
      </w:pPr>
      <w:r>
        <w:rPr>
          <w:rFonts w:ascii="Arial" w:cs="Arial" w:eastAsia="Arial" w:hAnsi="Arial"/>
          <w:b/>
          <w:bCs/>
          <w:color w:val="2E7D8C"/>
          <w:sz w:val="26"/>
          <w:szCs w:val="26"/>
        </w:rPr>
        <w:t xml:space="preserve">Assessment Validity and Equity</w:t>
      </w:r>
    </w:p>
    <w:p>
      <w:pPr>
        <w:keepLines/>
        <w:spacing w:after="160" w:line="280"/>
      </w:pPr>
      <w:r>
        <w:rPr>
          <w:rFonts w:ascii="Georgia" w:cs="Georgia" w:eastAsia="Georgia" w:hAnsi="Georgia"/>
          <w:b/>
          <w:bCs/>
          <w:sz w:val="24"/>
          <w:szCs w:val="24"/>
        </w:rPr>
        <w:t xml:space="preserve">Benjamin, R. </w:t>
      </w:r>
      <w:r>
        <w:rPr>
          <w:rFonts w:ascii="Georgia" w:cs="Georgia" w:eastAsia="Georgia" w:hAnsi="Georgia"/>
          <w:sz w:val="24"/>
          <w:szCs w:val="24"/>
        </w:rPr>
        <w:t xml:space="preserve">(2019). </w:t>
      </w:r>
      <w:r>
        <w:rPr>
          <w:rFonts w:ascii="Georgia" w:cs="Georgia" w:eastAsia="Georgia" w:hAnsi="Georgia"/>
          <w:i/>
          <w:iCs/>
          <w:sz w:val="24"/>
          <w:szCs w:val="24"/>
        </w:rPr>
        <w:t xml:space="preserve">Race after technology.</w:t>
      </w:r>
      <w:r>
        <w:rPr>
          <w:rFonts w:ascii="Georgia" w:cs="Georgia" w:eastAsia="Georgia" w:hAnsi="Georgia"/>
          <w:sz w:val="24"/>
          <w:szCs w:val="24"/>
        </w:rPr>
        <w:t xml:space="preserve"> Polity Press.</w:t>
      </w:r>
    </w:p>
    <w:p>
      <w:pPr>
        <w:keepLines/>
        <w:spacing w:after="160" w:line="280"/>
      </w:pPr>
      <w:r>
        <w:rPr>
          <w:rFonts w:ascii="Georgia" w:cs="Georgia" w:eastAsia="Georgia" w:hAnsi="Georgia"/>
          <w:b/>
          <w:bCs/>
          <w:sz w:val="24"/>
          <w:szCs w:val="24"/>
        </w:rPr>
        <w:t xml:space="preserve">Birhane, A. </w:t>
      </w:r>
      <w:r>
        <w:rPr>
          <w:rFonts w:ascii="Georgia" w:cs="Georgia" w:eastAsia="Georgia" w:hAnsi="Georgia"/>
          <w:sz w:val="24"/>
          <w:szCs w:val="24"/>
        </w:rPr>
        <w:t xml:space="preserve">(2021). Algorithmic injustice. </w:t>
      </w:r>
      <w:r>
        <w:rPr>
          <w:rFonts w:ascii="Georgia" w:cs="Georgia" w:eastAsia="Georgia" w:hAnsi="Georgia"/>
          <w:i/>
          <w:iCs/>
          <w:sz w:val="24"/>
          <w:szCs w:val="24"/>
        </w:rPr>
        <w:t xml:space="preserve">Patterns, 2</w:t>
      </w:r>
      <w:r>
        <w:rPr>
          <w:rFonts w:ascii="Georgia" w:cs="Georgia" w:eastAsia="Georgia" w:hAnsi="Georgia"/>
          <w:sz w:val="24"/>
          <w:szCs w:val="24"/>
        </w:rPr>
        <w:t xml:space="preserve">(2), Article 100205.</w:t>
      </w:r>
    </w:p>
    <w:p>
      <w:pPr>
        <w:keepLines/>
        <w:spacing w:after="160" w:line="280"/>
      </w:pPr>
      <w:r>
        <w:rPr>
          <w:rFonts w:ascii="Georgia" w:cs="Georgia" w:eastAsia="Georgia" w:hAnsi="Georgia"/>
          <w:b/>
          <w:bCs/>
          <w:sz w:val="24"/>
          <w:szCs w:val="24"/>
        </w:rPr>
        <w:t xml:space="preserve">Guerrero-Dib, J. G., Portales, L., &amp; Heredia-Escorza, Y. </w:t>
      </w:r>
      <w:r>
        <w:rPr>
          <w:rFonts w:ascii="Georgia" w:cs="Georgia" w:eastAsia="Georgia" w:hAnsi="Georgia"/>
          <w:sz w:val="24"/>
          <w:szCs w:val="24"/>
        </w:rPr>
        <w:t xml:space="preserve">(2020). Impact of academic integrity on workplace ethical behaviour. </w:t>
      </w:r>
      <w:r>
        <w:rPr>
          <w:rFonts w:ascii="Georgia" w:cs="Georgia" w:eastAsia="Georgia" w:hAnsi="Georgia"/>
          <w:i/>
          <w:iCs/>
          <w:sz w:val="24"/>
          <w:szCs w:val="24"/>
        </w:rPr>
        <w:t xml:space="preserve">International Journal for Educational Integrity, 16</w:t>
      </w:r>
      <w:r>
        <w:rPr>
          <w:rFonts w:ascii="Georgia" w:cs="Georgia" w:eastAsia="Georgia" w:hAnsi="Georgia"/>
          <w:sz w:val="24"/>
          <w:szCs w:val="24"/>
        </w:rPr>
        <w:t xml:space="preserve">, Article 2.</w:t>
      </w:r>
    </w:p>
    <w:p>
      <w:pPr>
        <w:keepLines/>
        <w:spacing w:after="160" w:line="280"/>
      </w:pPr>
      <w:r>
        <w:rPr>
          <w:rFonts w:ascii="Georgia" w:cs="Georgia" w:eastAsia="Georgia" w:hAnsi="Georgia"/>
          <w:b/>
          <w:bCs/>
          <w:sz w:val="24"/>
          <w:szCs w:val="24"/>
        </w:rPr>
        <w:t xml:space="preserve">Guerrero-Dib, J. G., Portales, L., &amp; Gallego, D. </w:t>
      </w:r>
      <w:r>
        <w:rPr>
          <w:rFonts w:ascii="Georgia" w:cs="Georgia" w:eastAsia="Georgia" w:hAnsi="Georgia"/>
          <w:sz w:val="24"/>
          <w:szCs w:val="24"/>
        </w:rPr>
        <w:t xml:space="preserve">(2023). Academic integrity as a way to promote workplace ethical behaviour. In G. J. Curtis (Ed.), </w:t>
      </w:r>
      <w:r>
        <w:rPr>
          <w:rFonts w:ascii="Georgia" w:cs="Georgia" w:eastAsia="Georgia" w:hAnsi="Georgia"/>
          <w:i/>
          <w:iCs/>
          <w:sz w:val="24"/>
          <w:szCs w:val="24"/>
        </w:rPr>
        <w:t xml:space="preserve">Academic integrity in the social sciences</w:t>
      </w:r>
      <w:r>
        <w:rPr>
          <w:rFonts w:ascii="Georgia" w:cs="Georgia" w:eastAsia="Georgia" w:hAnsi="Georgia"/>
          <w:sz w:val="24"/>
          <w:szCs w:val="24"/>
        </w:rPr>
        <w:t xml:space="preserve"> (pp. 165–183). Springer.</w:t>
      </w:r>
    </w:p>
    <w:p>
      <w:pPr>
        <w:keepLines/>
        <w:spacing w:after="160" w:line="280"/>
      </w:pPr>
      <w:r>
        <w:rPr>
          <w:rFonts w:ascii="Georgia" w:cs="Georgia" w:eastAsia="Georgia" w:hAnsi="Georgia"/>
          <w:b/>
          <w:bCs/>
          <w:sz w:val="24"/>
          <w:szCs w:val="24"/>
        </w:rPr>
        <w:t xml:space="preserve">Holstein, K., &amp; Doroudi, S. </w:t>
      </w:r>
      <w:r>
        <w:rPr>
          <w:rFonts w:ascii="Georgia" w:cs="Georgia" w:eastAsia="Georgia" w:hAnsi="Georgia"/>
          <w:sz w:val="24"/>
          <w:szCs w:val="24"/>
        </w:rPr>
        <w:t xml:space="preserve">(2022). Equity and artificial intelligence in education. In W. Holmes &amp; K. Porayska-Pomsta (Eds.), </w:t>
      </w:r>
      <w:r>
        <w:rPr>
          <w:rFonts w:ascii="Georgia" w:cs="Georgia" w:eastAsia="Georgia" w:hAnsi="Georgia"/>
          <w:i/>
          <w:iCs/>
          <w:sz w:val="24"/>
          <w:szCs w:val="24"/>
        </w:rPr>
        <w:t xml:space="preserve">The ethics of artificial intelligence in education</w:t>
      </w:r>
      <w:r>
        <w:rPr>
          <w:rFonts w:ascii="Georgia" w:cs="Georgia" w:eastAsia="Georgia" w:hAnsi="Georgia"/>
          <w:sz w:val="24"/>
          <w:szCs w:val="24"/>
        </w:rPr>
        <w:t xml:space="preserve"> (pp. 152–173). Routledge.</w:t>
      </w:r>
    </w:p>
    <w:p>
      <w:pPr>
        <w:keepLines/>
        <w:spacing w:after="160" w:line="280"/>
      </w:pPr>
      <w:r>
        <w:rPr>
          <w:rFonts w:ascii="Georgia" w:cs="Georgia" w:eastAsia="Georgia" w:hAnsi="Georgia"/>
          <w:b/>
          <w:bCs/>
          <w:sz w:val="24"/>
          <w:szCs w:val="24"/>
        </w:rPr>
        <w:t xml:space="preserve">Perkins, M., Furze, L., Roe, J., &amp; MacVaugh, J. </w:t>
      </w:r>
      <w:r>
        <w:rPr>
          <w:rFonts w:ascii="Georgia" w:cs="Georgia" w:eastAsia="Georgia" w:hAnsi="Georgia"/>
          <w:sz w:val="24"/>
          <w:szCs w:val="24"/>
        </w:rPr>
        <w:t xml:space="preserve">(2024). The AIAS framework. </w:t>
      </w:r>
      <w:r>
        <w:rPr>
          <w:rFonts w:ascii="Georgia" w:cs="Georgia" w:eastAsia="Georgia" w:hAnsi="Georgia"/>
          <w:i/>
          <w:iCs/>
          <w:sz w:val="24"/>
          <w:szCs w:val="24"/>
        </w:rPr>
        <w:t xml:space="preserve">Journal of University Teaching and Learning Practice, 21</w:t>
      </w:r>
      <w:r>
        <w:rPr>
          <w:rFonts w:ascii="Georgia" w:cs="Georgia" w:eastAsia="Georgia" w:hAnsi="Georgia"/>
          <w:sz w:val="24"/>
          <w:szCs w:val="24"/>
        </w:rPr>
        <w:t xml:space="preserve">(6).</w:t>
      </w:r>
    </w:p>
    <w:p>
      <w:pPr>
        <w:keepLines/>
        <w:spacing w:after="160" w:line="280"/>
      </w:pPr>
      <w:r>
        <w:rPr>
          <w:rFonts w:ascii="Georgia" w:cs="Georgia" w:eastAsia="Georgia" w:hAnsi="Georgia"/>
          <w:b/>
          <w:bCs/>
          <w:sz w:val="24"/>
          <w:szCs w:val="24"/>
        </w:rPr>
        <w:t xml:space="preserve">Perkins, M., Roe, J., &amp; Furze, L. </w:t>
      </w:r>
      <w:r>
        <w:rPr>
          <w:rFonts w:ascii="Georgia" w:cs="Georgia" w:eastAsia="Georgia" w:hAnsi="Georgia"/>
          <w:sz w:val="24"/>
          <w:szCs w:val="24"/>
        </w:rPr>
        <w:t xml:space="preserve">(2025). How (not) to use the AI Assessment Scale. </w:t>
      </w:r>
      <w:r>
        <w:rPr>
          <w:rFonts w:ascii="Georgia" w:cs="Georgia" w:eastAsia="Georgia" w:hAnsi="Georgia"/>
          <w:i/>
          <w:iCs/>
          <w:sz w:val="24"/>
          <w:szCs w:val="24"/>
        </w:rPr>
        <w:t xml:space="preserve">Journal of Applied Learning &amp; Teaching, 8</w:t>
      </w:r>
      <w:r>
        <w:rPr>
          <w:rFonts w:ascii="Georgia" w:cs="Georgia" w:eastAsia="Georgia" w:hAnsi="Georgia"/>
          <w:sz w:val="24"/>
          <w:szCs w:val="24"/>
        </w:rPr>
        <w:t xml:space="preserve">(2), 14–23.</w:t>
      </w:r>
    </w:p>
    <w:p>
      <w:pPr>
        <w:keepLines/>
        <w:spacing w:after="160" w:line="280"/>
      </w:pPr>
      <w:r>
        <w:rPr>
          <w:rFonts w:ascii="Georgia" w:cs="Georgia" w:eastAsia="Georgia" w:hAnsi="Georgia"/>
          <w:b/>
          <w:bCs/>
          <w:sz w:val="24"/>
          <w:szCs w:val="24"/>
        </w:rPr>
        <w:t xml:space="preserve">Schmidt, D. A., et al. </w:t>
      </w:r>
      <w:r>
        <w:rPr>
          <w:rFonts w:ascii="Georgia" w:cs="Georgia" w:eastAsia="Georgia" w:hAnsi="Georgia"/>
          <w:sz w:val="24"/>
          <w:szCs w:val="24"/>
        </w:rPr>
        <w:t xml:space="preserve">(2009). TPACK: The development and validation of an assessment instrument. </w:t>
      </w:r>
      <w:r>
        <w:rPr>
          <w:rFonts w:ascii="Georgia" w:cs="Georgia" w:eastAsia="Georgia" w:hAnsi="Georgia"/>
          <w:i/>
          <w:iCs/>
          <w:sz w:val="24"/>
          <w:szCs w:val="24"/>
        </w:rPr>
        <w:t xml:space="preserve">Journal of Research on Technology in Education, 42</w:t>
      </w:r>
      <w:r>
        <w:rPr>
          <w:rFonts w:ascii="Georgia" w:cs="Georgia" w:eastAsia="Georgia" w:hAnsi="Georgia"/>
          <w:sz w:val="24"/>
          <w:szCs w:val="24"/>
        </w:rPr>
        <w:t xml:space="preserve">(2), 123–149.</w:t>
      </w:r>
    </w:p>
    <w:p>
      <w:pPr>
        <w:pStyle w:val="Heading2"/>
        <w:keepNext/>
        <w:spacing w:after="120" w:before="280"/>
      </w:pPr>
      <w:r>
        <w:rPr>
          <w:rFonts w:ascii="Arial" w:cs="Arial" w:eastAsia="Arial" w:hAnsi="Arial"/>
          <w:b/>
          <w:bCs/>
          <w:color w:val="2E7D8C"/>
          <w:sz w:val="26"/>
          <w:szCs w:val="26"/>
        </w:rPr>
        <w:t xml:space="preserve">Internal Frameworks and CNG Sources</w:t>
      </w:r>
    </w:p>
    <w:p>
      <w:pPr>
        <w:keepLines/>
        <w:spacing w:after="160" w:line="280"/>
      </w:pPr>
      <w:r>
        <w:rPr>
          <w:rFonts w:ascii="Georgia" w:cs="Georgia" w:eastAsia="Georgia" w:hAnsi="Georgia"/>
          <w:b/>
          <w:bCs/>
          <w:sz w:val="24"/>
          <w:szCs w:val="24"/>
        </w:rPr>
        <w:t xml:space="preserve">Cajina, A. </w:t>
      </w:r>
      <w:r>
        <w:rPr>
          <w:rFonts w:ascii="Georgia" w:cs="Georgia" w:eastAsia="Georgia" w:hAnsi="Georgia"/>
          <w:sz w:val="24"/>
          <w:szCs w:val="24"/>
        </w:rPr>
        <w:t xml:space="preserve">(2026). </w:t>
      </w:r>
      <w:r>
        <w:rPr>
          <w:rFonts w:ascii="Georgia" w:cs="Georgia" w:eastAsia="Georgia" w:hAnsi="Georgia"/>
          <w:i/>
          <w:iCs/>
          <w:sz w:val="24"/>
          <w:szCs w:val="24"/>
        </w:rPr>
        <w:t xml:space="preserve">Visible Reasoning in AI (VRA) Framework.</w:t>
      </w:r>
      <w:r>
        <w:rPr>
          <w:rFonts w:ascii="Georgia" w:cs="Georgia" w:eastAsia="Georgia" w:hAnsi="Georgia"/>
          <w:sz w:val="24"/>
          <w:szCs w:val="24"/>
        </w:rPr>
        <w:t xml:space="preserve"> Unpublished manuscript, University of Calgary, Werklund School of Education.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(2025a). </w:t>
      </w:r>
      <w:r>
        <w:rPr>
          <w:rFonts w:ascii="Georgia" w:cs="Georgia" w:eastAsia="Georgia" w:hAnsi="Georgia"/>
          <w:i/>
          <w:iCs/>
          <w:sz w:val="24"/>
          <w:szCs w:val="24"/>
        </w:rPr>
        <w:t xml:space="preserve">Our vision, mission, and philosophy.</w:t>
      </w:r>
      <w:r>
        <w:rPr>
          <w:rFonts w:ascii="Georgia" w:cs="Georgia" w:eastAsia="Georgia" w:hAnsi="Georgia"/>
          <w:sz w:val="24"/>
          <w:szCs w:val="24"/>
        </w:rPr>
        <w:t xml:space="preserve"> cng.edu/discover-cng/our-vision-mission-philosophy</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(2025b). </w:t>
      </w:r>
      <w:r>
        <w:rPr>
          <w:rFonts w:ascii="Georgia" w:cs="Georgia" w:eastAsia="Georgia" w:hAnsi="Georgia"/>
          <w:i/>
          <w:iCs/>
          <w:sz w:val="24"/>
          <w:szCs w:val="24"/>
        </w:rPr>
        <w:t xml:space="preserve">Technology and learning spaces.</w:t>
      </w:r>
      <w:r>
        <w:rPr>
          <w:rFonts w:ascii="Georgia" w:cs="Georgia" w:eastAsia="Georgia" w:hAnsi="Georgia"/>
          <w:sz w:val="24"/>
          <w:szCs w:val="24"/>
        </w:rPr>
        <w:t xml:space="preserve"> cng.edu/technology-innovation</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(2025c). </w:t>
      </w:r>
      <w:r>
        <w:rPr>
          <w:rFonts w:ascii="Georgia" w:cs="Georgia" w:eastAsia="Georgia" w:hAnsi="Georgia"/>
          <w:i/>
          <w:iCs/>
          <w:sz w:val="24"/>
          <w:szCs w:val="24"/>
        </w:rPr>
        <w:t xml:space="preserve">CNG AI Framework.</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(2025d). </w:t>
      </w:r>
      <w:r>
        <w:rPr>
          <w:rFonts w:ascii="Georgia" w:cs="Georgia" w:eastAsia="Georgia" w:hAnsi="Georgia"/>
          <w:i/>
          <w:iCs/>
          <w:sz w:val="24"/>
          <w:szCs w:val="24"/>
        </w:rPr>
        <w:t xml:space="preserve">SAIL Framework: Student AI Levels.</w:t>
      </w:r>
      <w:r>
        <w:rPr>
          <w:rFonts w:ascii="Georgia" w:cs="Georgia" w:eastAsia="Georgia" w:hAnsi="Georgia"/>
          <w:sz w:val="24"/>
          <w:szCs w:val="24"/>
        </w:rPr>
        <w:t xml:space="preserve"> Internal document.</w:t>
      </w:r>
    </w:p>
    <w:p>
      <w:pPr>
        <w:keepLines/>
        <w:spacing w:after="160" w:line="280"/>
      </w:pPr>
      <w:r>
        <w:rPr>
          <w:rFonts w:ascii="Georgia" w:cs="Georgia" w:eastAsia="Georgia" w:hAnsi="Georgia"/>
          <w:b/>
          <w:bCs/>
          <w:sz w:val="24"/>
          <w:szCs w:val="24"/>
        </w:rPr>
        <w:t xml:space="preserve">Colegio Nueva Granada. </w:t>
      </w:r>
      <w:r>
        <w:rPr>
          <w:rFonts w:ascii="Georgia" w:cs="Georgia" w:eastAsia="Georgia" w:hAnsi="Georgia"/>
          <w:sz w:val="24"/>
          <w:szCs w:val="24"/>
        </w:rPr>
        <w:t xml:space="preserve">(2026). </w:t>
      </w:r>
      <w:r>
        <w:rPr>
          <w:rFonts w:ascii="Georgia" w:cs="Georgia" w:eastAsia="Georgia" w:hAnsi="Georgia"/>
          <w:i/>
          <w:iCs/>
          <w:sz w:val="24"/>
          <w:szCs w:val="24"/>
        </w:rPr>
        <w:t xml:space="preserve">School Profile 2025–2026.</w:t>
      </w:r>
      <w:r>
        <w:rPr>
          <w:rFonts w:ascii="Georgia" w:cs="Georgia" w:eastAsia="Georgia" w:hAnsi="Georgia"/>
          <w:sz w:val="24"/>
          <w:szCs w:val="24"/>
        </w:rPr>
        <w:t xml:space="preserve"> Bogotá: CNG.</w:t>
      </w:r>
    </w:p>
    <w:p>
      <w:pPr>
        <w:pStyle w:val="Heading1"/>
        <w:pageBreakBefore/>
        <w:pBdr>
          <w:bottom w:val="single" w:color="C9952A" w:sz="6" w:space="4"/>
        </w:pBdr>
        <w:spacing w:after="160" w:before="400"/>
      </w:pPr>
      <w:r>
        <w:rPr>
          <w:rFonts w:ascii="Arial" w:cs="Arial" w:eastAsia="Arial" w:hAnsi="Arial"/>
          <w:b/>
          <w:bCs/>
          <w:color w:val="1B3A5C"/>
          <w:sz w:val="32"/>
          <w:szCs w:val="32"/>
        </w:rPr>
        <w:t xml:space="preserve">Appendices</w:t>
      </w:r>
    </w:p>
    <w:p>
      <w:pPr>
        <w:keepLines/>
        <w:spacing w:after="160" w:line="280"/>
      </w:pPr>
      <w:r>
        <w:rPr>
          <w:rFonts w:ascii="Georgia" w:cs="Georgia" w:eastAsia="Georgia" w:hAnsi="Georgia"/>
          <w:sz w:val="24"/>
          <w:szCs w:val="24"/>
        </w:rPr>
        <w:t xml:space="preserve">Full documentation for all appendices is maintained in the </w:t>
      </w:r>
      <w:r>
        <w:rPr>
          <w:rFonts w:ascii="Georgia" w:cs="Georgia" w:eastAsia="Georgia" w:hAnsi="Georgia"/>
          <w:b/>
          <w:bCs/>
          <w:sz w:val="24"/>
          <w:szCs w:val="24"/>
        </w:rPr>
        <w:t xml:space="preserve">Cognitive Agency Knowledge Hub</w:t>
      </w:r>
      <w:r>
        <w:rPr>
          <w:rFonts w:ascii="Georgia" w:cs="Georgia" w:eastAsia="Georgia" w:hAnsi="Georgia"/>
          <w:sz w:val="24"/>
          <w:szCs w:val="24"/>
        </w:rPr>
        <w:t xml:space="preserve"> (NotebookLM workspace). The following provides a structured overview.</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A — VISTA Protocol — Standalone Assessment Audit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C9952A" w:sz="12"/>
              <w:left w:val="none" w:color="FFFFFF" w:sz="0"/>
              <w:bottom w:val="none" w:color="FFFFFF" w:sz="0"/>
              <w:right w:val="none" w:color="FFFFFF" w:sz="0"/>
            </w:tcBorders>
            <w:shd w:fill="E8F4F6" w:val="clear"/>
            <w:tcMar>
              <w:top w:type="dxa" w:w="160"/>
              <w:left w:type="dxa" w:w="200"/>
              <w:bottom w:type="dxa" w:w="160"/>
              <w:right w:type="dxa" w:w="200"/>
            </w:tcMar>
          </w:tcPr>
          <w:p>
            <w:pPr>
              <w:spacing w:after="80"/>
            </w:pPr>
            <w:r>
              <w:rPr>
                <w:rFonts w:ascii="Arial" w:cs="Arial" w:eastAsia="Arial" w:hAnsi="Arial"/>
                <w:b/>
                <w:bCs/>
                <w:color w:val="1B3A5C"/>
                <w:sz w:val="22"/>
                <w:szCs w:val="22"/>
              </w:rPr>
              <w:t xml:space="preserve">Important Note on VISTA</w:t>
            </w:r>
          </w:p>
          <w:p>
            <w:pPr>
              <w:spacing w:after="0"/>
            </w:pPr>
            <w:r>
              <w:rPr>
                <w:rFonts w:ascii="Georgia" w:cs="Georgia" w:eastAsia="Georgia" w:hAnsi="Georgia"/>
                <w:sz w:val="24"/>
                <w:szCs w:val="24"/>
              </w:rPr>
              <w:t xml:space="preserve">The VISTA Protocol is not presented as an objective measure of learning, agency, or assessment quality. It is a design-thinking tool intended to support professional inquiry. The protocol is unvalidated and context-specific, developed for exploratory use within CNG’s AI-rich environment. Its purpose is to help teachers surface assumptions, identify potential learning vulnerabilities, and guide redesign conversations. Claims derived from the protocol are treated as provisional and interpreted alongside additional evidence sources. Teachers using VISTA are engaged in disciplinary inquiry, not objective measurement.</w:t>
            </w:r>
          </w:p>
        </w:tc>
      </w:tr>
    </w:tbl>
    <w:p>
      <w:pPr>
        <w:keepLines/>
        <w:spacing w:after="160" w:line="280"/>
      </w:pPr>
      <w:r>
        <w:rPr>
          <w:rFonts w:ascii="Georgia" w:cs="Georgia" w:eastAsia="Georgia" w:hAnsi="Georgia"/>
          <w:b/>
          <w:bCs/>
          <w:sz w:val="24"/>
          <w:szCs w:val="24"/>
        </w:rPr>
        <w:t xml:space="preserve">Instrument Structure — Five Components:</w:t>
      </w:r>
    </w:p>
    <w:p>
      <w:pPr>
        <w:pStyle w:val="ListParagraph"/>
        <w:numPr>
          <w:ilvl w:val="0"/>
          <w:numId w:val="2"/>
        </w:numPr>
        <w:spacing w:after="100"/>
      </w:pPr>
      <w:r>
        <w:rPr>
          <w:rFonts w:ascii="Georgia" w:cs="Georgia" w:eastAsia="Georgia" w:hAnsi="Georgia"/>
          <w:b/>
          <w:bCs/>
          <w:sz w:val="24"/>
          <w:szCs w:val="24"/>
        </w:rPr>
        <w:t xml:space="preserve">Entry Question: </w:t>
      </w:r>
      <w:r>
        <w:rPr>
          <w:rFonts w:ascii="Georgia" w:cs="Georgia" w:eastAsia="Georgia" w:hAnsi="Georgia"/>
          <w:sz w:val="24"/>
          <w:szCs w:val="24"/>
        </w:rPr>
        <w:t xml:space="preserve">“If AI completed this task perfectly, what learning would disappear?” — the diagnostic entry point that opens into deeper disciplinary inquiry</w:t>
      </w:r>
    </w:p>
    <w:p>
      <w:pPr>
        <w:pStyle w:val="ListParagraph"/>
        <w:numPr>
          <w:ilvl w:val="0"/>
          <w:numId w:val="2"/>
        </w:numPr>
        <w:spacing w:after="100"/>
      </w:pPr>
      <w:r>
        <w:rPr>
          <w:rFonts w:ascii="Georgia" w:cs="Georgia" w:eastAsia="Georgia" w:hAnsi="Georgia"/>
          <w:b/>
          <w:bCs/>
          <w:sz w:val="24"/>
          <w:szCs w:val="24"/>
        </w:rPr>
        <w:t xml:space="preserve">Learning Vulnerability Classifier: </w:t>
      </w:r>
      <w:r>
        <w:rPr>
          <w:rFonts w:ascii="Georgia" w:cs="Georgia" w:eastAsia="Georgia" w:hAnsi="Georgia"/>
          <w:sz w:val="24"/>
          <w:szCs w:val="24"/>
        </w:rPr>
        <w:t xml:space="preserve">Identifies the type of learning at risk: Procedural (execution and fluency), Conceptual (sense-making and understanding), Evaluative (disciplinary judgment), Creative (original making and design decisions), Embodied/Tacit (craft knowledge that must be performed or demonstrated)</w:t>
      </w:r>
    </w:p>
    <w:p>
      <w:pPr>
        <w:pStyle w:val="ListParagraph"/>
        <w:numPr>
          <w:ilvl w:val="0"/>
          <w:numId w:val="2"/>
        </w:numPr>
        <w:spacing w:after="100"/>
      </w:pPr>
      <w:r>
        <w:rPr>
          <w:rFonts w:ascii="Georgia" w:cs="Georgia" w:eastAsia="Georgia" w:hAnsi="Georgia"/>
          <w:b/>
          <w:bCs/>
          <w:sz w:val="24"/>
          <w:szCs w:val="24"/>
        </w:rPr>
        <w:t xml:space="preserve">Cognitive Offloading Rating: </w:t>
      </w:r>
      <w:r>
        <w:rPr>
          <w:rFonts w:ascii="Georgia" w:cs="Georgia" w:eastAsia="Georgia" w:hAnsi="Georgia"/>
          <w:sz w:val="24"/>
          <w:szCs w:val="24"/>
        </w:rPr>
        <w:t xml:space="preserve">Rates how much of the intended learning AI can bypass: Fully / Substantially / Partially / Minimally — operationalizing the SAIL scale as a deliberate pedagogical decision rather than an administrative label</w:t>
      </w:r>
    </w:p>
    <w:p>
      <w:pPr>
        <w:pStyle w:val="ListParagraph"/>
        <w:numPr>
          <w:ilvl w:val="0"/>
          <w:numId w:val="2"/>
        </w:numPr>
        <w:spacing w:after="100"/>
      </w:pPr>
      <w:r>
        <w:rPr>
          <w:rFonts w:ascii="Georgia" w:cs="Georgia" w:eastAsia="Georgia" w:hAnsi="Georgia"/>
          <w:b/>
          <w:bCs/>
          <w:sz w:val="24"/>
          <w:szCs w:val="24"/>
        </w:rPr>
        <w:t xml:space="preserve">Redesign Pathway: </w:t>
      </w:r>
      <w:r>
        <w:rPr>
          <w:rFonts w:ascii="Georgia" w:cs="Georgia" w:eastAsia="Georgia" w:hAnsi="Georgia"/>
          <w:sz w:val="24"/>
          <w:szCs w:val="24"/>
        </w:rPr>
        <w:t xml:space="preserve">Matched to vulnerability type — specific redesign strategies for procedural, conceptual, evaluative, and creative/embodied vulnerabilities, with discipline-specific exemplars across Mathematics, Science, Humanities, Arts, and Languages</w:t>
      </w:r>
    </w:p>
    <w:p>
      <w:pPr>
        <w:pStyle w:val="ListParagraph"/>
        <w:numPr>
          <w:ilvl w:val="0"/>
          <w:numId w:val="2"/>
        </w:numPr>
        <w:spacing w:after="100"/>
      </w:pPr>
      <w:r>
        <w:rPr>
          <w:rFonts w:ascii="Georgia" w:cs="Georgia" w:eastAsia="Georgia" w:hAnsi="Georgia"/>
          <w:b/>
          <w:bCs/>
          <w:sz w:val="24"/>
          <w:szCs w:val="24"/>
        </w:rPr>
        <w:t xml:space="preserve">SAIL Positioning Recommendation: </w:t>
      </w:r>
      <w:r>
        <w:rPr>
          <w:rFonts w:ascii="Georgia" w:cs="Georgia" w:eastAsia="Georgia" w:hAnsi="Georgia"/>
          <w:sz w:val="24"/>
          <w:szCs w:val="24"/>
        </w:rPr>
        <w:t xml:space="preserve">Follows from the audit result with explicit protection rationale for each level</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Decision Tree: </w:t>
      </w:r>
      <w:r>
        <w:rPr>
          <w:rFonts w:ascii="Georgia" w:cs="Georgia" w:eastAsia="Georgia" w:hAnsi="Georgia"/>
          <w:sz w:val="24"/>
          <w:szCs w:val="24"/>
        </w:rPr>
        <w:t xml:space="preserve">If Fully bypassed: redesign required (add a visible reasoning component). If Substantially bypassed: redesign recommended (protect the one moment of genuine judgment). If Partially bypassed: consider adding a reasoning trace. If Minimally bypassed: document as exemplar.</w:t>
      </w:r>
    </w:p>
    <w:p>
      <w:pPr>
        <w:keepLines/>
        <w:spacing w:after="160" w:line="280"/>
      </w:pPr>
      <w:r>
        <w:rPr>
          <w:rFonts w:ascii="Georgia" w:cs="Georgia" w:eastAsia="Georgia" w:hAnsi="Georgia"/>
          <w:b/>
          <w:bCs/>
          <w:sz w:val="24"/>
          <w:szCs w:val="24"/>
        </w:rPr>
        <w:t xml:space="preserve">Reflection Fields: </w:t>
      </w:r>
      <w:r>
        <w:rPr>
          <w:rFonts w:ascii="Georgia" w:cs="Georgia" w:eastAsia="Georgia" w:hAnsi="Georgia"/>
          <w:sz w:val="24"/>
          <w:szCs w:val="24"/>
        </w:rPr>
        <w:t xml:space="preserve">Before-enactment Intended TPACK record — teacher documents the learning they are developing, the redesign decision and its disciplinary reason, what interpretable evidence would look like, and the tension the audit surfaced that they are still sitting with. These fields are the primary data source for tracking AI-TPACK development across iterations.</w:t>
      </w:r>
    </w:p>
    <w:p>
      <w:pPr>
        <w:keepLines/>
        <w:spacing w:after="160" w:line="280"/>
      </w:pPr>
      <w:r>
        <w:rPr>
          <w:rFonts w:ascii="Georgia" w:cs="Georgia" w:eastAsia="Georgia" w:hAnsi="Georgia"/>
          <w:b/>
          <w:bCs/>
          <w:sz w:val="24"/>
          <w:szCs w:val="24"/>
        </w:rPr>
        <w:t xml:space="preserve">Research Function: </w:t>
      </w:r>
      <w:r>
        <w:rPr>
          <w:rFonts w:ascii="Georgia" w:cs="Georgia" w:eastAsia="Georgia" w:hAnsi="Georgia"/>
          <w:sz w:val="24"/>
          <w:szCs w:val="24"/>
        </w:rPr>
        <w:t xml:space="preserve">The VISTA audit artifact, completed before and after each iteration, is the primary evidence source for the TIAI assessment design quality comparison — the performance-based measure that addresses the confidence vs. competence distinction in AI-TPACK research. Comparing before/after VISTA artifacts provides defensible evidence of Intended TPACK growth independent of self-report.</w:t>
      </w:r>
    </w:p>
    <w:p>
      <w:pPr>
        <w:pStyle w:val="Heading2"/>
        <w:keepNext/>
        <w:spacing w:after="120" w:before="280"/>
      </w:pPr>
      <w:r>
        <w:rPr>
          <w:rFonts w:ascii="Arial" w:cs="Arial" w:eastAsia="Arial" w:hAnsi="Arial"/>
          <w:b/>
          <w:bCs/>
          <w:color w:val="2E7D8C"/>
          <w:sz w:val="26"/>
          <w:szCs w:val="26"/>
        </w:rPr>
        <w:t xml:space="preserve">Appendix B — Visible Reasoning Protocol Suite</w:t>
      </w:r>
    </w:p>
    <w:p>
      <w:pPr>
        <w:keepLines/>
        <w:spacing w:after="160" w:line="280"/>
      </w:pPr>
      <w:r>
        <w:rPr>
          <w:rFonts w:ascii="Georgia" w:cs="Georgia" w:eastAsia="Georgia" w:hAnsi="Georgia"/>
          <w:b/>
          <w:bCs/>
          <w:sz w:val="24"/>
          <w:szCs w:val="24"/>
        </w:rPr>
        <w:t xml:space="preserve">Nine Protocols: </w:t>
      </w:r>
      <w:r>
        <w:rPr>
          <w:rFonts w:ascii="Georgia" w:cs="Georgia" w:eastAsia="Georgia" w:hAnsi="Georgia"/>
          <w:sz w:val="24"/>
          <w:szCs w:val="24"/>
        </w:rPr>
        <w:t xml:space="preserve">(1) Reasoning Vlog; (2) Oral Defense; (3) Reasoning Log; (4) Process Portfolio; (5) Annotated AI Output; (6) Revision Narrative; (7) Visual Argument Map; (8) Embodied Demonstration; (9) Computational Walkthrough.</w:t>
      </w:r>
    </w:p>
    <w:p>
      <w:pPr>
        <w:keepLines/>
        <w:spacing w:after="160" w:line="280"/>
      </w:pPr>
      <w:r>
        <w:rPr>
          <w:rFonts w:ascii="Georgia" w:cs="Georgia" w:eastAsia="Georgia" w:hAnsi="Georgia"/>
          <w:b/>
          <w:bCs/>
          <w:sz w:val="24"/>
          <w:szCs w:val="24"/>
        </w:rPr>
        <w:t xml:space="preserve">For each: </w:t>
      </w:r>
      <w:r>
        <w:rPr>
          <w:rFonts w:ascii="Georgia" w:cs="Georgia" w:eastAsia="Georgia" w:hAnsi="Georgia"/>
          <w:sz w:val="24"/>
          <w:szCs w:val="24"/>
        </w:rPr>
        <w:t xml:space="preserve">Purpose and use cases; disciplinary examples; student-facing prompts; strengths; limitations; connection to creation, embodiment, or tacit knowledge where applicable.</w:t>
      </w:r>
    </w:p>
    <w:p>
      <w:pPr>
        <w:keepLines/>
        <w:spacing w:after="160" w:line="280"/>
      </w:pPr>
      <w:r>
        <w:rPr>
          <w:rFonts w:ascii="Georgia" w:cs="Georgia" w:eastAsia="Georgia" w:hAnsi="Georgia"/>
          <w:b/>
          <w:bCs/>
          <w:sz w:val="24"/>
          <w:szCs w:val="24"/>
        </w:rPr>
        <w:t xml:space="preserve">Selection Principle: </w:t>
      </w:r>
      <w:r>
        <w:rPr>
          <w:rFonts w:ascii="Georgia" w:cs="Georgia" w:eastAsia="Georgia" w:hAnsi="Georgia"/>
          <w:sz w:val="24"/>
          <w:szCs w:val="24"/>
        </w:rPr>
        <w:t xml:space="preserve">Match the protocol to the thinking being developed — not to the teacher’s comfort with the format.</w:t>
      </w:r>
    </w:p>
    <w:p>
      <w:pPr>
        <w:pStyle w:val="Heading2"/>
        <w:keepNext/>
        <w:spacing w:after="120" w:before="280"/>
      </w:pPr>
      <w:r>
        <w:rPr>
          <w:rFonts w:ascii="Arial" w:cs="Arial" w:eastAsia="Arial" w:hAnsi="Arial"/>
          <w:b/>
          <w:bCs/>
          <w:color w:val="2E7D8C"/>
          <w:sz w:val="26"/>
          <w:szCs w:val="26"/>
        </w:rPr>
        <w:t xml:space="preserve">Appendix C — Cross-Disciplinary Rubric</w:t>
      </w:r>
    </w:p>
    <w:p>
      <w:pPr>
        <w:keepLines/>
        <w:spacing w:after="160" w:line="280"/>
      </w:pPr>
      <w:r>
        <w:rPr>
          <w:rFonts w:ascii="Georgia" w:cs="Georgia" w:eastAsia="Georgia" w:hAnsi="Georgia"/>
          <w:b/>
          <w:bCs/>
          <w:sz w:val="24"/>
          <w:szCs w:val="24"/>
        </w:rPr>
        <w:t xml:space="preserve">Five Dimensions: </w:t>
      </w:r>
      <w:r>
        <w:rPr>
          <w:rFonts w:ascii="Georgia" w:cs="Georgia" w:eastAsia="Georgia" w:hAnsi="Georgia"/>
          <w:sz w:val="24"/>
          <w:szCs w:val="24"/>
        </w:rPr>
        <w:t xml:space="preserve">Metacognition; Epistemic Vigilance; Disciplinary Justification; Iterative Refinement; Knowledge Reconstruction (including tacit, embodied, and created knowledge).</w:t>
      </w:r>
    </w:p>
    <w:p>
      <w:pPr>
        <w:keepLines/>
        <w:spacing w:after="160" w:line="280"/>
      </w:pPr>
      <w:r>
        <w:rPr>
          <w:rFonts w:ascii="Georgia" w:cs="Georgia" w:eastAsia="Georgia" w:hAnsi="Georgia"/>
          <w:b/>
          <w:bCs/>
          <w:sz w:val="24"/>
          <w:szCs w:val="24"/>
        </w:rPr>
        <w:t xml:space="preserve">Four Levels: </w:t>
      </w:r>
      <w:r>
        <w:rPr>
          <w:rFonts w:ascii="Georgia" w:cs="Georgia" w:eastAsia="Georgia" w:hAnsi="Georgia"/>
          <w:sz w:val="24"/>
          <w:szCs w:val="24"/>
        </w:rPr>
        <w:t xml:space="preserve">Emerging → Developing → Proficient → Distinguished — developmental progressions, not binary judgments. Informed by MMT construct-map thinking.</w:t>
      </w:r>
    </w:p>
    <w:p>
      <w:pPr>
        <w:keepLines/>
        <w:spacing w:after="160" w:line="280"/>
      </w:pPr>
      <w:r>
        <w:rPr>
          <w:rFonts w:ascii="Georgia" w:cs="Georgia" w:eastAsia="Georgia" w:hAnsi="Georgia"/>
          <w:b/>
          <w:bCs/>
          <w:sz w:val="24"/>
          <w:szCs w:val="24"/>
        </w:rPr>
        <w:t xml:space="preserve">Standards-Based Grading Connection: </w:t>
      </w:r>
      <w:r>
        <w:rPr>
          <w:rFonts w:ascii="Georgia" w:cs="Georgia" w:eastAsia="Georgia" w:hAnsi="Georgia"/>
          <w:sz w:val="24"/>
          <w:szCs w:val="24"/>
        </w:rPr>
        <w:t xml:space="preserve">Dimensions map to observable, specific behaviors — supporting CNG’s transition toward standards-based grading.</w:t>
      </w:r>
    </w:p>
    <w:p>
      <w:pPr>
        <w:keepLines/>
        <w:spacing w:after="160" w:line="280"/>
      </w:pPr>
      <w:r>
        <w:rPr>
          <w:rFonts w:ascii="Georgia" w:cs="Georgia" w:eastAsia="Georgia" w:hAnsi="Georgia"/>
          <w:b/>
          <w:bCs/>
          <w:sz w:val="24"/>
          <w:szCs w:val="24"/>
        </w:rPr>
        <w:t xml:space="preserve">Verbal Fluency Safeguard: </w:t>
      </w:r>
      <w:r>
        <w:rPr>
          <w:rFonts w:ascii="Georgia" w:cs="Georgia" w:eastAsia="Georgia" w:hAnsi="Georgia"/>
          <w:sz w:val="24"/>
          <w:szCs w:val="24"/>
        </w:rPr>
        <w:t xml:space="preserve">Each dimension can be demonstrated through multiple evidence modes. Interaction traces, creation artifacts, and embodied demonstrations are explicitly named as valid evidence.</w:t>
      </w:r>
    </w:p>
    <w:p>
      <w:pPr>
        <w:pStyle w:val="Heading2"/>
        <w:keepNext/>
        <w:spacing w:after="120" w:before="280"/>
      </w:pPr>
      <w:r>
        <w:rPr>
          <w:rFonts w:ascii="Arial" w:cs="Arial" w:eastAsia="Arial" w:hAnsi="Arial"/>
          <w:b/>
          <w:bCs/>
          <w:color w:val="2E7D8C"/>
          <w:sz w:val="26"/>
          <w:szCs w:val="26"/>
        </w:rPr>
        <w:t xml:space="preserve">Appendix D — Triangulated Evidence Framework</w:t>
      </w:r>
    </w:p>
    <w:p>
      <w:pPr>
        <w:keepLines/>
        <w:spacing w:after="160" w:line="280"/>
      </w:pPr>
      <w:r>
        <w:rPr>
          <w:rFonts w:ascii="Georgia" w:cs="Georgia" w:eastAsia="Georgia" w:hAnsi="Georgia"/>
          <w:b/>
          <w:bCs/>
          <w:sz w:val="24"/>
          <w:szCs w:val="24"/>
        </w:rPr>
        <w:t xml:space="preserve">Validity Argument (Messick, 1989; Kane, 2006): </w:t>
      </w:r>
      <w:r>
        <w:rPr>
          <w:rFonts w:ascii="Georgia" w:cs="Georgia" w:eastAsia="Georgia" w:hAnsi="Georgia"/>
          <w:sz w:val="24"/>
          <w:szCs w:val="24"/>
        </w:rPr>
        <w:t xml:space="preserve">Claims supported through convergence across five evidence sources — Assessment Design, Student Artifact, Interaction Trace, Teacher Observation/VSR, Student Reflection.</w:t>
      </w:r>
    </w:p>
    <w:p>
      <w:pPr>
        <w:keepLines/>
        <w:spacing w:after="160" w:line="280"/>
      </w:pPr>
      <w:r>
        <w:rPr>
          <w:rFonts w:ascii="Georgia" w:cs="Georgia" w:eastAsia="Georgia" w:hAnsi="Georgia"/>
          <w:b/>
          <w:bCs/>
          <w:sz w:val="24"/>
          <w:szCs w:val="24"/>
        </w:rPr>
        <w:t xml:space="preserve">Addressing Verbal Fluency: </w:t>
      </w:r>
      <w:r>
        <w:rPr>
          <w:rFonts w:ascii="Georgia" w:cs="Georgia" w:eastAsia="Georgia" w:hAnsi="Georgia"/>
          <w:sz w:val="24"/>
          <w:szCs w:val="24"/>
        </w:rPr>
        <w:t xml:space="preserve">Evidence Sources 2 and 3 explicitly value creation, embodiment, and tacit knowledge traces alongside verbal reasoning.</w:t>
      </w:r>
    </w:p>
    <w:p>
      <w:pPr>
        <w:pStyle w:val="Heading2"/>
        <w:keepNext/>
        <w:spacing w:after="120" w:before="280"/>
      </w:pPr>
      <w:r>
        <w:rPr>
          <w:rFonts w:ascii="Arial" w:cs="Arial" w:eastAsia="Arial" w:hAnsi="Arial"/>
          <w:b/>
          <w:bCs/>
          <w:color w:val="2E7D8C"/>
          <w:sz w:val="26"/>
          <w:szCs w:val="26"/>
        </w:rPr>
        <w:t xml:space="preserve">Appendix E — AI Reflection and Disclosure Protocol</w:t>
      </w:r>
    </w:p>
    <w:p>
      <w:pPr>
        <w:keepLines/>
        <w:spacing w:after="160" w:line="280"/>
      </w:pPr>
      <w:r>
        <w:rPr>
          <w:rFonts w:ascii="Georgia" w:cs="Georgia" w:eastAsia="Georgia" w:hAnsi="Georgia"/>
          <w:b/>
          <w:bCs/>
          <w:sz w:val="24"/>
          <w:szCs w:val="24"/>
        </w:rPr>
        <w:t xml:space="preserve">Student prompts: </w:t>
      </w:r>
    </w:p>
    <w:p>
      <w:pPr>
        <w:pStyle w:val="ListParagraph"/>
        <w:numPr>
          <w:ilvl w:val="0"/>
          <w:numId w:val="2"/>
        </w:numPr>
        <w:spacing w:after="100"/>
      </w:pPr>
      <w:r>
        <w:rPr>
          <w:rFonts w:ascii="Georgia" w:cs="Georgia" w:eastAsia="Georgia" w:hAnsi="Georgia"/>
          <w:sz w:val="24"/>
          <w:szCs w:val="24"/>
        </w:rPr>
        <w:t xml:space="preserve">What did you contribute to this work that AI could not have generated?</w:t>
      </w:r>
    </w:p>
    <w:p>
      <w:pPr>
        <w:pStyle w:val="ListParagraph"/>
        <w:numPr>
          <w:ilvl w:val="0"/>
          <w:numId w:val="2"/>
        </w:numPr>
        <w:spacing w:after="100"/>
      </w:pPr>
      <w:r>
        <w:rPr>
          <w:rFonts w:ascii="Georgia" w:cs="Georgia" w:eastAsia="Georgia" w:hAnsi="Georgia"/>
          <w:sz w:val="24"/>
          <w:szCs w:val="24"/>
        </w:rPr>
        <w:t xml:space="preserve">Identify one AI suggestion you evaluated and rejected. What was your disciplinary reason?</w:t>
      </w:r>
    </w:p>
    <w:p>
      <w:pPr>
        <w:pStyle w:val="ListParagraph"/>
        <w:numPr>
          <w:ilvl w:val="0"/>
          <w:numId w:val="2"/>
        </w:numPr>
        <w:spacing w:after="100"/>
      </w:pPr>
      <w:r>
        <w:rPr>
          <w:rFonts w:ascii="Georgia" w:cs="Georgia" w:eastAsia="Georgia" w:hAnsi="Georgia"/>
          <w:sz w:val="24"/>
          <w:szCs w:val="24"/>
        </w:rPr>
        <w:t xml:space="preserve">Where did you verify an AI claim? What did you check it against?</w:t>
      </w:r>
    </w:p>
    <w:p>
      <w:pPr>
        <w:pStyle w:val="ListParagraph"/>
        <w:numPr>
          <w:ilvl w:val="0"/>
          <w:numId w:val="2"/>
        </w:numPr>
        <w:spacing w:after="100"/>
      </w:pPr>
      <w:r>
        <w:rPr>
          <w:rFonts w:ascii="Georgia" w:cs="Georgia" w:eastAsia="Georgia" w:hAnsi="Georgia"/>
          <w:sz w:val="24"/>
          <w:szCs w:val="24"/>
        </w:rPr>
        <w:t xml:space="preserve">How did your thinking change from your initial response to your final one?</w:t>
      </w:r>
    </w:p>
    <w:p>
      <w:pPr>
        <w:pStyle w:val="ListParagraph"/>
        <w:numPr>
          <w:ilvl w:val="0"/>
          <w:numId w:val="2"/>
        </w:numPr>
        <w:spacing w:after="100"/>
      </w:pPr>
      <w:r>
        <w:rPr>
          <w:rFonts w:ascii="Georgia" w:cs="Georgia" w:eastAsia="Georgia" w:hAnsi="Georgia"/>
          <w:sz w:val="24"/>
          <w:szCs w:val="24"/>
        </w:rPr>
        <w:t xml:space="preserve">What question did this work leave you still asking?</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Privacy note: </w:t>
      </w:r>
      <w:r>
        <w:rPr>
          <w:rFonts w:ascii="Georgia" w:cs="Georgia" w:eastAsia="Georgia" w:hAnsi="Georgia"/>
          <w:sz w:val="24"/>
          <w:szCs w:val="24"/>
        </w:rPr>
        <w:t xml:space="preserve">The Disclosure Protocol documents student thinking, not surveillance of AI use. It is an assessment tool, not a detection tool.</w:t>
      </w:r>
    </w:p>
    <w:p>
      <w:pPr>
        <w:pStyle w:val="Heading2"/>
        <w:keepNext/>
        <w:spacing w:after="120" w:before="280"/>
      </w:pPr>
      <w:r>
        <w:rPr>
          <w:rFonts w:ascii="Arial" w:cs="Arial" w:eastAsia="Arial" w:hAnsi="Arial"/>
          <w:b/>
          <w:bCs/>
          <w:color w:val="2E7D8C"/>
          <w:sz w:val="26"/>
          <w:szCs w:val="26"/>
        </w:rPr>
        <w:t xml:space="preserve">Appendix F — Department Cognitive Agency PLC Protocol</w:t>
      </w:r>
    </w:p>
    <w:p>
      <w:pPr>
        <w:keepLines/>
        <w:spacing w:after="160" w:line="280"/>
      </w:pPr>
      <w:r>
        <w:rPr>
          <w:rFonts w:ascii="Georgia" w:cs="Georgia" w:eastAsia="Georgia" w:hAnsi="Georgia"/>
          <w:b/>
          <w:bCs/>
          <w:sz w:val="24"/>
          <w:szCs w:val="24"/>
        </w:rPr>
        <w:t xml:space="preserve">30-minute standalone protocol:</w:t>
      </w:r>
    </w:p>
    <w:p>
      <w:pPr>
        <w:pStyle w:val="ListParagraph"/>
        <w:numPr>
          <w:ilvl w:val="0"/>
          <w:numId w:val="3"/>
        </w:numPr>
        <w:spacing w:after="100"/>
      </w:pPr>
      <w:r>
        <w:rPr>
          <w:rFonts w:ascii="Georgia" w:cs="Georgia" w:eastAsia="Georgia" w:hAnsi="Georgia"/>
          <w:sz w:val="24"/>
          <w:szCs w:val="24"/>
        </w:rPr>
        <w:t xml:space="preserve">Select one recent or upcoming assessment (5 min)</w:t>
      </w:r>
    </w:p>
    <w:p>
      <w:pPr>
        <w:pStyle w:val="ListParagraph"/>
        <w:numPr>
          <w:ilvl w:val="0"/>
          <w:numId w:val="3"/>
        </w:numPr>
        <w:spacing w:after="100"/>
      </w:pPr>
      <w:r>
        <w:rPr>
          <w:rFonts w:ascii="Georgia" w:cs="Georgia" w:eastAsia="Georgia" w:hAnsi="Georgia"/>
          <w:sz w:val="24"/>
          <w:szCs w:val="24"/>
        </w:rPr>
        <w:t xml:space="preserve">Apply VISTA Protocol: </w:t>
      </w:r>
      <w:r>
        <w:rPr>
          <w:rFonts w:ascii="Georgia" w:cs="Georgia" w:eastAsia="Georgia" w:hAnsi="Georgia"/>
          <w:b/>
          <w:bCs/>
          <w:sz w:val="24"/>
          <w:szCs w:val="24"/>
        </w:rPr>
        <w:t xml:space="preserve">If AI completed this task perfectly, what learning would disappear? </w:t>
      </w:r>
      <w:r>
        <w:rPr>
          <w:rFonts w:ascii="Georgia" w:cs="Georgia" w:eastAsia="Georgia" w:hAnsi="Georgia"/>
          <w:sz w:val="24"/>
          <w:szCs w:val="24"/>
        </w:rPr>
        <w:t xml:space="preserve">(5 min)</w:t>
      </w:r>
    </w:p>
    <w:p>
      <w:pPr>
        <w:pStyle w:val="ListParagraph"/>
        <w:numPr>
          <w:ilvl w:val="0"/>
          <w:numId w:val="3"/>
        </w:numPr>
        <w:spacing w:after="100"/>
      </w:pPr>
      <w:r>
        <w:rPr>
          <w:rFonts w:ascii="Georgia" w:cs="Georgia" w:eastAsia="Georgia" w:hAnsi="Georgia"/>
          <w:sz w:val="24"/>
          <w:szCs w:val="24"/>
        </w:rPr>
        <w:t xml:space="preserve">Identify the thinking most at risk of becoming invisible (5 min)</w:t>
      </w:r>
    </w:p>
    <w:p>
      <w:pPr>
        <w:pStyle w:val="ListParagraph"/>
        <w:numPr>
          <w:ilvl w:val="0"/>
          <w:numId w:val="3"/>
        </w:numPr>
        <w:spacing w:after="100"/>
      </w:pPr>
      <w:r>
        <w:rPr>
          <w:rFonts w:ascii="Georgia" w:cs="Georgia" w:eastAsia="Georgia" w:hAnsi="Georgia"/>
          <w:sz w:val="24"/>
          <w:szCs w:val="24"/>
        </w:rPr>
        <w:t xml:space="preserve">Identify evidence that would demonstrate that thinking is genuine — verbal, written, visual, computational, embodied, or artistic (5 min)</w:t>
      </w:r>
    </w:p>
    <w:p>
      <w:pPr>
        <w:pStyle w:val="ListParagraph"/>
        <w:numPr>
          <w:ilvl w:val="0"/>
          <w:numId w:val="3"/>
        </w:numPr>
        <w:spacing w:after="100"/>
      </w:pPr>
      <w:r>
        <w:rPr>
          <w:rFonts w:ascii="Georgia" w:cs="Georgia" w:eastAsia="Georgia" w:hAnsi="Georgia"/>
          <w:sz w:val="24"/>
          <w:szCs w:val="24"/>
        </w:rPr>
        <w:t xml:space="preserve">Identify the appropriate SAIL positioning (5 min)</w:t>
      </w:r>
    </w:p>
    <w:p>
      <w:pPr>
        <w:pStyle w:val="ListParagraph"/>
        <w:numPr>
          <w:ilvl w:val="0"/>
          <w:numId w:val="3"/>
        </w:numPr>
        <w:spacing w:after="100"/>
      </w:pPr>
      <w:r>
        <w:rPr>
          <w:rFonts w:ascii="Georgia" w:cs="Georgia" w:eastAsia="Georgia" w:hAnsi="Georgia"/>
          <w:sz w:val="24"/>
          <w:szCs w:val="24"/>
        </w:rPr>
        <w:t xml:space="preserve">Make one specific change and document it (5 min)</w:t>
      </w:r>
    </w:p>
    <w:p>
      <w:pPr>
        <w:keepNext/>
        <w:spacing w:after="8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Sustainability note: </w:t>
      </w:r>
      <w:r>
        <w:rPr>
          <w:rFonts w:ascii="Georgia" w:cs="Georgia" w:eastAsia="Georgia" w:hAnsi="Georgia"/>
          <w:sz w:val="24"/>
          <w:szCs w:val="24"/>
        </w:rPr>
        <w:t xml:space="preserve">Designed for the tired teacher in February, not only the energized teacher in September. Requires no new tools, no new curriculum, and no new meeting time.</w:t>
      </w:r>
    </w:p>
    <w:p>
      <w:pPr>
        <w:pStyle w:val="Heading2"/>
        <w:keepNext/>
        <w:spacing w:after="120" w:before="280"/>
      </w:pPr>
      <w:r>
        <w:rPr>
          <w:rFonts w:ascii="Arial" w:cs="Arial" w:eastAsia="Arial" w:hAnsi="Arial"/>
          <w:b/>
          <w:bCs/>
          <w:color w:val="2E7D8C"/>
          <w:sz w:val="26"/>
          <w:szCs w:val="26"/>
        </w:rPr>
        <w:t xml:space="preserve">Appendix G — emerging shared language: Departmental Shared Language</w:t>
      </w:r>
    </w:p>
    <w:p>
      <w:pPr>
        <w:keepNext/>
        <w:spacing w:after="120"/>
      </w:pPr>
      <w:r>
        <w:rPr>
          <w:rFonts w:ascii="Georgia" w:cs="Georgia" w:eastAsia="Georgia" w:hAnsi="Georgi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80"/>
        <w:gridCol w:w="2480"/>
        <w:gridCol w:w="3200"/>
      </w:tblGrid>
      <w:tr>
        <w:trPr>
          <w:cantSplit/>
        </w:trPr>
        <w:tc>
          <w:tcPr>
            <w:tcW w:type="dxa" w:w="16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Discipline</w:t>
            </w:r>
          </w:p>
        </w:tc>
        <w:tc>
          <w:tcPr>
            <w:tcW w:type="dxa" w:w="20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Thinking to Protect</w:t>
            </w:r>
          </w:p>
        </w:tc>
        <w:tc>
          <w:tcPr>
            <w:tcW w:type="dxa" w:w="248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What AI Can Bypass</w:t>
            </w:r>
          </w:p>
        </w:tc>
        <w:tc>
          <w:tcPr>
            <w:tcW w:type="dxa" w:w="3200"/>
            <w:tcBorders>
              <w:top w:val="single" w:color="C9952A" w:sz="4"/>
              <w:left w:val="single" w:color="C9952A" w:sz="4"/>
              <w:bottom w:val="single" w:color="C9952A" w:sz="4"/>
              <w:right w:val="single" w:color="C9952A" w:sz="4"/>
            </w:tcBorders>
            <w:shd w:fill="1B3A5C" w:val="clear"/>
            <w:tcMar>
              <w:top w:type="dxa" w:w="100"/>
              <w:left w:type="dxa" w:w="120"/>
              <w:bottom w:type="dxa" w:w="100"/>
              <w:right w:type="dxa" w:w="120"/>
            </w:tcMar>
          </w:tcPr>
          <w:p>
            <w:pPr>
              <w:spacing w:after="0"/>
            </w:pPr>
            <w:r>
              <w:rPr>
                <w:rFonts w:ascii="Arial" w:cs="Arial" w:eastAsia="Arial" w:hAnsi="Arial"/>
                <w:b/>
                <w:bCs/>
                <w:color w:val="FFFFFF"/>
                <w:sz w:val="22"/>
                <w:szCs w:val="22"/>
              </w:rPr>
              <w:t xml:space="preserve">Interpretable Evidence</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Mathematics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of structure, proof construction, sense-making of results</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Procedure execution, answer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Worked reasoning, error analysis, conjecture justification, revision narrative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Science</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Modeling, evidence evaluation, CER reasoning</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Explanation generation, data summary</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Model revision logs, CER artifacts, anomaly interrogation, hypothesis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Humanities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Interpretation, sourcing, historiographical judgment</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Essay drafting, argument scaffolding</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Argument critique, source analysis, contested interpretation defense, revision rationale</w:t>
            </w:r>
          </w:p>
        </w:tc>
      </w:tr>
      <w:tr>
        <w:trPr>
          <w:cantSplit/>
        </w:trPr>
        <w:tc>
          <w:tcPr>
            <w:tcW w:type="dxa" w:w="16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bCs/>
                <w:sz w:val="22"/>
                <w:szCs w:val="22"/>
              </w:rPr>
              <w:t xml:space="preserve">Arts</w:t>
            </w:r>
          </w:p>
        </w:tc>
        <w:tc>
          <w:tcPr>
            <w:tcW w:type="dxa" w:w="20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Creative decision-making, aesthetic judgment, embodied craft knowledge</w:t>
            </w:r>
          </w:p>
        </w:tc>
        <w:tc>
          <w:tcPr>
            <w:tcW w:type="dxa" w:w="248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Initial generation, style imitation</w:t>
            </w:r>
          </w:p>
        </w:tc>
        <w:tc>
          <w:tcPr>
            <w:tcW w:type="dxa" w:w="3200"/>
            <w:tcBorders>
              <w:top w:val="single" w:color="C9952A" w:sz="4"/>
              <w:left w:val="single" w:color="C9952A" w:sz="4"/>
              <w:bottom w:val="single" w:color="C9952A" w:sz="4"/>
              <w:right w:val="single" w:color="C9952A" w:sz="4"/>
            </w:tcBorders>
            <w:shd w:fill="FFFFFF"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Process portfolios, curatorial statements, creation narratives, tacit knowledge traces</w:t>
            </w:r>
          </w:p>
        </w:tc>
      </w:tr>
      <w:tr>
        <w:trPr>
          <w:cantSplit/>
        </w:trPr>
        <w:tc>
          <w:tcPr>
            <w:tcW w:type="dxa" w:w="16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bCs/>
                <w:sz w:val="22"/>
                <w:szCs w:val="22"/>
              </w:rPr>
              <w:t xml:space="preserve">Languages</w:t>
            </w:r>
          </w:p>
        </w:tc>
        <w:tc>
          <w:tcPr>
            <w:tcW w:type="dxa" w:w="20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Pragmatic judgment, register, voice, cultural meaning</w:t>
            </w:r>
          </w:p>
        </w:tc>
        <w:tc>
          <w:tcPr>
            <w:tcW w:type="dxa" w:w="248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Grammar correction, text generation</w:t>
            </w:r>
          </w:p>
        </w:tc>
        <w:tc>
          <w:tcPr>
            <w:tcW w:type="dxa" w:w="3200"/>
            <w:tcBorders>
              <w:top w:val="single" w:color="C9952A" w:sz="4"/>
              <w:left w:val="single" w:color="C9952A" w:sz="4"/>
              <w:bottom w:val="single" w:color="C9952A" w:sz="4"/>
              <w:right w:val="single" w:color="C9952A" w:sz="4"/>
            </w:tcBorders>
            <w:shd w:fill="FDF3E3" w:val="clear"/>
            <w:tcMar>
              <w:top w:type="dxa" w:w="80"/>
              <w:left w:type="dxa" w:w="120"/>
              <w:bottom w:type="dxa" w:w="80"/>
              <w:right w:type="dxa" w:w="120"/>
            </w:tcMar>
          </w:tcPr>
          <w:p>
            <w:pPr>
              <w:spacing w:after="0"/>
            </w:pPr>
            <w:r>
              <w:rPr>
                <w:rFonts w:ascii="Georgia" w:cs="Georgia" w:eastAsia="Georgia" w:hAnsi="Georgia"/>
                <w:b w:val="false"/>
                <w:bCs w:val="false"/>
                <w:sz w:val="22"/>
                <w:szCs w:val="22"/>
              </w:rPr>
              <w:t xml:space="preserve">Revision commentary, voice analysis, peer feedback logs, translation decision rationale</w:t>
            </w:r>
          </w:p>
        </w:tc>
      </w:tr>
    </w:tbl>
    <w:p>
      <w:pPr>
        <w:keepNext/>
        <w:spacing w:after="120"/>
      </w:pPr>
      <w:r>
        <w:rPr>
          <w:rFonts w:ascii="Georgia" w:cs="Georgia" w:eastAsia="Georgia" w:hAnsi="Georgia"/>
          <w:sz w:val="24"/>
          <w:szCs w:val="24"/>
        </w:rPr>
        <w:t xml:space="preserve"/>
      </w:r>
    </w:p>
    <w:p>
      <w:pPr>
        <w:keepLines/>
        <w:spacing w:after="160" w:line="280"/>
      </w:pPr>
      <w:r>
        <w:rPr>
          <w:rFonts w:ascii="Georgia" w:cs="Georgia" w:eastAsia="Georgia" w:hAnsi="Georgia"/>
          <w:b/>
          <w:bCs/>
          <w:sz w:val="24"/>
          <w:szCs w:val="24"/>
        </w:rPr>
        <w:t xml:space="preserve">Use: </w:t>
      </w:r>
      <w:r>
        <w:rPr>
          <w:rFonts w:ascii="Georgia" w:cs="Georgia" w:eastAsia="Georgia" w:hAnsi="Georgia"/>
          <w:sz w:val="24"/>
          <w:szCs w:val="24"/>
        </w:rPr>
        <w:t xml:space="preserve">Post in department workrooms. Reference in curriculum review sessions. Use as PLC discussion anchor. Extend with discipline-specific examples from participating teachers.</w:t>
      </w:r>
    </w:p>
    <w:p>
      <w:pPr>
        <w:pStyle w:val="Heading2"/>
        <w:keepNext/>
        <w:spacing w:after="120" w:before="280"/>
      </w:pPr>
      <w:r>
        <w:rPr>
          <w:rFonts w:ascii="Arial" w:cs="Arial" w:eastAsia="Arial" w:hAnsi="Arial"/>
          <w:b/>
          <w:bCs/>
          <w:color w:val="2E7D8C"/>
          <w:sz w:val="26"/>
          <w:szCs w:val="26"/>
        </w:rPr>
        <w:t xml:space="preserve">Appendix I — Fellowship Pitches: 3-Minute and 10-Minute Verbal</w:t>
      </w:r>
    </w:p>
    <w:p>
      <w:pPr>
        <w:pStyle w:val="Heading3"/>
        <w:keepNext/>
        <w:spacing w:after="100" w:before="200"/>
      </w:pPr>
      <w:r>
        <w:rPr>
          <w:rFonts w:ascii="Arial" w:cs="Arial" w:eastAsia="Arial" w:hAnsi="Arial"/>
          <w:b/>
          <w:bCs/>
          <w:color w:val="1B3A5C"/>
          <w:sz w:val="24"/>
          <w:szCs w:val="24"/>
        </w:rPr>
        <w:t xml:space="preserve">3-Minute Pitch</w:t>
      </w:r>
    </w:p>
    <w:p>
      <w:pPr>
        <w:keepLines/>
        <w:spacing w:after="160" w:line="280"/>
      </w:pPr>
      <w:r>
        <w:rPr>
          <w:rFonts w:ascii="Georgia" w:cs="Georgia" w:eastAsia="Georgia" w:hAnsi="Georgia"/>
          <w:sz w:val="24"/>
          <w:szCs w:val="24"/>
        </w:rPr>
        <w:t xml:space="preserve">Right now, CNG teachers are living with an assessment validity problem that nobody talks about directly. When a student submits a polished essay, a well-organized lab report, or a thoughtful historical analysis, the teacher no longer knows whether they’re reading student thinking or AI output. And here’s the deeper problem: many of our tasks were never really designed to require genuine student thinking in the first place. AI just made that visible.</w:t>
      </w:r>
    </w:p>
    <w:p>
      <w:pPr>
        <w:keepLines/>
        <w:spacing w:after="160" w:line="280"/>
      </w:pPr>
      <w:r>
        <w:rPr>
          <w:rFonts w:ascii="Georgia" w:cs="Georgia" w:eastAsia="Georgia" w:hAnsi="Georgia"/>
          <w:sz w:val="24"/>
          <w:szCs w:val="24"/>
        </w:rPr>
        <w:t xml:space="preserve">This fellowship starts from one question: if AI completed this task perfectly, what learning would disappear? When teachers ask that seriously, they discover something useful — that many tasks can be redesigned to make student reasoning the evidence, not the product. A reasoning vlog. A sourcing note. A 150-word explanation of one claim the student ended up changing their mind about. Small changes that make genuine thinking the thing that gets assessed.</w:t>
      </w:r>
    </w:p>
    <w:p>
      <w:pPr>
        <w:keepLines/>
        <w:spacing w:after="160" w:line="280"/>
      </w:pPr>
      <w:r>
        <w:rPr>
          <w:rFonts w:ascii="Georgia" w:cs="Georgia" w:eastAsia="Georgia" w:hAnsi="Georgia"/>
          <w:sz w:val="24"/>
          <w:szCs w:val="24"/>
        </w:rPr>
        <w:t xml:space="preserve">The fellowship works with six High School teachers in three pairs across one year. Pairs are intentional: two experienced AI integrators, two teachers developing their practice, and two skeptical or resistant teachers paired together where they can voice concerns and challenge assumptions without pressure. Each teacher picks one existing assessment, audits it, redesigns it, teaches it, collects student reasoning evidence, and revises. Cajina provides written feedback at each iteration. Two monthly lunch PLC sessions (1 hour each). One VSR session per cycle (two total). One VSR cycle. Under 9 hours across 11 months.</w:t>
      </w:r>
    </w:p>
    <w:p>
      <w:pPr>
        <w:keepLines/>
        <w:spacing w:after="160" w:line="280"/>
      </w:pPr>
      <w:r>
        <w:rPr>
          <w:rFonts w:ascii="Georgia" w:cs="Georgia" w:eastAsia="Georgia" w:hAnsi="Georgia"/>
          <w:sz w:val="24"/>
          <w:szCs w:val="24"/>
        </w:rPr>
        <w:t xml:space="preserve">By June, each teacher brings their iteration arc to their own department. Year 2, the AI Task Force brings the proven protocol to department leadership. Within four years, the VISTA Protocol is a standing question in departmental curriculum review. The cost is $700 and access to one of your own classrooms.</w:t>
      </w:r>
    </w:p>
    <w:p>
      <w:pPr>
        <w:keepNext/>
        <w:spacing w:after="80"/>
      </w:pPr>
      <w:r>
        <w:rPr>
          <w:rFonts w:ascii="Georgia" w:cs="Georgia" w:eastAsia="Georgia" w:hAnsi="Georgia"/>
          <w:sz w:val="24"/>
          <w:szCs w:val="24"/>
        </w:rPr>
        <w:t xml:space="preserve"/>
      </w:r>
    </w:p>
    <w:p>
      <w:pPr>
        <w:pStyle w:val="Heading3"/>
        <w:keepNext/>
        <w:spacing w:after="100" w:before="200"/>
      </w:pPr>
      <w:r>
        <w:rPr>
          <w:rFonts w:ascii="Arial" w:cs="Arial" w:eastAsia="Arial" w:hAnsi="Arial"/>
          <w:b/>
          <w:bCs/>
          <w:color w:val="1B3A5C"/>
          <w:sz w:val="24"/>
          <w:szCs w:val="24"/>
        </w:rPr>
        <w:t xml:space="preserve">10-Minute Pitch</w:t>
      </w:r>
    </w:p>
    <w:p>
      <w:pPr>
        <w:keepLines/>
        <w:spacing w:after="160" w:line="280"/>
      </w:pPr>
      <w:r>
        <w:rPr>
          <w:rFonts w:ascii="Georgia" w:cs="Georgia" w:eastAsia="Georgia" w:hAnsi="Georgia"/>
          <w:sz w:val="24"/>
          <w:szCs w:val="24"/>
        </w:rPr>
        <w:t xml:space="preserve">I want to start with something from my own classroom. Last year, students in my statistics project were analyzing a housing dataset. They were supposed to construct statistical representations and interpret them. What happened instead was something I didn’t plan for: they started asking who collected the data, what story it was designed to tell, and what it was hiding. One student said she would never look at a graph the same way again.</w:t>
      </w:r>
    </w:p>
    <w:p>
      <w:pPr>
        <w:keepLines/>
        <w:spacing w:after="160" w:line="280"/>
      </w:pPr>
      <w:r>
        <w:rPr>
          <w:rFonts w:ascii="Georgia" w:cs="Georgia" w:eastAsia="Georgia" w:hAnsi="Georgia"/>
          <w:sz w:val="24"/>
          <w:szCs w:val="24"/>
        </w:rPr>
        <w:t xml:space="preserve">I also noticed something about AI use. Students had access to Flint, Gemini, and ChatGPT. Many kept choosing Flint, even though it’s less powerful. When I asked why, the answer was consistent: Flint made them think. It asked them to justify, explain, push further. When students were doing genuinely meaningful work, many chose the tool that challenged their reasoning over the one that just gave answers. That challenges something we often assume: that if students have access to AI, they’ll always choose the easy path. The evidence from my classroom suggests that’s a design problem, not a student problem.</w:t>
      </w:r>
    </w:p>
    <w:p>
      <w:pPr>
        <w:keepLines/>
        <w:spacing w:after="160" w:line="280"/>
      </w:pPr>
      <w:r>
        <w:rPr>
          <w:rFonts w:ascii="Georgia" w:cs="Georgia" w:eastAsia="Georgia" w:hAnsi="Georgia"/>
          <w:sz w:val="24"/>
          <w:szCs w:val="24"/>
        </w:rPr>
        <w:t xml:space="preserve">The fellowship grows from that observation and from a problem every teacher here is navigating: we no longer know, from a final product alone, whether we’re seeing student thinking or AI output. Our tasks were designed before AI existed, and many of them — honestly — never really required the thinking they claimed to require. AI just made that impossible to ignore.</w:t>
      </w:r>
    </w:p>
    <w:p>
      <w:pPr>
        <w:keepLines/>
        <w:spacing w:after="160" w:line="280"/>
      </w:pPr>
      <w:r>
        <w:rPr>
          <w:rFonts w:ascii="Georgia" w:cs="Georgia" w:eastAsia="Georgia" w:hAnsi="Georgia"/>
          <w:sz w:val="24"/>
          <w:szCs w:val="24"/>
        </w:rPr>
        <w:t xml:space="preserve">Six High School teachers in three pairs. Two experienced AI integrators who push each other. Two developing practitioners building mutual accountability. And two skeptical or resistant teachers — this is the most important design decision. A lone skeptic self-censors. A pair of skeptics can voice concerns, challenge assumptions, and surface institutional friction that would otherwise stay invisible. If the fellowship works for them, it works in any department.</w:t>
      </w:r>
    </w:p>
    <w:p>
      <w:pPr>
        <w:keepLines/>
        <w:spacing w:after="160" w:line="280"/>
      </w:pPr>
      <w:r>
        <w:rPr>
          <w:rFonts w:ascii="Georgia" w:cs="Georgia" w:eastAsia="Georgia" w:hAnsi="Georgia"/>
          <w:sz w:val="24"/>
          <w:szCs w:val="24"/>
        </w:rPr>
        <w:t xml:space="preserve">Each teacher selects one existing assessment. They audit it using the VISTA Protocol — a digital tool I’ve built. They identify what type of learning is at risk, how much AI can bypass it, and what one redesign would protect it. They enact the redesign. They collect student reasoning artifacts — not products, but the documented thinking behind products. They get written feedback from me before enactment and after. In February, one Video-Stimulated Recall session each: 30 minutes, watching a short clip of their own lesson, identifying the moment where the plan broke down. That session produces some of the most important professional learning in the whole fellowship. Total teacher commitment: seven to nine hours across eleven months.</w:t>
      </w:r>
    </w:p>
    <w:p>
      <w:pPr>
        <w:keepLines/>
        <w:spacing w:after="160" w:line="280"/>
      </w:pPr>
      <w:r>
        <w:rPr>
          <w:rFonts w:ascii="Georgia" w:cs="Georgia" w:eastAsia="Georgia" w:hAnsi="Georgia"/>
          <w:sz w:val="24"/>
          <w:szCs w:val="24"/>
        </w:rPr>
        <w:t xml:space="preserve">Two research questions. First: what does it actually look like, in real classrooms with real teachers, when AI-TPACK develops through sustained disciplinary inquiry rather than through training? Second: does that development change assessment design quality in ways that generate more interpretable evidence of student learning? I’ll answer the second question by comparing VISTA audit artifacts and assessment designs before and after each iteration cycle using the Technology Integration Assessment Instrument — measuring competence, not just confidence.</w:t>
      </w:r>
    </w:p>
    <w:p>
      <w:pPr>
        <w:keepLines/>
        <w:spacing w:after="160" w:line="280"/>
      </w:pPr>
      <w:r>
        <w:rPr>
          <w:rFonts w:ascii="Georgia" w:cs="Georgia" w:eastAsia="Georgia" w:hAnsi="Georgia"/>
          <w:sz w:val="24"/>
          <w:szCs w:val="24"/>
        </w:rPr>
        <w:t xml:space="preserve">In June, each teacher brings their iteration arc to their own department. That transfer session is research data: what language transfers? What questions emerge? What resistance appears? It’s the bridge from individual AI-TPACK to collective knowledge that lives in the department, survives staffing changes, and persists beyond any individual participant. Year 2: the AI Task Force brings the proven tools to department leadership. Year 1 teachers become Research Leads — not trainers, but colleagues who can say: here’s what I found, here’s what the student artifacts showed, here’s what changed. Within four years, the VISTA Protocol is part of standard departmental curriculum review.</w:t>
      </w:r>
    </w:p>
    <w:p>
      <w:pPr>
        <w:keepLines/>
        <w:spacing w:after="160" w:line="280"/>
      </w:pPr>
      <w:r>
        <w:rPr>
          <w:rFonts w:ascii="Georgia" w:cs="Georgia" w:eastAsia="Georgia" w:hAnsi="Georgia"/>
          <w:sz w:val="24"/>
          <w:szCs w:val="24"/>
        </w:rPr>
        <w:t xml:space="preserve">One more thing. Generative AI is a probabilistic text predictor — what researchers call a stochastic parrot: producing fluent, plausible-seeming output without any grounding in understanding. Most of what it does is a black box, opaque even to the people who built it. We are not going to fully understand it. Navigating ambiguity is not a temporary problem while we wait for better tools. It is the permanent condition of teaching in an AI-rich world. This fellowship builds the professional judgment to navigate it. The cost to CNG is $700 USD. The return is a documented, discipline-tested model that this school can share as a case study with the broader international school community — and a group of teachers who have done the work rather than attended a workshop about it.</w:t>
      </w:r>
    </w:p>
    <w:p>
      <w:pPr>
        <w:keepNext/>
        <w:spacing w:after="120"/>
      </w:pPr>
      <w:r>
        <w:rPr>
          <w:rFonts w:ascii="Georgia" w:cs="Georgia" w:eastAsia="Georgia" w:hAnsi="Georgia"/>
          <w:sz w:val="24"/>
          <w:szCs w:val="24"/>
        </w:rPr>
        <w:t xml:space="preserve"/>
      </w:r>
    </w:p>
    <w:p>
      <w:pPr>
        <w:pStyle w:val="Heading2"/>
        <w:keepNext/>
        <w:spacing w:after="120" w:before="280"/>
      </w:pPr>
      <w:r>
        <w:rPr>
          <w:rFonts w:ascii="Arial" w:cs="Arial" w:eastAsia="Arial" w:hAnsi="Arial"/>
          <w:b/>
          <w:bCs/>
          <w:color w:val="2E7D8C"/>
          <w:sz w:val="26"/>
          <w:szCs w:val="26"/>
        </w:rPr>
        <w:t xml:space="preserve">Appendix H — AI Task Force Handoff Package</w:t>
      </w:r>
    </w:p>
    <w:p>
      <w:pPr>
        <w:keepLines/>
        <w:spacing w:after="160" w:line="280"/>
      </w:pPr>
      <w:r>
        <w:rPr>
          <w:rFonts w:ascii="Georgia" w:cs="Georgia" w:eastAsia="Georgia" w:hAnsi="Georgia"/>
          <w:b/>
          <w:bCs/>
          <w:sz w:val="24"/>
          <w:szCs w:val="24"/>
        </w:rPr>
        <w:t xml:space="preserve">Contents: </w:t>
      </w:r>
    </w:p>
    <w:p>
      <w:pPr>
        <w:pStyle w:val="ListParagraph"/>
        <w:numPr>
          <w:ilvl w:val="0"/>
          <w:numId w:val="2"/>
        </w:numPr>
        <w:spacing w:after="100"/>
      </w:pPr>
      <w:r>
        <w:rPr>
          <w:rFonts w:ascii="Georgia" w:cs="Georgia" w:eastAsia="Georgia" w:hAnsi="Georgia"/>
          <w:b/>
          <w:bCs/>
          <w:sz w:val="24"/>
          <w:szCs w:val="24"/>
        </w:rPr>
        <w:t xml:space="preserve">Facilitation Guide: </w:t>
      </w:r>
      <w:r>
        <w:rPr>
          <w:rFonts w:ascii="Georgia" w:cs="Georgia" w:eastAsia="Georgia" w:hAnsi="Georgia"/>
          <w:sz w:val="24"/>
          <w:szCs w:val="24"/>
        </w:rPr>
        <w:t xml:space="preserve">step-by-step notes for Launch Session, PLC Cycles, Midpoint 1:1s, VSR Cycles, and June Showcase</w:t>
      </w:r>
    </w:p>
    <w:p>
      <w:pPr>
        <w:pStyle w:val="ListParagraph"/>
        <w:numPr>
          <w:ilvl w:val="0"/>
          <w:numId w:val="2"/>
        </w:numPr>
        <w:spacing w:after="100"/>
      </w:pPr>
      <w:r>
        <w:rPr>
          <w:rFonts w:ascii="Georgia" w:cs="Georgia" w:eastAsia="Georgia" w:hAnsi="Georgia"/>
          <w:b/>
          <w:bCs/>
          <w:sz w:val="24"/>
          <w:szCs w:val="24"/>
        </w:rPr>
        <w:t xml:space="preserve">Epistemological Tension Prompt Bank: </w:t>
      </w:r>
      <w:r>
        <w:rPr>
          <w:rFonts w:ascii="Georgia" w:cs="Georgia" w:eastAsia="Georgia" w:hAnsi="Georgia"/>
          <w:sz w:val="24"/>
          <w:szCs w:val="24"/>
        </w:rPr>
        <w:t xml:space="preserve">discipline-specific questions organized by the tension they surface and the learning they generate</w:t>
      </w:r>
    </w:p>
    <w:p>
      <w:pPr>
        <w:pStyle w:val="ListParagraph"/>
        <w:numPr>
          <w:ilvl w:val="0"/>
          <w:numId w:val="2"/>
        </w:numPr>
        <w:spacing w:after="100"/>
      </w:pPr>
      <w:r>
        <w:rPr>
          <w:rFonts w:ascii="Georgia" w:cs="Georgia" w:eastAsia="Georgia" w:hAnsi="Georgia"/>
          <w:b/>
          <w:bCs/>
          <w:sz w:val="24"/>
          <w:szCs w:val="24"/>
        </w:rPr>
        <w:t xml:space="preserve">VSR Analysis Framework: </w:t>
      </w:r>
      <w:r>
        <w:rPr>
          <w:rFonts w:ascii="Georgia" w:cs="Georgia" w:eastAsia="Georgia" w:hAnsi="Georgia"/>
          <w:sz w:val="24"/>
          <w:szCs w:val="24"/>
        </w:rPr>
        <w:t xml:space="preserve">hinge point identification guide, instructional regression indicators, actionable change categories</w:t>
      </w:r>
    </w:p>
    <w:p>
      <w:pPr>
        <w:pStyle w:val="ListParagraph"/>
        <w:numPr>
          <w:ilvl w:val="0"/>
          <w:numId w:val="2"/>
        </w:numPr>
        <w:spacing w:after="100"/>
      </w:pPr>
      <w:r>
        <w:rPr>
          <w:rFonts w:ascii="Georgia" w:cs="Georgia" w:eastAsia="Georgia" w:hAnsi="Georgia"/>
          <w:b/>
          <w:bCs/>
          <w:sz w:val="24"/>
          <w:szCs w:val="24"/>
        </w:rPr>
        <w:t xml:space="preserve">Iteration Feedback Template: </w:t>
      </w:r>
      <w:r>
        <w:rPr>
          <w:rFonts w:ascii="Georgia" w:cs="Georgia" w:eastAsia="Georgia" w:hAnsi="Georgia"/>
          <w:sz w:val="24"/>
          <w:szCs w:val="24"/>
        </w:rPr>
        <w:t xml:space="preserve">structured written feedback covering design quality, SAIL coherence, and intellectual labour visibility</w:t>
      </w:r>
    </w:p>
    <w:p>
      <w:pPr>
        <w:pStyle w:val="ListParagraph"/>
        <w:numPr>
          <w:ilvl w:val="0"/>
          <w:numId w:val="2"/>
        </w:numPr>
        <w:spacing w:after="100"/>
      </w:pPr>
      <w:r>
        <w:rPr>
          <w:rFonts w:ascii="Georgia" w:cs="Georgia" w:eastAsia="Georgia" w:hAnsi="Georgia"/>
          <w:b/>
          <w:bCs/>
          <w:sz w:val="24"/>
          <w:szCs w:val="24"/>
        </w:rPr>
        <w:t xml:space="preserve">Adaptation Notes by Division: </w:t>
      </w:r>
      <w:r>
        <w:rPr>
          <w:rFonts w:ascii="Georgia" w:cs="Georgia" w:eastAsia="Georgia" w:hAnsi="Georgia"/>
          <w:sz w:val="24"/>
          <w:szCs w:val="24"/>
        </w:rPr>
        <w:t xml:space="preserve">HS, MS, ES/PS, and LC-specific considerations</w:t>
      </w:r>
    </w:p>
    <w:p>
      <w:pPr>
        <w:pStyle w:val="ListParagraph"/>
        <w:numPr>
          <w:ilvl w:val="0"/>
          <w:numId w:val="2"/>
        </w:numPr>
        <w:spacing w:after="100"/>
      </w:pPr>
      <w:r>
        <w:rPr>
          <w:rFonts w:ascii="Georgia" w:cs="Georgia" w:eastAsia="Georgia" w:hAnsi="Georgia"/>
          <w:b/>
          <w:bCs/>
          <w:sz w:val="24"/>
          <w:szCs w:val="24"/>
        </w:rPr>
        <w:t xml:space="preserve">Year 2 Entry Points: </w:t>
      </w:r>
      <w:r>
        <w:rPr>
          <w:rFonts w:ascii="Georgia" w:cs="Georgia" w:eastAsia="Georgia" w:hAnsi="Georgia"/>
          <w:sz w:val="24"/>
          <w:szCs w:val="24"/>
        </w:rPr>
        <w:t xml:space="preserve">documented redesign priorities from Year 1 participants that serve as Year 2 starting points for the AI Task Force</w:t>
      </w:r>
    </w:p>
    <w:p>
      <w:pPr>
        <w:keepNext/>
        <w:spacing w:after="120"/>
      </w:pPr>
      <w:r>
        <w:rPr>
          <w:rFonts w:ascii="Georgia" w:cs="Georgia" w:eastAsia="Georgia" w:hAnsi="Georgia"/>
          <w:sz w:val="24"/>
          <w:szCs w:val="24"/>
        </w:rPr>
        <w:t xml:space="preserve"/>
      </w:r>
    </w:p>
    <w:p>
      <w:pPr>
        <w:spacing w:after="0" w:before="160"/>
        <w:jc w:val="center"/>
      </w:pPr>
      <w:r>
        <w:rPr>
          <w:rFonts w:ascii="Arial" w:cs="Arial" w:eastAsia="Arial" w:hAnsi="Arial"/>
          <w:i/>
          <w:iCs/>
          <w:color w:val="2E7D8C"/>
          <w:sz w:val="20"/>
          <w:szCs w:val="20"/>
        </w:rPr>
        <w:t xml:space="preserve">— End of Proposal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E4" w:sz="4" w:space="4"/>
      </w:pBdr>
      <w:tabs>
        <w:tab w:val="right" w:pos="9360"/>
      </w:tabs>
      <w:spacing w:before="0"/>
    </w:pPr>
    <w:r>
      <w:rPr>
        <w:rFonts w:ascii="Arial" w:cs="Arial" w:eastAsia="Arial" w:hAnsi="Arial"/>
        <w:color w:val="2E7D8C"/>
        <w:sz w:val="18"/>
        <w:szCs w:val="18"/>
      </w:rPr>
      <w:t xml:space="preserve">Colegio Nueva Granada  ·  Bogotá, Colombia</w:t>
    </w:r>
    <w:r>
      <w:rPr>
        <w:rFonts w:ascii="Arial" w:cs="Arial" w:eastAsia="Arial" w:hAnsi="Arial"/>
        <w:sz w:val="18"/>
        <w:szCs w:val="18"/>
      </w:rPr>
      <w:t xml:space="preserve">	</w:t>
    </w:r>
    <w:r>
      <w:rPr>
        <w:rFonts w:ascii="Arial" w:cs="Arial" w:eastAsia="Arial" w:hAnsi="Arial"/>
        <w:color w:val="2E7D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CE4" w:sz="4" w:space="4"/>
      </w:pBdr>
      <w:spacing w:after="0"/>
    </w:pPr>
    <w:r>
      <w:rPr>
        <w:rFonts w:ascii="Arial" w:cs="Arial" w:eastAsia="Arial" w:hAnsi="Arial"/>
        <w:color w:val="2E7D8C"/>
        <w:sz w:val="18"/>
        <w:szCs w:val="18"/>
      </w:rPr>
      <w:t xml:space="preserve">Designing Human-Centered Learning in AI-Rich Classrooms  ·  A. Cajina  ·  CNG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f3820fa2422e68bbeef666bf83ad17b92297ea.undefined"/><Relationship Id="rId10" Type="http://schemas.openxmlformats.org/officeDocument/2006/relationships/image" Target="media/86c2255137f983994e36dfd9f83b88a25770ef58.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2026-06-09T01:54:52.081Z</dcterms:created>
  <dcterms:modified xsi:type="dcterms:W3CDTF">2026-06-09T01:54:52.082Z</dcterms:modified>
</cp:coreProperties>
</file>

<file path=docProps/custom.xml><?xml version="1.0" encoding="utf-8"?>
<Properties xmlns="http://schemas.openxmlformats.org/officeDocument/2006/custom-properties" xmlns:vt="http://schemas.openxmlformats.org/officeDocument/2006/docPropsVTypes"/>
</file>