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3A5C"/>
          <w:sz w:val="30"/>
          <w:szCs w:val="30"/>
        </w:rPr>
        <w:t xml:space="preserve">CNG AI Innovation Fellowship 2026–2027</w:t>
      </w:r>
    </w:p>
    <w:p>
      <w:pPr>
        <w:spacing w:after="60"/>
        <w:jc w:val="center"/>
      </w:pPr>
      <w:r>
        <w:rPr>
          <w:rFonts w:ascii="Georgia" w:cs="Georgia" w:eastAsia="Georgia" w:hAnsi="Georgia"/>
          <w:i/>
          <w:iCs/>
          <w:color w:val="2E7D8C"/>
          <w:sz w:val="23"/>
          <w:szCs w:val="23"/>
        </w:rPr>
        <w:t xml:space="preserve">Designing Human-Centered Learning in AI-Rich Classrooms</w:t>
      </w:r>
    </w:p>
    <w:p>
      <w:pPr>
        <w:spacing w:after="80"/>
        <w:jc w:val="center"/>
      </w:pPr>
      <w:r>
        <w:rPr>
          <w:rFonts w:ascii="Georgia" w:cs="Georgia" w:eastAsia="Georgia" w:hAnsi="Georgia"/>
          <w:color w:val="C5DCE4"/>
          <w:sz w:val="19"/>
          <w:szCs w:val="19"/>
        </w:rPr>
        <w:t xml:space="preserve">Andrew Cajina  ·  High School Mathematics  ·  Colegio Nueva Granada  ·  June 2026</w:t>
      </w:r>
    </w:p>
    <w:p>
      <w:pPr>
        <w:pBdr>
          <w:bottom w:val="single" w:color="C9952A" w:sz="3" w:space="8"/>
        </w:pBdr>
        <w:spacing w:after="0"/>
      </w:pPr>
    </w:p>
    <w:p>
      <w:pPr>
        <w:spacing w:after="160"/>
      </w:pPr>
    </w:p>
    <w:p>
      <w:pPr>
        <w:spacing w:after="80" w:before="200"/>
      </w:pPr>
      <w:r>
        <w:rPr>
          <w:rFonts w:ascii="DM Sans" w:cs="DM Sans" w:eastAsia="DM Sans" w:hAnsi="DM Sans"/>
          <w:b/>
          <w:bCs/>
          <w:color w:val="C9952A"/>
          <w:sz w:val="20"/>
          <w:szCs w:val="20"/>
        </w:rPr>
        <w:t xml:space="preserve">PROJECT TITLE</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Designing Human-Centered Learning in AI-Rich Classrooms</w:t>
      </w:r>
      <w:r>
        <w:rPr>
          <w:rFonts w:ascii="Georgia" w:cs="Georgia" w:eastAsia="Georgia" w:hAnsi="Georgia"/>
          <w:sz w:val="24"/>
          <w:szCs w:val="24"/>
        </w:rPr>
        <w:t xml:space="preserve">: A Teacher Capacity Fellowship in Assessment Redesign, Visible Reasoning, and AI-Informed Practice</w:t>
      </w:r>
    </w:p>
    <w:p>
      <w:pPr>
        <w:pStyle w:val="Normal"/>
        <w:spacing w:after="140"/>
      </w:pPr>
      <w:r>
        <w:rPr>
          <w:rFonts w:ascii="Georgia" w:cs="Georgia" w:eastAsia="Georgia" w:hAnsi="Georgia"/>
          <w:sz w:val="24"/>
          <w:szCs w:val="24"/>
        </w:rPr>
        <w:t xml:space="preserve">Subtitle: </w:t>
      </w:r>
      <w:r>
        <w:rPr>
          <w:rFonts w:ascii="Georgia" w:cs="Georgia" w:eastAsia="Georgia" w:hAnsi="Georgia"/>
          <w:i/>
          <w:iCs/>
          <w:sz w:val="24"/>
          <w:szCs w:val="24"/>
        </w:rPr>
        <w:t xml:space="preserve">Building the teacher judgment that makes learning visible when AI can produce the work.</w:t>
      </w:r>
    </w:p>
    <w:p>
      <w:pPr>
        <w:spacing w:after="120"/>
      </w:pPr>
    </w:p>
    <w:p>
      <w:pPr>
        <w:spacing w:after="80" w:before="200"/>
      </w:pPr>
      <w:r>
        <w:rPr>
          <w:rFonts w:ascii="DM Sans" w:cs="DM Sans" w:eastAsia="DM Sans" w:hAnsi="DM Sans"/>
          <w:b/>
          <w:bCs/>
          <w:color w:val="C9952A"/>
          <w:sz w:val="20"/>
          <w:szCs w:val="20"/>
        </w:rPr>
        <w:t xml:space="preserve">PROBLEM OF PRACTICE</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When generative AI can produce polished essays, mathematical analyses, lab reports, and code, the final products students submit no longer reliably tell teachers what a student actually understands. A student who outsourced the work and a student who genuinely understood it can produce indistinguishable outputs. This is not primarily an integrity problem — it is an </w:t>
      </w:r>
      <w:r>
        <w:rPr>
          <w:rFonts w:ascii="Georgia" w:cs="Georgia" w:eastAsia="Georgia" w:hAnsi="Georgia"/>
          <w:b/>
          <w:bCs/>
          <w:sz w:val="24"/>
          <w:szCs w:val="24"/>
        </w:rPr>
        <w:t xml:space="preserve">assessment validity problem</w:t>
      </w:r>
      <w:r>
        <w:rPr>
          <w:rFonts w:ascii="Georgia" w:cs="Georgia" w:eastAsia="Georgia" w:hAnsi="Georgia"/>
          <w:sz w:val="24"/>
          <w:szCs w:val="24"/>
        </w:rPr>
        <w:t xml:space="preserve">, and it was present before AI. AI simply made it impossible to ignore.</w:t>
      </w:r>
    </w:p>
    <w:p>
      <w:pPr>
        <w:pStyle w:val="Normal"/>
        <w:spacing w:after="140"/>
      </w:pPr>
      <w:r>
        <w:rPr>
          <w:rFonts w:ascii="Georgia" w:cs="Georgia" w:eastAsia="Georgia" w:hAnsi="Georgia"/>
          <w:sz w:val="24"/>
          <w:szCs w:val="24"/>
        </w:rPr>
        <w:t xml:space="preserve">The deeper issue is what this reveals about how we have been designing learning. When the Science of Learning tells us that brains encode knowledge through </w:t>
      </w:r>
      <w:r>
        <w:rPr>
          <w:rFonts w:ascii="Georgia" w:cs="Georgia" w:eastAsia="Georgia" w:hAnsi="Georgia"/>
          <w:b/>
          <w:bCs/>
          <w:sz w:val="24"/>
          <w:szCs w:val="24"/>
        </w:rPr>
        <w:t xml:space="preserve">active retrieval, effortful processing, and error feedback</w:t>
      </w:r>
      <w:r>
        <w:rPr>
          <w:rFonts w:ascii="Georgia" w:cs="Georgia" w:eastAsia="Georgia" w:hAnsi="Georgia"/>
          <w:sz w:val="24"/>
          <w:szCs w:val="24"/>
        </w:rPr>
        <w:t xml:space="preserve"> (Dehaene, 2020), AI-bypassed tasks eliminate the very conditions that make learning happen. Passive receipt of AI-generated answers suppresses the active engagement Dehaene identifies as one of four non-negotiable pillars of learning.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frames this as the "desirable difficulty" problem: difficulty that engages productive struggle is not an obstacle to learning — it is the mechanism. When AI removes that difficulty, learning does not simply become easier. It does not occur.</w:t>
      </w:r>
    </w:p>
    <w:p>
      <w:pPr>
        <w:pStyle w:val="Normal"/>
        <w:spacing w:after="140"/>
      </w:pPr>
      <w:r>
        <w:rPr>
          <w:rFonts w:ascii="Georgia" w:cs="Georgia" w:eastAsia="Georgia" w:hAnsi="Georgia"/>
          <w:sz w:val="24"/>
          <w:szCs w:val="24"/>
        </w:rPr>
        <w:t xml:space="preserve">CNG teachers increasingly face a classroom in which they can evaluate polished products but cannot interpret student thinking. This fellowship addresses that directly: developing teacher capacity to </w:t>
      </w:r>
      <w:r>
        <w:rPr>
          <w:rFonts w:ascii="Georgia" w:cs="Georgia" w:eastAsia="Georgia" w:hAnsi="Georgia"/>
          <w:b/>
          <w:bCs/>
          <w:sz w:val="24"/>
          <w:szCs w:val="24"/>
        </w:rPr>
        <w:t xml:space="preserve">redesign assessment so that student reasoning — not just finished products — becomes the assessable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CE4" w:sz="4"/>
              <w:left w:val="single" w:color="C5DCE4" w:sz="4"/>
              <w:bottom w:val="single" w:color="C5DCE4" w:sz="4"/>
              <w:right w:val="single" w:color="C5DCE4" w:sz="4"/>
            </w:tcBorders>
            <w:shd w:fill="FBF4E8" w:val="clear"/>
            <w:tcMar>
              <w:top w:type="dxa" w:w="120"/>
              <w:left w:type="dxa" w:w="200"/>
              <w:bottom w:type="dxa" w:w="120"/>
              <w:right w:type="dxa" w:w="200"/>
            </w:tcMar>
          </w:tcPr>
          <w:p>
            <w:pPr>
              <w:spacing w:after="0"/>
            </w:pPr>
            <w:r>
              <w:rPr>
                <w:rFonts w:ascii="Georgia" w:cs="Georgia" w:eastAsia="Georgia" w:hAnsi="Georgia"/>
                <w:i/>
                <w:iCs/>
                <w:color w:val="222222"/>
                <w:sz w:val="20"/>
                <w:szCs w:val="20"/>
              </w:rPr>
              <w:t xml:space="preserve">The organizing question: "If AI completed this task perfectly, what learning would disappear?" When the answer is everything — the task needs redesign. When the answer is nothing significant — the design is working.</w:t>
            </w:r>
          </w:p>
        </w:tc>
      </w:tr>
    </w:tbl>
    <w:p>
      <w:pPr>
        <w:spacing w:after="120"/>
      </w:pPr>
    </w:p>
    <w:p>
      <w:pPr>
        <w:spacing w:after="80" w:before="200"/>
      </w:pPr>
      <w:r>
        <w:rPr>
          <w:rFonts w:ascii="DM Sans" w:cs="DM Sans" w:eastAsia="DM Sans" w:hAnsi="DM Sans"/>
          <w:b/>
          <w:bCs/>
          <w:color w:val="C9952A"/>
          <w:sz w:val="20"/>
          <w:szCs w:val="20"/>
        </w:rPr>
        <w:t xml:space="preserve">ALIGNMENT WITH CNG PRIORITIES AND THE SCIENCE OF LEARNING</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Mission &amp; Vision</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Developing teachers who can design learning that remains meaningful, visible, and assessable when AI shapes how academic work is produced. Directly addresses the mission to develop responsible global citizens who achieve their fullest potential — which requires that assessment still tells us what students actually understand.</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Dehaene (2020)</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Dehaene's four pillars: attention, active engagement, error feedback, consolidation. AI-bypassed tasks violate at least three. The VISTA Protocol asks whether each task still produces the conditions under which brains learn. Assessment redesign is not pedagogical housekeeping — it is neurological necessity.</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Neuroteach (Whitman &amp; Kelleher, 2016)</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Neuroteach grounds CNG's instructional model. The fellowship applies three of its core principles directly: (1) desirable difficulty — tasks must require genuine effortful processing; (2) retrieval practice — visible reasoning artifacts require students to reconstruct and articulate understanding, not just produce it; (3) metacognition — VSR and reflection cycles build the habit of examining one's own thinking process.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Responsible &amp; Ethical AI Use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AI Stress-Test step teaches teachers to critique AI output for accuracy, bias, and hollowness before trusting it — and models the same critical stance we want students to develop. The SAIL framework is embedded in every redesigned assessment, making AI-use decisions deliberate and documentable.</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Authentic Assessment in the Age of AI</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fellowship's entire focus. Every redesigned assessment must generate evidence of genuine student thinking that cannot be produced by AI alone. VISTA (Visibility Into Student Thinking and Agency) is the instrument that operationalises this.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AI-Powered Learning Supports — CNG Chatbot</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 proposes a CNG-specific AI chatbot as a Year 2 institutional output: a disciplinary thinking partner trained on CNG's own pedagogical frameworks, SAIL levels, and reasoning exemplars from Year 1. Unlike generic AI tools, a CNG chatbot would know what a CNG student is supposed to be learning, and could scaffold thinking rather than replace it.</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Strategic Directions — Shareable &amp; Scalable</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tools, protocols, and iteration records produced in Year 1 are designed for transfer: to the AI Task Force, to departments, across divisions. The VISTA website is bilingual, open-access, and discipline-agnostic. Year 1 teachers become Year 2 mentors.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Innovation Learning Initiative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Structured professional inquiry, evidence-based iteration, and institutional knowledge building. Year 1 evidence base prepares Year 2 department-level implementation.</w:t>
            </w:r>
          </w:p>
        </w:tc>
      </w:tr>
    </w:tbl>
    <w:p>
      <w:pPr>
        <w:spacing w:after="120"/>
      </w:pPr>
    </w:p>
    <w:p>
      <w:pPr>
        <w:spacing w:after="80" w:before="200"/>
      </w:pPr>
      <w:r>
        <w:rPr>
          <w:rFonts w:ascii="DM Sans" w:cs="DM Sans" w:eastAsia="DM Sans" w:hAnsi="DM Sans"/>
          <w:b/>
          <w:bCs/>
          <w:color w:val="C9952A"/>
          <w:sz w:val="20"/>
          <w:szCs w:val="20"/>
        </w:rPr>
        <w:t xml:space="preserve">PROJECT DESCRIPTION</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This is a professional learning fellowship, not a research agenda. Six High School teachers work in three mixed-experience pairs across one academic year. Each teacher selects one existing assessment, audits it using the VISTA Protocol, redesigns it to make student reasoning visible, teaches it, collects student reasoning evidence, and reflects through two structured cycles. The tools and protocols they produce are handed off to the AI Task Force for Year 2 institutional scaling.</w:t>
      </w:r>
    </w:p>
    <w:p>
      <w:pPr>
        <w:spacing w:after="60"/>
      </w:pPr>
    </w:p>
    <w:p>
      <w:pPr>
        <w:pStyle w:val="Normal"/>
        <w:spacing w:after="140"/>
      </w:pPr>
      <w:r>
        <w:rPr>
          <w:rFonts w:ascii="Georgia" w:cs="Georgia" w:eastAsia="Georgia" w:hAnsi="Georgia"/>
          <w:b/>
          <w:bCs/>
          <w:sz w:val="24"/>
          <w:szCs w:val="24"/>
        </w:rPr>
        <w:t xml:space="preserve">The VISTA Protocol (Visibility Into Student Thinking and Agency) </w:t>
      </w:r>
      <w:r>
        <w:rPr>
          <w:rFonts w:ascii="Georgia" w:cs="Georgia" w:eastAsia="Georgia" w:hAnsi="Georgia"/>
          <w:sz w:val="24"/>
          <w:szCs w:val="24"/>
        </w:rPr>
        <w:t xml:space="preserve">is a structured assessment design instrument built around the organizing question. It operationalises a Science of Learning insight: assessment should generate evidence of the cognitive processes that constitute learning — reasoning, revision, decision-making, metacognition — not just the products those processes might eventually produce. This aligns directly with what Dehaene calls the "active engagement" pillar and what Neuroteach identifies as the conditions for genuine encoding.</w:t>
      </w:r>
    </w:p>
    <w:p>
      <w:pPr>
        <w:spacing w:after="60"/>
      </w:pPr>
    </w:p>
    <w:p>
      <w:pPr>
        <w:pStyle w:val="Normal"/>
        <w:spacing w:after="140"/>
      </w:pPr>
      <w:r>
        <w:rPr>
          <w:rFonts w:ascii="Georgia" w:cs="Georgia" w:eastAsia="Georgia" w:hAnsi="Georgia"/>
          <w:b/>
          <w:bCs/>
          <w:sz w:val="24"/>
          <w:szCs w:val="24"/>
        </w:rPr>
        <w:t xml:space="preserve">Two-Cycle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1
Aug–Feb
Supported</w:t>
            </w:r>
          </w:p>
        </w:tc>
        <w:tc>
          <w:tcPr>
            <w:tcW w:type="dxa" w:w="71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Cajina models VISTA live on his own assessment (August launch). Teacher audits their selected assessment alone. Co-redesign with Cajina — he contributes AI-specific design knowledge; the teacher leads on content and pedagogy. Co-plan and supported enactment. Student reasoning artifacts collected. VSR Session 1: teacher and Cajina review a classroom clip together — "What did I think would happen here, and what actually happened?" Revision follows. Monthly lunch PLC (1 hour).</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2
Feb–Jun
Supported
Independence</w:t>
            </w:r>
          </w:p>
        </w:tc>
        <w:tc>
          <w:tcPr>
            <w:tcW w:type="dxa" w:w="71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 redesigns a second assessment independently. No co-planning; no co-teaching. Cajina provides one structured written feedback pass on the redesign before enactment — focused on AI-related design decisions and visible reasoning strategy only. Teacher enacts independently. VSR Session 2: peer-facilitated by the pair partner; Cajina attends as a silent moderator, intervening only if a significant gap is missed. Student artifacts reviewed. Each teacher brings their two-cycle arc to their own department in June: iteration records, VISTA artifacts, student reasoning evidence. This is the bridge from individual to collective capacity.</w:t>
            </w:r>
          </w:p>
        </w:tc>
      </w:tr>
    </w:tbl>
    <w:p>
      <w:pPr>
        <w:spacing w:after="80"/>
      </w:pPr>
    </w:p>
    <w:p>
      <w:pPr>
        <w:pStyle w:val="Normal"/>
        <w:spacing w:after="140"/>
      </w:pPr>
      <w:r>
        <w:rPr>
          <w:rFonts w:ascii="Georgia" w:cs="Georgia" w:eastAsia="Georgia" w:hAnsi="Georgia"/>
          <w:b/>
          <w:bCs/>
          <w:sz w:val="24"/>
          <w:szCs w:val="24"/>
        </w:rPr>
        <w:t xml:space="preserve">The AI Stress-Test </w:t>
      </w:r>
      <w:r>
        <w:rPr>
          <w:rFonts w:ascii="Georgia" w:cs="Georgia" w:eastAsia="Georgia" w:hAnsi="Georgia"/>
          <w:sz w:val="24"/>
          <w:szCs w:val="24"/>
        </w:rPr>
        <w:t xml:space="preserve">is the fellowship's digital coaching mechanism — built into the VISTA website. Before each redesign, teachers run their own task through an AI tool the way a student would, then work through four guided moves: What can AI do with this task? How much of it can you trust? What would happen in your classroom? Who does what — the student or the AI? Each move starts with the teacher's own thinking before any AI is opened, then uses iterative prompting to go deeper. This is the routine the fellowship is trying to build: not AI dependence, but the critical, independent judgment that uses AI as a thinking partner. By Cycle 2, teachers run it alone.</w:t>
      </w:r>
    </w:p>
    <w:p>
      <w:pPr>
        <w:spacing w:after="80"/>
      </w:pPr>
    </w:p>
    <w:p>
      <w:pPr>
        <w:pStyle w:val="Normal"/>
        <w:spacing w:after="140"/>
      </w:pPr>
      <w:r>
        <w:rPr>
          <w:rFonts w:ascii="Georgia" w:cs="Georgia" w:eastAsia="Georgia" w:hAnsi="Georgia"/>
          <w:b/>
          <w:bCs/>
          <w:sz w:val="24"/>
          <w:szCs w:val="24"/>
        </w:rPr>
        <w:t xml:space="preserve">The CNG Chatbot Proposal.</w:t>
      </w:r>
      <w:r>
        <w:rPr>
          <w:rFonts w:ascii="Georgia" w:cs="Georgia" w:eastAsia="Georgia" w:hAnsi="Georgia"/>
          <w:sz w:val="24"/>
          <w:szCs w:val="24"/>
        </w:rPr>
        <w:t xml:space="preserve"> A critical finding from the classroom pilots: when students were given a tool that pushed them to think — rather than one that gave them answers — many chose it. The discipline-specific thinking partner was more valuable than the most powerful generative AI. CNG has an opportunity to build exactly that: an institution-specific AI chatbot trained on CNG's own assessment frameworks, SAIL levels, disciplinary reasoning standards, and student reasoning exemplars generated during Year 1. Such a tool would know what CNG expects from a student in each subject, scaffold toward those expectations rather than away from them, and give teachers confidence that the AI in their classroom is pedagogically aligned. This is precisely what the fellowship call describes as "AI-powered learning supports (e.g., tutorial chatbots)" — and Year 1 produces the knowledge base from which it could be built.</w:t>
      </w:r>
    </w:p>
    <w:p>
      <w:pPr>
        <w:spacing w:after="120"/>
      </w:pPr>
    </w:p>
    <w:p>
      <w:pPr>
        <w:spacing w:after="80" w:before="200"/>
      </w:pPr>
      <w:r>
        <w:rPr>
          <w:rFonts w:ascii="DM Sans" w:cs="DM Sans" w:eastAsia="DM Sans" w:hAnsi="DM Sans"/>
          <w:b/>
          <w:bCs/>
          <w:color w:val="C9952A"/>
          <w:sz w:val="20"/>
          <w:szCs w:val="20"/>
        </w:rPr>
        <w:t xml:space="preserve">DELIVERABLES</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Protocol Website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Interactive, bilingual (EN/ES) assessment audit tool — Initial Audit → AI Stress-Test → Final Audit. Open-access, discipline-agnostic. Designed for independent teacher use from Cycle 2 onward.</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6 Teacher Iteration Records</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Complete two-cycle arcs: initial VISTA audit, AI Stress-Test documentation, redesigned assessment, student reasoning artifacts, VSR transcripts, revision notes. The raw evidence base for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 Evidence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Before/after teacher competence measures (TIAI) across both cycles for all 6 teachers. Documented evidence of capacity change.</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Monthly Lunch PLC Protocol</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Facilitation guide for 1-hour department-accessible PLC sessions. Monthly (one per month, September–June — 10 sessions) in Year 1; replicable for Year 2 without Cajina.</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Cognitive Agency Knowledge Hub</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Cross-disciplinary archive: VISTA artifacts, student reasoning exemplars by discipline, VSR reflection notes. Becomes the training corpus for a CNG chatbot.</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Specification</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discipline-specific CNG AI thinking partner: pedagogical framework, SAIL integration, disciplinary reasoning prompts, Year 1 exemplar training data. Ready for development in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 Task Force Handoff Package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Everything needed to run Year 2 without Cajina as primary facilitator: protocols, instruments, facilitation notes, Year 1 evidence base, chatbot specification.</w:t>
            </w:r>
          </w:p>
        </w:tc>
      </w:tr>
    </w:tbl>
    <w:p>
      <w:pPr>
        <w:spacing w:after="120"/>
      </w:pPr>
    </w:p>
    <w:p>
      <w:pPr>
        <w:spacing w:after="80" w:before="200"/>
      </w:pPr>
      <w:r>
        <w:rPr>
          <w:rFonts w:ascii="DM Sans" w:cs="DM Sans" w:eastAsia="DM Sans" w:hAnsi="DM Sans"/>
          <w:b/>
          <w:bCs/>
          <w:color w:val="C9952A"/>
          <w:sz w:val="20"/>
          <w:szCs w:val="20"/>
        </w:rPr>
        <w:t xml:space="preserve">TIMELINE</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August 2026</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Fellowship launch. Full cohort session (60 min). Cajina models VISTA on his own assessment. Each pair identifies their Cycle 1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September–October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1 VISTA audits. Co-redesign with Cajina. Co-planning sessions (Cajina: AI-TPACK; teacher: content and pedagogy).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October–November</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Supported enactment. Student reasoning artifacts collected. AI Stress-Test run on each redesigned task.</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November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Monthly PLC (one of 10 sessions, September–June) — 1 hour. Pairs share artifact findings. Each teacher names one Cycle 2 redesign priority.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January–February 2027</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1 — Cajina facilitates. Assessment revision. Cycle 2 planning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February–April</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2 supported independence. Teachers redesign and enact independently. Cajina provides one written feedback pass before enactment; attends VSR Session 2 as a silent moderator.</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Monthly PLC (one of 10 sessions, September–June) — 1 hour. Cycle 2 check-in. Transfer session preparation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April–May</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2 — peer-facilitated; Cajina moderates but does not lead. CNG chatbot specification drafted from Year 1 evidence.</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May–June</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Department transfer sessions. Each teacher brings their two-cycle arc to their own department.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June 2027</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Full cohort showcase. AI Task Force handoff. Chatbot specification and Cognitive Agency Knowledge Hub delivered.</w:t>
            </w:r>
          </w:p>
        </w:tc>
      </w:tr>
    </w:tbl>
    <w:p>
      <w:pPr>
        <w:spacing w:after="120"/>
      </w:pPr>
    </w:p>
    <w:p>
      <w:pPr>
        <w:spacing w:after="80" w:before="200"/>
      </w:pPr>
      <w:r>
        <w:rPr>
          <w:rFonts w:ascii="DM Sans" w:cs="DM Sans" w:eastAsia="DM Sans" w:hAnsi="DM Sans"/>
          <w:b/>
          <w:bCs/>
          <w:color w:val="C9952A"/>
          <w:sz w:val="20"/>
          <w:szCs w:val="20"/>
        </w:rPr>
        <w:t xml:space="preserve">EXPECTED IMPACT AND SUCCESS INDICATORS</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Teacher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audit competence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6 teachers complete two independent VISTA audits by June 2027. Cycle 2 audit requires no co-planning with Cajina.</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Measurable shift in TIAI (Teacher Integration of AI-TPACK Instrument) between August 2026 and June 2027 for all participants.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Assessment redesign confidence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can name, with specific evidence, why a redesigned task generates interpretable learning evidence that the original did not.</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Iterative AI use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demonstrate the think-first-then-deepen routine independently — using AI as a critical thinking partner, not a shortcut.</w:t>
            </w:r>
          </w:p>
        </w:tc>
      </w:tr>
    </w:tbl>
    <w:p>
      <w:pPr>
        <w:spacing w:after="60"/>
      </w:pPr>
    </w:p>
    <w:p>
      <w:pPr>
        <w:pStyle w:val="Normal"/>
        <w:spacing w:after="140"/>
      </w:pPr>
      <w:r>
        <w:rPr>
          <w:rFonts w:ascii="Georgia" w:cs="Georgia" w:eastAsia="Georgia" w:hAnsi="Georgia"/>
          <w:b/>
          <w:bCs/>
          <w:sz w:val="24"/>
          <w:szCs w:val="24"/>
        </w:rPr>
        <w:t xml:space="preserve">Student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Visible reasoning evidence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 reasoning artifacts — vlogs, annotated drafts, revision notes, AI disclosure reflections — present in all redesigned assessments.</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Agency toward learning</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Students make deliberate AI-use decisions aligned with their chosen SAIL level, documented and discussable.</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alignment</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Redesigned assessments produce the conditions Dehaene and Neuroteach identify as necessary: effortful retrieval, error feedback, active engagement, metacognitive reflection.</w:t>
            </w:r>
          </w:p>
        </w:tc>
      </w:tr>
    </w:tbl>
    <w:p>
      <w:pPr>
        <w:spacing w:after="60"/>
      </w:pPr>
    </w:p>
    <w:p>
      <w:pPr>
        <w:pStyle w:val="Normal"/>
        <w:spacing w:after="140"/>
      </w:pPr>
      <w:r>
        <w:rPr>
          <w:rFonts w:ascii="Georgia" w:cs="Georgia" w:eastAsia="Georgia" w:hAnsi="Georgia"/>
          <w:b/>
          <w:bCs/>
          <w:sz w:val="24"/>
          <w:szCs w:val="24"/>
        </w:rPr>
        <w:t xml:space="preserve">Institutional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Scalable Year 2</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AI Task Force receives a complete handoff package. Year 1 teachers serve as mentors. Department leadership joins facilitation. Fellowship runs without Cajina as primary driver.</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foundation</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CNG-specific AI thinking partner, grounded in Year 1 student reasoning exemplars and CNG's own pedagogical frameworks.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Cross-disciplinary tools</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VISTA Protocol website, Knowledge Hub, and PLC protocol are discipline-agnostic and division-ready. Any department can use them from Year 2 without additional training.</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Shared professional language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Six transfer sessions produce cross-disciplinary evidence of what language, questions, and frameworks travel between teachers and subjects — the foundation for a CNG-wide AI pedagogy vocabulary.</w:t>
            </w:r>
          </w:p>
        </w:tc>
      </w:tr>
    </w:tbl>
    <w:p>
      <w:pPr>
        <w:spacing w:after="120"/>
      </w:pPr>
    </w:p>
    <w:p>
      <w:pPr>
        <w:pBdr>
          <w:bottom w:val="single" w:color="C9952A" w:sz="3" w:space="8"/>
        </w:pBdr>
        <w:spacing w:after="0"/>
      </w:pPr>
    </w:p>
    <w:p>
      <w:pPr>
        <w:spacing w:after="120"/>
      </w:pPr>
    </w:p>
    <w:p>
      <w:pPr>
        <w:pStyle w:val="Normal"/>
        <w:spacing w:after="140"/>
      </w:pPr>
      <w:r>
        <w:rPr>
          <w:rFonts w:ascii="Georgia" w:cs="Georgia" w:eastAsia="Georgia" w:hAnsi="Georgia"/>
          <w:sz w:val="24"/>
          <w:szCs w:val="24"/>
        </w:rPr>
        <w:t xml:space="preserve">This fellowship is not designed to answer every question AI raises in education. It is designed to develop the judgment, tools, and shared language teachers need to navigate those questions together — grounded in what the science of learning tells us about how the brain encodes knowledge, and what assessment design tells us about making that encoding visible. The CNG chatbot proposal grows directly from this ground: a tool that knows what CNG students are supposed to be learning, and helps them get there.</w:t>
      </w:r>
    </w:p>
    <w:p>
      <w:pPr>
        <w:spacing w:after="80"/>
      </w:pPr>
    </w:p>
    <w:p>
      <w:pPr>
        <w:pStyle w:val="Normal"/>
        <w:spacing w:after="140"/>
      </w:pPr>
      <w:r>
        <w:rPr>
          <w:rFonts w:ascii="Georgia" w:cs="Georgia" w:eastAsia="Georgia" w:hAnsi="Georgia"/>
          <w:sz w:val="24"/>
          <w:szCs w:val="24"/>
        </w:rPr>
        <w:t xml:space="preserve">The most significant resource this fellowship produces is not a protocol or a website. It is six teachers who know how to look at any assessment and ask: if AI completed this perfectly, what learning would disappear? — and who know what to do when the answer is "everything."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76" w:lineRule="auto"/>
    </w:pPr>
    <w:rPr>
      <w:rFonts w:ascii="Georgia" w:cs="Georgia" w:eastAsia="Georgia" w:hAnsi="Georgia"/>
      <w:color w:val="1A1F2E"/>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2026-06-07T20:57:06.779Z</dcterms:created>
  <dcterms:modified xsi:type="dcterms:W3CDTF">2026-06-07T20:57:06.779Z</dcterms:modified>
</cp:coreProperties>
</file>

<file path=docProps/custom.xml><?xml version="1.0" encoding="utf-8"?>
<Properties xmlns="http://schemas.openxmlformats.org/officeDocument/2006/custom-properties" xmlns:vt="http://schemas.openxmlformats.org/officeDocument/2006/docPropsVTypes"/>
</file>