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RPO: 15 minutes, 1 hour if in restoration</w:t>
      </w:r>
    </w:p>
    <w:p w:rsidR="00000000" w:rsidDel="00000000" w:rsidP="00000000" w:rsidRDefault="00000000" w:rsidRPr="00000000" w14:paraId="00000002">
      <w:pPr>
        <w:rPr/>
      </w:pPr>
      <w:r w:rsidDel="00000000" w:rsidR="00000000" w:rsidRPr="00000000">
        <w:rPr>
          <w:rtl w:val="0"/>
        </w:rPr>
        <w:t xml:space="preserve">RTO: 2 hours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Reasoning for Values: These times were likely picked because of the risk factor of losing this data and also taking into account system bandwidth and realistic backup time for the amount of data being copied. The critical nature of the data and the need to minimize downtime would have influenced these decisions.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BIA Involvement: If the BIA was not a factor in determining these times, then it is possible these times don't accurately reflect the risk factor determined in the analysis. Conversely, the times might be more strict than necessary. Another possibility is that the BIA was considered but then abandoned due to technological constraints.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Personal Opinion: I believe the BIA should be considered and used if applicable, but physical system limits ultimately determine the security or possibilities of backups. Ensuring that the RPO and RTO are realistic and achievable within the system's capabilities is crucial for effective disaster recovery planning.</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