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11924"/>
          <w:sz w:val="48"/>
        </w:rPr>
        <w:t>Morning Brief</w:t>
      </w:r>
    </w:p>
    <w:p>
      <w:pPr>
        <w:spacing w:after="280"/>
      </w:pPr>
      <w:r>
        <w:rPr>
          <w:b w:val="0"/>
          <w:i w:val="0"/>
          <w:color w:val="6B7A8D"/>
          <w:sz w:val="20"/>
        </w:rPr>
        <w:t>Editable copy of the daily report layout — Tracking Engine phase 3</w:t>
      </w:r>
    </w:p>
    <w:p>
      <w:pPr>
        <w:pStyle w:val="Heading1"/>
      </w:pPr>
      <w:r>
        <w:t>How to use this file</w:t>
      </w:r>
    </w:p>
    <w:p>
      <w:pPr>
        <w:spacing w:after="120"/>
      </w:pPr>
      <w:r>
        <w:rPr>
          <w:b w:val="0"/>
          <w:i w:val="0"/>
          <w:color w:val="111924"/>
          <w:sz w:val="22"/>
        </w:rPr>
        <w:t>Rearrange the sections, cut what you do not want, rewrite the labels, and change what each card shows. The order of the headings in this document becomes the order of the cards on the page.</w:t>
      </w:r>
    </w:p>
    <w:p>
      <w:pPr>
        <w:spacing w:after="120"/>
      </w:pPr>
      <w:r>
        <w:rPr>
          <w:sz w:val="22"/>
        </w:rPr>
        <w:t xml:space="preserve">Write instructions to me inline in </w:t>
      </w:r>
      <w:r>
        <w:rPr>
          <w:b/>
          <w:color w:val="9A6410"/>
        </w:rPr>
        <w:t>**double asterisks**</w:t>
      </w:r>
      <w:r>
        <w:rPr>
          <w:sz w:val="22"/>
        </w:rPr>
        <w:t xml:space="preserve">. I read those, do what they say, and they never appear in the report. For example </w:t>
      </w:r>
      <w:r>
        <w:rPr>
          <w:b/>
          <w:color w:val="9A6410"/>
        </w:rPr>
        <w:t>**put this card last**</w:t>
      </w:r>
      <w:r>
        <w:rPr>
          <w:sz w:val="22"/>
        </w:rPr>
        <w:t xml:space="preserve"> or </w:t>
      </w:r>
      <w:r>
        <w:rPr>
          <w:b/>
          <w:color w:val="9A6410"/>
        </w:rPr>
        <w:t>**drop the verdict line, too wordy**</w:t>
      </w:r>
      <w:r>
        <w:rPr>
          <w:sz w:val="22"/>
        </w:rPr>
        <w:t>.</w:t>
      </w:r>
    </w:p>
    <w:p>
      <w:pPr>
        <w:spacing w:after="200"/>
      </w:pPr>
      <w:r>
        <w:rPr>
          <w:b w:val="0"/>
          <w:i/>
          <w:color w:val="6B7A8D"/>
          <w:sz w:val="18"/>
        </w:rPr>
        <w:t>Everything below reflects the live version, built from real data on 2026-08-31. Where a card is empty it is empty because that phase has not run yet, not because the layout is unfinished.</w:t>
      </w:r>
    </w:p>
    <w:p>
      <w:pPr>
        <w:pStyle w:val="Heading1"/>
      </w:pPr>
      <w:r>
        <w:t>Masthead</w:t>
      </w:r>
    </w:p>
    <w:p>
      <w:pPr>
        <w:spacing w:after="40"/>
      </w:pPr>
      <w:r>
        <w:rPr>
          <w:b/>
          <w:i w:val="0"/>
          <w:color w:val="111924"/>
          <w:sz w:val="22"/>
        </w:rPr>
        <w:t>Morning Brief</w:t>
      </w:r>
    </w:p>
    <w:p>
      <w:pPr>
        <w:spacing w:after="120"/>
      </w:pPr>
      <w:r>
        <w:rPr>
          <w:b w:val="0"/>
          <w:i w:val="0"/>
          <w:color w:val="6B7A8D"/>
          <w:sz w:val="20"/>
        </w:rPr>
        <w:t>Monday, August 31 2026 · 08:30 PT</w:t>
      </w:r>
    </w:p>
    <w:p>
      <w:pPr>
        <w:spacing w:after="200"/>
      </w:pPr>
      <w:r>
        <w:rPr>
          <w:b w:val="0"/>
          <w:i/>
          <w:color w:val="6B7A8D"/>
          <w:sz w:val="18"/>
        </w:rPr>
        <w:t>Right side: five dots, one per phase. Green ran, grey idle, red failed. Reads at a glance without opening anything.</w:t>
      </w:r>
    </w:p>
    <w:p>
      <w:pPr>
        <w:pStyle w:val="Heading1"/>
      </w:pPr>
      <w:r>
        <w:t>1 · Apply today</w:t>
      </w:r>
    </w:p>
    <w:p>
      <w:pPr>
        <w:spacing w:after="120"/>
      </w:pPr>
      <w:r>
        <w:rPr>
          <w:b w:val="0"/>
          <w:i w:val="0"/>
          <w:color w:val="111924"/>
          <w:sz w:val="22"/>
        </w:rPr>
        <w:t>The five jobs with cover letters ready. The only card you act on every day, so it sits first.</w:t>
      </w:r>
    </w:p>
    <w:p>
      <w:pPr>
        <w:spacing w:after="60"/>
      </w:pPr>
      <w:r>
        <w:rPr>
          <w:b w:val="0"/>
          <w:i w:val="0"/>
          <w:color w:val="111924"/>
          <w:sz w:val="22"/>
        </w:rPr>
        <w:t>Each row shows:</w:t>
      </w:r>
    </w:p>
    <w:p>
      <w:pPr>
        <w:pStyle w:val="ListBullet"/>
        <w:spacing w:after="60"/>
      </w:pPr>
      <w:r>
        <w:rPr>
          <w:sz w:val="22"/>
        </w:rPr>
        <w:t>Title and company</w:t>
      </w:r>
    </w:p>
    <w:p>
      <w:pPr>
        <w:pStyle w:val="ListBullet"/>
        <w:spacing w:after="60"/>
      </w:pPr>
      <w:r>
        <w:rPr>
          <w:sz w:val="22"/>
        </w:rPr>
        <w:t>Location · fit/compounding score · how long it has been in the backlog</w:t>
      </w:r>
    </w:p>
    <w:p>
      <w:pPr>
        <w:pStyle w:val="ListBullet"/>
        <w:spacing w:after="60"/>
      </w:pPr>
      <w:r>
        <w:rPr>
          <w:sz w:val="22"/>
        </w:rPr>
        <w:t>One-sentence verdict — the real reason, not a summary of the posting</w:t>
      </w:r>
    </w:p>
    <w:p>
      <w:pPr>
        <w:pStyle w:val="ListBullet"/>
        <w:spacing w:after="60"/>
      </w:pPr>
      <w:r>
        <w:rPr>
          <w:sz w:val="22"/>
        </w:rPr>
        <w:t>Two buttons: Apply (direct ATS link) and Cover letter (the Google Doc)</w:t>
      </w:r>
    </w:p>
    <w:p>
      <w:pPr>
        <w:spacing w:after="200"/>
      </w:pPr>
      <w:r>
        <w:rPr>
          <w:b w:val="0"/>
          <w:i/>
          <w:color w:val="6B7A8D"/>
          <w:sz w:val="18"/>
        </w:rPr>
        <w:t>Today: empty. Phase 1b has not run; 518 postings are waiting to be scored.</w:t>
      </w:r>
    </w:p>
    <w:p>
      <w:pPr>
        <w:pStyle w:val="Heading1"/>
      </w:pPr>
      <w:r>
        <w:t>2 · Needs you</w:t>
      </w:r>
    </w:p>
    <w:p>
      <w:pPr>
        <w:spacing w:after="120"/>
      </w:pPr>
      <w:r>
        <w:rPr>
          <w:b w:val="0"/>
          <w:i w:val="0"/>
          <w:color w:val="111924"/>
          <w:sz w:val="22"/>
        </w:rPr>
        <w:t>Everything that requires a human, collected in one place instead of scattered across the other cards.</w:t>
      </w:r>
    </w:p>
    <w:p>
      <w:pPr>
        <w:pStyle w:val="ListBullet"/>
        <w:spacing w:after="60"/>
      </w:pPr>
      <w:r>
        <w:rPr>
          <w:sz w:val="22"/>
        </w:rPr>
        <w:t>Drafts waiting to send, each naming which address to send it from</w:t>
      </w:r>
    </w:p>
    <w:p>
      <w:pPr>
        <w:pStyle w:val="ListBullet"/>
        <w:spacing w:after="60"/>
      </w:pPr>
      <w:r>
        <w:rPr>
          <w:sz w:val="22"/>
        </w:rPr>
        <w:t>Wedding payments to add to Road to Loloma</w:t>
      </w:r>
    </w:p>
    <w:p>
      <w:pPr>
        <w:pStyle w:val="ListBullet"/>
        <w:spacing w:after="60"/>
      </w:pPr>
      <w:r>
        <w:rPr>
          <w:sz w:val="22"/>
        </w:rPr>
        <w:t>Mail flagged for review, and why</w:t>
      </w:r>
    </w:p>
    <w:p>
      <w:pPr>
        <w:pStyle w:val="ListBullet"/>
        <w:spacing w:after="60"/>
      </w:pPr>
      <w:r>
        <w:rPr>
          <w:sz w:val="22"/>
        </w:rPr>
        <w:t>Calendar items that named a date but no time, so no event was created</w:t>
      </w:r>
    </w:p>
    <w:p>
      <w:pPr>
        <w:pStyle w:val="ListBullet"/>
        <w:spacing w:after="60"/>
      </w:pPr>
      <w:r>
        <w:rPr>
          <w:sz w:val="22"/>
        </w:rPr>
        <w:t>Job replies that could not be matched to an application with confidence</w:t>
      </w:r>
    </w:p>
    <w:p>
      <w:pPr>
        <w:spacing w:after="40"/>
      </w:pPr>
    </w:p>
    <w:p>
      <w:pPr>
        <w:pStyle w:val="Heading1"/>
      </w:pPr>
      <w:r>
        <w:t>3 · Money</w:t>
      </w:r>
    </w:p>
    <w:p>
      <w:pPr>
        <w:spacing w:after="120"/>
      </w:pPr>
      <w:r>
        <w:rPr>
          <w:b w:val="0"/>
          <w:i w:val="0"/>
          <w:color w:val="111924"/>
          <w:sz w:val="22"/>
        </w:rPr>
        <w:t>Transactions picked up from Money In and Money Out mail, newest first, with a running weekly in/out.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tcPr>
          <w:p>
            <w:r/>
            <w:r>
              <w:rPr>
                <w:b/>
                <w:sz w:val="18"/>
              </w:rPr>
              <w:t>Date</w:t>
            </w:r>
          </w:p>
        </w:tc>
        <w:tc>
          <w:tcPr>
            <w:tcW w:type="dxa" w:w="4608"/>
          </w:tcPr>
          <w:p>
            <w:r/>
            <w:r>
              <w:rPr>
                <w:b/>
                <w:sz w:val="18"/>
              </w:rPr>
              <w:t>What</w:t>
            </w:r>
          </w:p>
        </w:tc>
        <w:tc>
          <w:tcPr>
            <w:tcW w:type="dxa" w:w="2016"/>
          </w:tcPr>
          <w:p>
            <w:r/>
            <w:r>
              <w:rPr>
                <w:b/>
                <w:sz w:val="18"/>
              </w:rPr>
              <w:t>Account</w:t>
            </w:r>
          </w:p>
        </w:tc>
        <w:tc>
          <w:tcPr>
            <w:tcW w:type="dxa" w:w="1296"/>
          </w:tcPr>
          <w:p>
            <w:r/>
            <w:r>
              <w:rPr>
                <w:b/>
                <w:sz w:val="18"/>
              </w:rPr>
              <w:t>Amount</w:t>
            </w:r>
          </w:p>
        </w:tc>
      </w:tr>
      <w:tr>
        <w:tc>
          <w:tcPr>
            <w:tcW w:type="dxa" w:w="1440"/>
          </w:tcPr>
          <w:p>
            <w:r/>
            <w:r>
              <w:rPr>
                <w:sz w:val="18"/>
              </w:rPr>
              <w:t>—</w:t>
            </w:r>
          </w:p>
        </w:tc>
        <w:tc>
          <w:tcPr>
            <w:tcW w:type="dxa" w:w="4608"/>
          </w:tcPr>
          <w:p>
            <w:r/>
            <w:r>
              <w:rPr>
                <w:sz w:val="18"/>
              </w:rPr>
              <w:t>no transactions yet</w:t>
            </w:r>
          </w:p>
        </w:tc>
        <w:tc>
          <w:tcPr>
            <w:tcW w:type="dxa" w:w="2016"/>
          </w:tcPr>
          <w:p>
            <w:r/>
            <w:r>
              <w:rPr>
                <w:sz w:val="18"/>
              </w:rPr>
              <w:t>—</w:t>
            </w:r>
          </w:p>
        </w:tc>
        <w:tc>
          <w:tcPr>
            <w:tcW w:type="dxa" w:w="1296"/>
          </w:tcPr>
          <w:p>
            <w:r/>
            <w:r>
              <w:rPr>
                <w:sz w:val="18"/>
              </w:rPr>
              <w:t>—</w:t>
            </w:r>
          </w:p>
        </w:tc>
      </w:tr>
    </w:tbl>
    <w:p>
      <w:pPr>
        <w:spacing w:after="80"/>
      </w:pPr>
    </w:p>
    <w:p>
      <w:pPr>
        <w:spacing w:after="200"/>
      </w:pPr>
      <w:r>
        <w:rPr>
          <w:b w:val="0"/>
          <w:i/>
          <w:color w:val="6B7A8D"/>
          <w:sz w:val="18"/>
        </w:rPr>
        <w:t>Says plainly that it only catches what emails a receipt, and is not a complete picture of the accounts. Wedding-tagged rows are called out separately because they also belong in Road to Loloma.</w:t>
      </w:r>
    </w:p>
    <w:p>
      <w:pPr>
        <w:pStyle w:val="Heading1"/>
      </w:pPr>
      <w:r>
        <w:t>4 · Inbox</w:t>
      </w:r>
    </w:p>
    <w:p>
      <w:pPr>
        <w:spacing w:after="120"/>
      </w:pPr>
      <w:r>
        <w:rPr>
          <w:b w:val="0"/>
          <w:i w:val="0"/>
          <w:color w:val="111924"/>
          <w:sz w:val="22"/>
        </w:rPr>
        <w:t>What the sweep did: counts by label, newsletters summarized in one line each, anything trashed, and newly blocked senders.</w:t>
      </w:r>
    </w:p>
    <w:p>
      <w:pPr>
        <w:spacing w:after="200"/>
      </w:pPr>
      <w:r>
        <w:rPr>
          <w:b w:val="0"/>
          <w:i/>
          <w:color w:val="6B7A8D"/>
          <w:sz w:val="18"/>
        </w:rPr>
        <w:t>Distinguishes “nothing changed” (ran, quiet day) from “did not run” (never fired). Those are different problems and the card says which.</w:t>
      </w:r>
    </w:p>
    <w:p>
      <w:pPr>
        <w:pStyle w:val="Heading1"/>
      </w:pPr>
      <w:r>
        <w:t>5 · Food</w:t>
      </w:r>
    </w:p>
    <w:p>
      <w:pPr>
        <w:spacing w:after="120"/>
      </w:pPr>
      <w:r>
        <w:rPr>
          <w:b w:val="0"/>
          <w:i w:val="0"/>
          <w:color w:val="111924"/>
          <w:sz w:val="22"/>
        </w:rPr>
        <w:t>Last 7 days for both people, the two-table layout from the old daily email.</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tcPr>
          <w:p>
            <w:r/>
            <w:r>
              <w:rPr>
                <w:b/>
                <w:sz w:val="18"/>
              </w:rPr>
              <w:t>Day</w:t>
            </w:r>
          </w:p>
        </w:tc>
        <w:tc>
          <w:tcPr>
            <w:tcW w:type="dxa" w:w="1800"/>
          </w:tcPr>
          <w:p>
            <w:r/>
            <w:r>
              <w:rPr>
                <w:b/>
                <w:sz w:val="18"/>
              </w:rPr>
              <w:t>Calories</w:t>
            </w:r>
          </w:p>
        </w:tc>
        <w:tc>
          <w:tcPr>
            <w:tcW w:type="dxa" w:w="1800"/>
          </w:tcPr>
          <w:p>
            <w:r/>
            <w:r>
              <w:rPr>
                <w:b/>
                <w:sz w:val="18"/>
              </w:rPr>
              <w:t>Protein</w:t>
            </w:r>
          </w:p>
        </w:tc>
        <w:tc>
          <w:tcPr>
            <w:tcW w:type="dxa" w:w="1800"/>
          </w:tcPr>
          <w:p>
            <w:r/>
            <w:r>
              <w:rPr>
                <w:b/>
                <w:sz w:val="18"/>
              </w:rPr>
              <w:t>Carbs</w:t>
            </w:r>
          </w:p>
        </w:tc>
        <w:tc>
          <w:tcPr>
            <w:tcW w:type="dxa" w:w="1800"/>
          </w:tcPr>
          <w:p>
            <w:r/>
            <w:r>
              <w:rPr>
                <w:b/>
                <w:sz w:val="18"/>
              </w:rPr>
              <w:t>Fat</w:t>
            </w:r>
          </w:p>
        </w:tc>
      </w:tr>
      <w:tr>
        <w:tc>
          <w:tcPr>
            <w:tcW w:type="dxa" w:w="2160"/>
          </w:tcPr>
          <w:p>
            <w:r/>
            <w:r>
              <w:rPr>
                <w:sz w:val="18"/>
              </w:rPr>
              <w:t>—</w:t>
            </w:r>
          </w:p>
        </w:tc>
        <w:tc>
          <w:tcPr>
            <w:tcW w:type="dxa" w:w="1800"/>
          </w:tcPr>
          <w:p>
            <w:r/>
            <w:r>
              <w:rPr>
                <w:sz w:val="18"/>
              </w:rPr>
              <w:t>—</w:t>
            </w:r>
          </w:p>
        </w:tc>
        <w:tc>
          <w:tcPr>
            <w:tcW w:type="dxa" w:w="1800"/>
          </w:tcPr>
          <w:p>
            <w:r/>
            <w:r>
              <w:rPr>
                <w:sz w:val="18"/>
              </w:rPr>
              <w:t>—</w:t>
            </w:r>
          </w:p>
        </w:tc>
        <w:tc>
          <w:tcPr>
            <w:tcW w:type="dxa" w:w="1800"/>
          </w:tcPr>
          <w:p>
            <w:r/>
            <w:r>
              <w:rPr>
                <w:sz w:val="18"/>
              </w:rPr>
              <w:t>—</w:t>
            </w:r>
          </w:p>
        </w:tc>
        <w:tc>
          <w:tcPr>
            <w:tcW w:type="dxa" w:w="1800"/>
          </w:tcPr>
          <w:p>
            <w:r/>
            <w:r>
              <w:rPr>
                <w:sz w:val="18"/>
              </w:rPr>
              <w:t>—</w:t>
            </w:r>
          </w:p>
        </w:tc>
      </w:tr>
    </w:tbl>
    <w:p>
      <w:pPr>
        <w:spacing w:after="80"/>
      </w:pPr>
    </w:p>
    <w:p>
      <w:pPr>
        <w:pStyle w:val="Heading1"/>
      </w:pPr>
      <w:r>
        <w:t>6 · Pipeline</w:t>
      </w:r>
    </w:p>
    <w:p>
      <w:pPr>
        <w:spacing w:after="120"/>
      </w:pPr>
      <w:r>
        <w:rPr>
          <w:b w:val="0"/>
          <w:i w:val="0"/>
          <w:color w:val="111924"/>
          <w:sz w:val="22"/>
        </w:rPr>
        <w:t>How the job funnel actually performed last night. The card that tells you whether the filters are aimed right.</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
              <w:rPr>
                <w:b/>
                <w:sz w:val="18"/>
              </w:rPr>
              <w:t>Stage</w:t>
            </w:r>
          </w:p>
        </w:tc>
        <w:tc>
          <w:tcPr>
            <w:tcW w:type="dxa" w:w="1872"/>
          </w:tcPr>
          <w:p>
            <w:r/>
            <w:r>
              <w:rPr>
                <w:b/>
                <w:sz w:val="18"/>
              </w:rPr>
              <w:t>Count</w:t>
            </w:r>
          </w:p>
        </w:tc>
        <w:tc>
          <w:tcPr>
            <w:tcW w:type="dxa" w:w="4464"/>
          </w:tcPr>
          <w:p>
            <w:r/>
            <w:r>
              <w:rPr>
                <w:b/>
                <w:sz w:val="18"/>
              </w:rPr>
              <w:t>Note</w:t>
            </w:r>
          </w:p>
        </w:tc>
      </w:tr>
      <w:tr>
        <w:tc>
          <w:tcPr>
            <w:tcW w:type="dxa" w:w="3024"/>
          </w:tcPr>
          <w:p>
            <w:r/>
            <w:r>
              <w:rPr>
                <w:sz w:val="18"/>
              </w:rPr>
              <w:t>Fetched</w:t>
            </w:r>
          </w:p>
        </w:tc>
        <w:tc>
          <w:tcPr>
            <w:tcW w:type="dxa" w:w="1872"/>
          </w:tcPr>
          <w:p>
            <w:r/>
            <w:r>
              <w:rPr>
                <w:sz w:val="18"/>
              </w:rPr>
              <w:t>10,469</w:t>
            </w:r>
          </w:p>
        </w:tc>
        <w:tc>
          <w:tcPr>
            <w:tcW w:type="dxa" w:w="4464"/>
          </w:tcPr>
          <w:p>
            <w:r/>
            <w:r>
              <w:rPr>
                <w:sz w:val="18"/>
              </w:rPr>
              <w:t>7 sources</w:t>
            </w:r>
          </w:p>
        </w:tc>
      </w:tr>
      <w:tr>
        <w:tc>
          <w:tcPr>
            <w:tcW w:type="dxa" w:w="3024"/>
          </w:tcPr>
          <w:p>
            <w:r/>
            <w:r>
              <w:rPr>
                <w:sz w:val="18"/>
              </w:rPr>
              <w:t>Deduped</w:t>
            </w:r>
          </w:p>
        </w:tc>
        <w:tc>
          <w:tcPr>
            <w:tcW w:type="dxa" w:w="1872"/>
          </w:tcPr>
          <w:p>
            <w:r/>
            <w:r>
              <w:rPr>
                <w:sz w:val="18"/>
              </w:rPr>
              <w:t>10,278</w:t>
            </w:r>
          </w:p>
        </w:tc>
        <w:tc>
          <w:tcPr>
            <w:tcW w:type="dxa" w:w="4464"/>
          </w:tcPr>
          <w:p>
            <w:r/>
            <w:r>
              <w:rPr>
                <w:sz w:val="18"/>
              </w:rPr>
              <w:t>191 cross-source dupes</w:t>
            </w:r>
          </w:p>
        </w:tc>
      </w:tr>
      <w:tr>
        <w:tc>
          <w:tcPr>
            <w:tcW w:type="dxa" w:w="3024"/>
          </w:tcPr>
          <w:p>
            <w:r/>
            <w:r>
              <w:rPr>
                <w:sz w:val="18"/>
              </w:rPr>
              <w:t>Passed filters</w:t>
            </w:r>
          </w:p>
        </w:tc>
        <w:tc>
          <w:tcPr>
            <w:tcW w:type="dxa" w:w="1872"/>
          </w:tcPr>
          <w:p>
            <w:r/>
            <w:r>
              <w:rPr>
                <w:sz w:val="18"/>
              </w:rPr>
              <w:t>518</w:t>
            </w:r>
          </w:p>
        </w:tc>
        <w:tc>
          <w:tcPr>
            <w:tcW w:type="dxa" w:w="4464"/>
          </w:tcPr>
          <w:p>
            <w:r/>
            <w:r>
              <w:rPr>
                <w:sz w:val="18"/>
              </w:rPr>
              <w:t>5.0%</w:t>
            </w:r>
          </w:p>
        </w:tc>
      </w:tr>
      <w:tr>
        <w:tc>
          <w:tcPr>
            <w:tcW w:type="dxa" w:w="3024"/>
          </w:tcPr>
          <w:p>
            <w:r/>
            <w:r>
              <w:rPr>
                <w:sz w:val="18"/>
              </w:rPr>
              <w:t>Scored</w:t>
            </w:r>
          </w:p>
        </w:tc>
        <w:tc>
          <w:tcPr>
            <w:tcW w:type="dxa" w:w="1872"/>
          </w:tcPr>
          <w:p>
            <w:r/>
            <w:r>
              <w:rPr>
                <w:sz w:val="18"/>
              </w:rPr>
              <w:t>0</w:t>
            </w:r>
          </w:p>
        </w:tc>
        <w:tc>
          <w:tcPr>
            <w:tcW w:type="dxa" w:w="4464"/>
          </w:tcPr>
          <w:p>
            <w:r/>
            <w:r>
              <w:rPr>
                <w:sz w:val="18"/>
              </w:rPr>
              <w:t>awaiting 1b</w:t>
            </w:r>
          </w:p>
        </w:tc>
      </w:tr>
      <w:tr>
        <w:tc>
          <w:tcPr>
            <w:tcW w:type="dxa" w:w="3024"/>
          </w:tcPr>
          <w:p>
            <w:r/>
            <w:r>
              <w:rPr>
                <w:sz w:val="18"/>
              </w:rPr>
              <w:t>Backlog</w:t>
            </w:r>
          </w:p>
        </w:tc>
        <w:tc>
          <w:tcPr>
            <w:tcW w:type="dxa" w:w="1872"/>
          </w:tcPr>
          <w:p>
            <w:r/>
            <w:r>
              <w:rPr>
                <w:sz w:val="18"/>
              </w:rPr>
              <w:t>0</w:t>
            </w:r>
          </w:p>
        </w:tc>
        <w:tc>
          <w:tcPr>
            <w:tcW w:type="dxa" w:w="4464"/>
          </w:tcPr>
          <w:p>
            <w:r/>
            <w:r>
              <w:rPr>
                <w:sz w:val="18"/>
              </w:rPr>
              <w:t>target 15+</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6624"/>
          </w:tcPr>
          <w:p>
            <w:r/>
            <w:r>
              <w:rPr>
                <w:b/>
                <w:sz w:val="18"/>
              </w:rPr>
              <w:t>Top kill rules</w:t>
            </w:r>
          </w:p>
        </w:tc>
        <w:tc>
          <w:tcPr>
            <w:tcW w:type="dxa" w:w="2736"/>
          </w:tcPr>
          <w:p>
            <w:r/>
            <w:r>
              <w:rPr>
                <w:b/>
                <w:sz w:val="18"/>
              </w:rPr>
              <w:t>Killed</w:t>
            </w:r>
          </w:p>
        </w:tc>
      </w:tr>
      <w:tr>
        <w:tc>
          <w:tcPr>
            <w:tcW w:type="dxa" w:w="6624"/>
          </w:tcPr>
          <w:p>
            <w:r/>
            <w:r>
              <w:rPr>
                <w:sz w:val="18"/>
              </w:rPr>
              <w:t>Seniority in title</w:t>
            </w:r>
          </w:p>
        </w:tc>
        <w:tc>
          <w:tcPr>
            <w:tcW w:type="dxa" w:w="2736"/>
          </w:tcPr>
          <w:p>
            <w:r/>
            <w:r>
              <w:rPr>
                <w:sz w:val="18"/>
              </w:rPr>
              <w:t>6,129</w:t>
            </w:r>
          </w:p>
        </w:tc>
      </w:tr>
      <w:tr>
        <w:tc>
          <w:tcPr>
            <w:tcW w:type="dxa" w:w="6624"/>
          </w:tcPr>
          <w:p>
            <w:r/>
            <w:r>
              <w:rPr>
                <w:sz w:val="18"/>
              </w:rPr>
              <w:t>Outside CA / WA / remote</w:t>
            </w:r>
          </w:p>
        </w:tc>
        <w:tc>
          <w:tcPr>
            <w:tcW w:type="dxa" w:w="2736"/>
          </w:tcPr>
          <w:p>
            <w:r/>
            <w:r>
              <w:rPr>
                <w:sz w:val="18"/>
              </w:rPr>
              <w:t>1,656</w:t>
            </w:r>
          </w:p>
        </w:tc>
      </w:tr>
      <w:tr>
        <w:tc>
          <w:tcPr>
            <w:tcW w:type="dxa" w:w="6624"/>
          </w:tcPr>
          <w:p>
            <w:r/>
            <w:r>
              <w:rPr>
                <w:sz w:val="18"/>
              </w:rPr>
              <w:t>Sales &amp; quota titles</w:t>
            </w:r>
          </w:p>
        </w:tc>
        <w:tc>
          <w:tcPr>
            <w:tcW w:type="dxa" w:w="2736"/>
          </w:tcPr>
          <w:p>
            <w:r/>
            <w:r>
              <w:rPr>
                <w:sz w:val="18"/>
              </w:rPr>
              <w:t>1,060</w:t>
            </w:r>
          </w:p>
        </w:tc>
      </w:tr>
      <w:tr>
        <w:tc>
          <w:tcPr>
            <w:tcW w:type="dxa" w:w="6624"/>
          </w:tcPr>
          <w:p>
            <w:r/>
            <w:r>
              <w:rPr>
                <w:sz w:val="18"/>
              </w:rPr>
              <w:t>LA basin metros</w:t>
            </w:r>
          </w:p>
        </w:tc>
        <w:tc>
          <w:tcPr>
            <w:tcW w:type="dxa" w:w="2736"/>
          </w:tcPr>
          <w:p>
            <w:r/>
            <w:r>
              <w:rPr>
                <w:sz w:val="18"/>
              </w:rPr>
              <w:t>175</w:t>
            </w:r>
          </w:p>
        </w:tc>
      </w:tr>
      <w:tr>
        <w:tc>
          <w:tcPr>
            <w:tcW w:type="dxa" w:w="6624"/>
          </w:tcPr>
          <w:p>
            <w:r/>
            <w:r>
              <w:rPr>
                <w:sz w:val="18"/>
              </w:rPr>
              <w:t>Internships</w:t>
            </w:r>
          </w:p>
        </w:tc>
        <w:tc>
          <w:tcPr>
            <w:tcW w:type="dxa" w:w="2736"/>
          </w:tcPr>
          <w:p>
            <w:r/>
            <w:r>
              <w:rPr>
                <w:sz w:val="18"/>
              </w:rPr>
              <w:t>36</w:t>
            </w:r>
          </w:p>
        </w:tc>
      </w:tr>
    </w:tbl>
    <w:p>
      <w:pPr>
        <w:spacing w:after="80"/>
      </w:pPr>
    </w:p>
    <w:p>
      <w:pPr>
        <w:spacing w:after="200"/>
      </w:pPr>
      <w:r>
        <w:rPr>
          <w:b w:val="0"/>
          <w:i/>
          <w:color w:val="6B7A8D"/>
          <w:sz w:val="18"/>
        </w:rPr>
        <w:t>The years-of-experience rule used to sit at the top of this list with 597. Removed 2026-08-31 because it was killing 110 analyst-shaped postings a night against 96 survivors overall.</w:t>
      </w:r>
    </w:p>
    <w:p>
      <w:pPr>
        <w:pStyle w:val="Heading1"/>
      </w:pPr>
      <w:r>
        <w:t>7 · System</w:t>
      </w:r>
    </w:p>
    <w:p>
      <w:pPr>
        <w:spacing w:after="120"/>
      </w:pPr>
      <w:r>
        <w:rPr>
          <w:b w:val="0"/>
          <w:i w:val="0"/>
          <w:color w:val="111924"/>
          <w:sz w:val="22"/>
        </w:rPr>
        <w:t>One line per phase: when it last ran, how long it took, whether it worked. Plus database size against the 500 MB cap.</w:t>
      </w:r>
    </w:p>
    <w:tbl>
      <w:tblPr>
        <w:tblStyle w:val="TableGrid"/>
        <w:tblW w:type="auto" w:w="0"/>
        <w:jc w:val="left"/>
        <w:tblLook w:firstColumn="1" w:firstRow="1" w:lastColumn="0" w:lastRow="0" w:noHBand="0" w:noVBand="1" w:val="04A0"/>
      </w:tblPr>
      <w:tblGrid>
        <w:gridCol w:w="3120"/>
        <w:gridCol w:w="3120"/>
        <w:gridCol w:w="3120"/>
      </w:tblGrid>
      <w:tr>
        <w:tc>
          <w:tcPr>
            <w:tcW w:type="dxa" w:w="2448"/>
          </w:tcPr>
          <w:p>
            <w:r/>
            <w:r>
              <w:rPr>
                <w:b/>
                <w:sz w:val="18"/>
              </w:rPr>
              <w:t>Phase</w:t>
            </w:r>
          </w:p>
        </w:tc>
        <w:tc>
          <w:tcPr>
            <w:tcW w:type="dxa" w:w="4608"/>
          </w:tcPr>
          <w:p>
            <w:r/>
            <w:r>
              <w:rPr>
                <w:b/>
                <w:sz w:val="18"/>
              </w:rPr>
              <w:t>State</w:t>
            </w:r>
          </w:p>
        </w:tc>
        <w:tc>
          <w:tcPr>
            <w:tcW w:type="dxa" w:w="2304"/>
          </w:tcPr>
          <w:p>
            <w:r/>
            <w:r>
              <w:rPr>
                <w:b/>
                <w:sz w:val="18"/>
              </w:rPr>
              <w:t>Status</w:t>
            </w:r>
          </w:p>
        </w:tc>
      </w:tr>
      <w:tr>
        <w:tc>
          <w:tcPr>
            <w:tcW w:type="dxa" w:w="2448"/>
          </w:tcPr>
          <w:p>
            <w:r/>
            <w:r>
              <w:rPr>
                <w:sz w:val="18"/>
              </w:rPr>
              <w:t>1a ingest</w:t>
            </w:r>
          </w:p>
        </w:tc>
        <w:tc>
          <w:tcPr>
            <w:tcW w:type="dxa" w:w="4608"/>
          </w:tcPr>
          <w:p>
            <w:r/>
            <w:r>
              <w:rPr>
                <w:sz w:val="18"/>
              </w:rPr>
              <w:t>ran 07:29, took 3m39s</w:t>
            </w:r>
          </w:p>
        </w:tc>
        <w:tc>
          <w:tcPr>
            <w:tcW w:type="dxa" w:w="2304"/>
          </w:tcPr>
          <w:p>
            <w:r/>
            <w:r>
              <w:rPr>
                <w:sz w:val="18"/>
              </w:rPr>
              <w:t>ok</w:t>
            </w:r>
          </w:p>
        </w:tc>
      </w:tr>
      <w:tr>
        <w:tc>
          <w:tcPr>
            <w:tcW w:type="dxa" w:w="2448"/>
          </w:tcPr>
          <w:p>
            <w:r/>
            <w:r>
              <w:rPr>
                <w:sz w:val="18"/>
              </w:rPr>
              <w:t>1b score</w:t>
            </w:r>
          </w:p>
        </w:tc>
        <w:tc>
          <w:tcPr>
            <w:tcW w:type="dxa" w:w="4608"/>
          </w:tcPr>
          <w:p>
            <w:r/>
            <w:r>
              <w:rPr>
                <w:sz w:val="18"/>
              </w:rPr>
              <w:t>never run</w:t>
            </w:r>
          </w:p>
        </w:tc>
        <w:tc>
          <w:tcPr>
            <w:tcW w:type="dxa" w:w="2304"/>
          </w:tcPr>
          <w:p>
            <w:r/>
            <w:r>
              <w:rPr>
                <w:sz w:val="18"/>
              </w:rPr>
              <w:t>idle</w:t>
            </w:r>
          </w:p>
        </w:tc>
      </w:tr>
      <w:tr>
        <w:tc>
          <w:tcPr>
            <w:tcW w:type="dxa" w:w="2448"/>
          </w:tcPr>
          <w:p>
            <w:r/>
            <w:r>
              <w:rPr>
                <w:sz w:val="18"/>
              </w:rPr>
              <w:t>2 email</w:t>
            </w:r>
          </w:p>
        </w:tc>
        <w:tc>
          <w:tcPr>
            <w:tcW w:type="dxa" w:w="4608"/>
          </w:tcPr>
          <w:p>
            <w:r/>
            <w:r>
              <w:rPr>
                <w:sz w:val="18"/>
              </w:rPr>
              <w:t>never run</w:t>
            </w:r>
          </w:p>
        </w:tc>
        <w:tc>
          <w:tcPr>
            <w:tcW w:type="dxa" w:w="2304"/>
          </w:tcPr>
          <w:p>
            <w:r/>
            <w:r>
              <w:rPr>
                <w:sz w:val="18"/>
              </w:rPr>
              <w:t>idle</w:t>
            </w:r>
          </w:p>
        </w:tc>
      </w:tr>
      <w:tr>
        <w:tc>
          <w:tcPr>
            <w:tcW w:type="dxa" w:w="2448"/>
          </w:tcPr>
          <w:p>
            <w:r/>
            <w:r>
              <w:rPr>
                <w:sz w:val="18"/>
              </w:rPr>
              <w:t>2b calendar</w:t>
            </w:r>
          </w:p>
        </w:tc>
        <w:tc>
          <w:tcPr>
            <w:tcW w:type="dxa" w:w="4608"/>
          </w:tcPr>
          <w:p>
            <w:r/>
            <w:r>
              <w:rPr>
                <w:sz w:val="18"/>
              </w:rPr>
              <w:t>waiting on calendars</w:t>
            </w:r>
          </w:p>
        </w:tc>
        <w:tc>
          <w:tcPr>
            <w:tcW w:type="dxa" w:w="2304"/>
          </w:tcPr>
          <w:p>
            <w:r/>
            <w:r>
              <w:rPr>
                <w:sz w:val="18"/>
              </w:rPr>
              <w:t>idle</w:t>
            </w:r>
          </w:p>
        </w:tc>
      </w:tr>
      <w:tr>
        <w:tc>
          <w:tcPr>
            <w:tcW w:type="dxa" w:w="2448"/>
          </w:tcPr>
          <w:p>
            <w:r/>
            <w:r>
              <w:rPr>
                <w:sz w:val="18"/>
              </w:rPr>
              <w:t>3 report</w:t>
            </w:r>
          </w:p>
        </w:tc>
        <w:tc>
          <w:tcPr>
            <w:tcW w:type="dxa" w:w="4608"/>
          </w:tcPr>
          <w:p>
            <w:r/>
            <w:r>
              <w:rPr>
                <w:sz w:val="18"/>
              </w:rPr>
              <w:t>built this page</w:t>
            </w:r>
          </w:p>
        </w:tc>
        <w:tc>
          <w:tcPr>
            <w:tcW w:type="dxa" w:w="2304"/>
          </w:tcPr>
          <w:p>
            <w:r/>
            <w:r>
              <w:rPr>
                <w:sz w:val="18"/>
              </w:rPr>
              <w:t>ok</w:t>
            </w:r>
          </w:p>
        </w:tc>
      </w:tr>
    </w:tbl>
    <w:p>
      <w:pPr>
        <w:spacing w:after="80"/>
      </w:pPr>
    </w:p>
    <w:p>
      <w:pPr>
        <w:spacing w:after="200"/>
      </w:pPr>
      <w:r>
        <w:rPr>
          <w:b w:val="0"/>
          <w:i/>
          <w:color w:val="6B7A8D"/>
          <w:sz w:val="18"/>
        </w:rPr>
        <w:t>Deliberately last. It matters on the morning something breaks and never otherwise.</w:t>
      </w:r>
    </w:p>
    <w:p>
      <w:pPr>
        <w:pStyle w:val="Heading1"/>
      </w:pPr>
      <w:r>
        <w:t>Open questions</w:t>
      </w:r>
    </w:p>
    <w:p>
      <w:pPr>
        <w:spacing w:after="60"/>
      </w:pPr>
      <w:r>
        <w:rPr>
          <w:b w:val="0"/>
          <w:i w:val="0"/>
          <w:color w:val="111924"/>
          <w:sz w:val="22"/>
        </w:rPr>
        <w:t>Answer inline in ** ** anywhere, or here:</w:t>
      </w:r>
    </w:p>
    <w:p>
      <w:pPr>
        <w:pStyle w:val="ListBullet"/>
        <w:spacing w:after="60"/>
      </w:pPr>
      <w:r>
        <w:rPr>
          <w:sz w:val="22"/>
        </w:rPr>
        <w:t>Should the backlog beyond today's five be visible, or only the five?</w:t>
      </w:r>
    </w:p>
    <w:p>
      <w:pPr>
        <w:pStyle w:val="ListBullet"/>
        <w:spacing w:after="60"/>
      </w:pPr>
      <w:r>
        <w:rPr>
          <w:sz w:val="22"/>
        </w:rPr>
        <w:t>Wedding payments: should the report update Road to Loloma automatically, or only tell you what to add?</w:t>
      </w:r>
    </w:p>
    <w:p>
      <w:pPr>
        <w:pStyle w:val="ListBullet"/>
        <w:spacing w:after="60"/>
      </w:pPr>
      <w:r>
        <w:rPr>
          <w:sz w:val="22"/>
        </w:rPr>
        <w:t>Anything here you would never read, that should be cut entirely?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9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92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A641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