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 | Digital Experience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turn complex tasks into clear inputs, actions and feedback through interface design, prototypes and open-source integration.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Interfaces: </w:t>
      </w:r>
      <w:r>
        <w:rPr>
          <w:color w:val="20221F"/>
          <w:sz w:val="22"/>
        </w:rPr>
        <w:t>Design Biyuan AI VI/UI and compare desktop and mobile hierarchy.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Controlled interaction: </w:t>
      </w:r>
      <w:r>
        <w:rPr>
          <w:color w:val="20221F"/>
          <w:sz w:val="22"/>
        </w:rPr>
        <w:t>Design review, recovery and version-selection workflows.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Creative systems: </w:t>
      </w:r>
      <w:r>
        <w:rPr>
          <w:color w:val="20221F"/>
          <w:sz w:val="22"/>
        </w:rPr>
        <w:t>Organise AI-video inputs, camera direction and review through storyboards and blocking.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and research: </w:t>
      </w:r>
      <w:r>
        <w:rPr>
          <w:color w:val="20221F"/>
          <w:sz w:val="22"/>
        </w:rPr>
        <w:t>Codex, ChatGPT, ComfyUI, Midjourney; market and cultural context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AI-video research: a reference index, six control layers and eight analyses linked to storyboard, Blender blocking and render review. Human-led judgment; the practice focuses on workflow method and application.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 | Digital Experience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