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277"/>
        <w:gridCol w:w="1701"/>
      </w:tblGrid>
      <w:tr>
        <w:tc>
          <w:tcPr>
            <w:tcW w:type="dxa" w:w="8277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Title"/>
              <w:widowControl/>
              <w:spacing w:before="0" w:after="80" w:line="725" w:lineRule="exact"/>
              <w:snapToGrid w:val="0"/>
            </w:pPr>
            <w:r>
              <w:rPr>
                <w:b w:val="0"/>
                <w:color w:val="000000"/>
                <w:sz w:val="58"/>
              </w:rPr>
              <w:t>Yingjie Sun</w:t>
            </w:r>
          </w:p>
          <w:p>
            <w:pPr>
              <w:pStyle w:val="Subtitle"/>
              <w:widowControl/>
              <w:spacing w:before="0" w:after="120" w:line="287" w:lineRule="exact"/>
              <w:snapToGrid w:val="0"/>
            </w:pPr>
            <w:r>
              <w:rPr>
                <w:b w:val="0"/>
                <w:color w:val="000000"/>
                <w:sz w:val="23"/>
              </w:rPr>
              <w:t>Industrial &amp; Product Designer | Physical Products</w:t>
            </w:r>
          </w:p>
          <w:p>
            <w:pPr>
              <w:widowControl/>
              <w:spacing w:before="0" w:after="0" w:line="340" w:lineRule="exact"/>
              <w:snapToGrid w:val="0"/>
            </w:pPr>
            <w:r>
              <w:rPr>
                <w:b w:val="0"/>
                <w:color w:val="656962"/>
                <w:sz w:val="19"/>
              </w:rPr>
              <w:t>13515249897    2950884508@qq.com</w:t>
            </w:r>
          </w:p>
        </w:tc>
        <w:tc>
          <w:tcPr>
            <w:tcW w:type="dxa" w:w="170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line="240" w:lineRule="auto"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72000" cy="972000"/>
                  <wp:docPr id="1" name="Picture 1" descr="孙英杰个人照片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sume-portrai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spacing w:before="200" w:after="0" w:line="340" w:lineRule="exact"/>
        <w:snapToGrid w:val="0"/>
      </w:pPr>
      <w:r>
        <w:rPr>
          <w:b w:val="0"/>
          <w:color w:val="20221F"/>
          <w:sz w:val="22"/>
        </w:rPr>
        <w:t>I explore product form, CMF and component relationships around use, making proposals tangible through 3D.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Design focus</w:t>
      </w:r>
    </w:p>
    <w:p>
      <w:pPr>
        <w:widowControl/>
        <w:spacing w:before="0" w:after="6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 xml:space="preserve">Product form: </w:t>
      </w:r>
      <w:r>
        <w:rPr>
          <w:color w:val="20221F"/>
          <w:sz w:val="22"/>
        </w:rPr>
        <w:t>Compare proportion and use in lighting, HUHU CARE and GO GLOW.</w:t>
      </w:r>
    </w:p>
    <w:p>
      <w:pPr>
        <w:widowControl/>
        <w:spacing w:before="0" w:after="6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 xml:space="preserve">CMF and 3D: </w:t>
      </w:r>
      <w:r>
        <w:rPr>
          <w:color w:val="20221F"/>
          <w:sz w:val="22"/>
        </w:rPr>
        <w:t>Study materials, edges and scale through models and rendering.</w:t>
      </w:r>
    </w:p>
    <w:p>
      <w:pPr>
        <w:widowControl/>
        <w:spacing w:before="0" w:after="6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 xml:space="preserve">Engineering context: </w:t>
      </w:r>
      <w:r>
        <w:rPr>
          <w:color w:val="20221F"/>
          <w:sz w:val="22"/>
        </w:rPr>
        <w:t>Bring awareness of standards, quality and constraints from manufacturing.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Experience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Hangzhou Liling Enterprise Services  |  Brand design &amp; project coordination</w:t>
      </w:r>
      <w:r>
        <w:rPr>
          <w:b w:val="0"/>
          <w:color w:val="656962"/>
          <w:sz w:val="19"/>
        </w:rPr>
        <w:tab/>
        <w:t>2026.02 - Present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Design and iterate Biyuan AI’s visual identity and UI.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Collaborate on Periastra identity and information systems, and YELISI brand, product concepts and CMF studies.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HannStar Board  |  Design systems engineering designer</w:t>
      </w:r>
      <w:r>
        <w:rPr>
          <w:b w:val="0"/>
          <w:color w:val="656962"/>
          <w:sz w:val="19"/>
        </w:rPr>
        <w:tab/>
        <w:t>2025.08 - 2026.01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Worked on design-systems engineering in PCB manufacturing, within standardisation, engineering and quality constraints.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BENWU  |  3D designer</w:t>
      </w:r>
      <w:r>
        <w:rPr>
          <w:b w:val="0"/>
          <w:color w:val="656962"/>
          <w:sz w:val="19"/>
        </w:rPr>
        <w:tab/>
        <w:t>2025.03 - 2025.12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Contributed 3D design and visual presentation to Hermès and Arc'teryx window projects.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Developed lighting visualisations and material comparisons; organised the Karimoku × BENWU design study.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Hunan Ouyin Culture &amp; Media  |  Design assistant</w:t>
      </w:r>
      <w:r>
        <w:rPr>
          <w:b w:val="0"/>
          <w:color w:val="656962"/>
          <w:sz w:val="19"/>
        </w:rPr>
        <w:tab/>
        <w:t>2023.12 - 2025.02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Organised market research and user feedback; built Figma prototypes to support design comparisons and iteration.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Tools and independent practice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 xml:space="preserve">Product and 3D: </w:t>
      </w:r>
      <w:r>
        <w:rPr>
          <w:color w:val="20221F"/>
          <w:sz w:val="22"/>
        </w:rPr>
        <w:t>Rhino, SolidWorks, KeyShot, Cinema 4D, Blender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 xml:space="preserve">Visual and digital: </w:t>
      </w:r>
      <w:r>
        <w:rPr>
          <w:color w:val="20221F"/>
          <w:sz w:val="22"/>
        </w:rPr>
        <w:t>Photoshop, Illustrator, Figma; React / TypeScript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 xml:space="preserve">AI and research: </w:t>
      </w:r>
      <w:r>
        <w:rPr>
          <w:color w:val="20221F"/>
          <w:sz w:val="22"/>
        </w:rPr>
        <w:t>Codex, ChatGPT, ComfyUI, Midjourney; market and cultural context</w:t>
      </w:r>
    </w:p>
    <w:p>
      <w:pPr>
        <w:widowControl/>
        <w:spacing w:before="80" w:after="0" w:line="340" w:lineRule="exact"/>
        <w:snapToGrid w:val="0"/>
      </w:pPr>
      <w:r>
        <w:rPr>
          <w:b w:val="0"/>
          <w:color w:val="20221F"/>
          <w:sz w:val="22"/>
        </w:rPr>
        <w:t>Independent AI-video research: a reference index, six control layers and eight analyses linked to storyboard, Blender blocking and render review. Human-led judgment; the practice focuses on workflow method and application.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Education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Changzhou Institute of Technology  |  BA Product Design</w:t>
      </w:r>
      <w:r>
        <w:rPr>
          <w:b w:val="0"/>
          <w:color w:val="656962"/>
          <w:sz w:val="19"/>
        </w:rPr>
        <w:tab/>
        <w:t>2021.09 - 2025.06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8731"/>
      </w:tblGrid>
      <w:tr>
        <w:tc>
          <w:tcPr>
            <w:tcW w:type="dxa" w:w="1247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line="240" w:lineRule="auto" w:after="0"/>
            </w:pPr>
            <w:r>
              <w:drawing>
                <wp:inline xmlns:a="http://schemas.openxmlformats.org/drawingml/2006/main" xmlns:pic="http://schemas.openxmlformats.org/drawingml/2006/picture">
                  <wp:extent cx="684000" cy="684000"/>
                  <wp:docPr id="2" name="Picture 2" descr="扫码查看孙英杰完整作品集 https://aj-nb.github.io/sun-yingjie-portfolio/en/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rtfolio-qr-e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6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40"/>
            </w:pPr>
            <w:r>
              <w:rPr>
                <w:color w:val="20221F"/>
                <w:sz w:val="20"/>
              </w:rPr>
              <w:t>Portfolio / complete cases and design process</w:t>
            </w:r>
          </w:p>
          <w:p>
            <w:pPr>
              <w:spacing w:after="0"/>
            </w:pPr>
            <w:hyperlink r:id="rId11">
              <w:r>
                <w:rPr>
                  <w:sz w:val="19"/>
                  <w:color w:val="656962"/>
                </w:rPr>
                <w:t>https://aj-nb.github.io/sun-yingjie-portfolio/en/</w:t>
              </w:r>
            </w:hyperlink>
          </w:p>
        </w:tc>
      </w:tr>
    </w:tbl>
    <w:sectPr w:rsidR="00FC693F" w:rsidRPr="0006063C" w:rsidSect="00034616">
      <w:pgSz w:w="11906" w:h="16838"/>
      <w:pgMar w:top="850" w:right="964" w:bottom="567" w:left="964" w:header="227" w:footer="227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40" w:lineRule="exact"/>
    </w:pPr>
    <w:rPr>
      <w:rFonts w:ascii="Aptos" w:hAnsi="Aptos" w:eastAsia="Microsoft YaHei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60" w:line="340" w:lineRule="exact"/>
      <w:outlineLvl w:val="0"/>
    </w:pPr>
    <w:rPr>
      <w:rFonts w:asciiTheme="majorHAnsi" w:eastAsiaTheme="majorEastAsia" w:hAnsiTheme="majorHAnsi" w:cstheme="majorBidi" w:ascii="Aptos" w:hAnsi="Aptos" w:eastAsia="Microsoft YaHei"/>
      <w:b/>
      <w:bCs/>
      <w:i w:val="0"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340" w:lineRule="exact"/>
      <w:contextualSpacing/>
    </w:pPr>
    <w:rPr>
      <w:rFonts w:asciiTheme="majorHAnsi" w:eastAsiaTheme="majorEastAsia" w:hAnsiTheme="majorHAnsi" w:cstheme="majorBidi" w:ascii="Aptos" w:hAnsi="Aptos" w:eastAsia="Microsoft YaHei"/>
      <w:i w:val="0"/>
      <w:color w:val="000000"/>
      <w:spacing w:val="5"/>
      <w:kern w:val="28"/>
      <w:sz w:val="2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60" w:line="340" w:lineRule="exact"/>
    </w:pPr>
    <w:rPr>
      <w:rFonts w:asciiTheme="majorHAnsi" w:eastAsiaTheme="majorEastAsia" w:hAnsiTheme="majorHAnsi" w:cstheme="majorBidi" w:ascii="Aptos" w:hAnsi="Aptos" w:eastAsia="Microsoft YaHei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yperlink" Target="https://aj-nb.github.io/sun-yingjie-portfolio/e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Yingjie Sun Industrial &amp; Product Designer | Physical Products</dc:title>
  <dc:subject>Industrial and product design professional record 2026.09</dc:subject>
  <dc:creator>Yingjie Sun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