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连接产品形态、CMF、三维与品牌，以模型和原型支持设计判断。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实体产品：</w:t>
      </w:r>
      <w:r>
        <w:rPr>
          <w:color w:val="20221F"/>
          <w:sz w:val="22"/>
        </w:rPr>
        <w:t>从使用情境比较形态、材料与部件关系。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视觉系统：</w:t>
      </w:r>
      <w:r>
        <w:rPr>
          <w:color w:val="20221F"/>
          <w:sz w:val="22"/>
        </w:rPr>
        <w:t>连接品牌识别、产品与商业空间的表达。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设计协作：</w:t>
      </w:r>
      <w:r>
        <w:rPr>
          <w:color w:val="20221F"/>
          <w:sz w:val="22"/>
        </w:rPr>
        <w:t>以三维、界面和版本比较支持团队讨论。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辅助生成，人负责判断；聚焦独立流程研究与个人方法应用。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