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 · 实体产品方向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从使用动作与材料出发，比较产品形态、CMF 与部件关系，以三维表达支持方案评审。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产品形态：</w:t>
      </w:r>
      <w:r>
        <w:rPr>
          <w:color w:val="20221F"/>
          <w:sz w:val="22"/>
        </w:rPr>
        <w:t>用系列灯具、HUHU CARE 与 GO GLOW 比较比例与操作。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CMF 与三维：</w:t>
      </w:r>
      <w:r>
        <w:rPr>
          <w:color w:val="20221F"/>
          <w:sz w:val="22"/>
        </w:rPr>
        <w:t>通过模型、渲染和场景研究材质、边缘与尺度。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工程语境：</w:t>
      </w:r>
      <w:r>
        <w:rPr>
          <w:color w:val="20221F"/>
          <w:sz w:val="22"/>
        </w:rPr>
        <w:t>将制造环境中的标准化、质量与约束意识带入设计。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制造环境中从事设计系统工程工作，关注标准化、工程约束、质量与跨部门协作。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与研究：</w:t>
      </w:r>
      <w:r>
        <w:rPr>
          <w:color w:val="20221F"/>
          <w:sz w:val="22"/>
        </w:rPr>
        <w:t>Codex、ChatGPT、ComfyUI、Midjourney；竞品与文化语境分析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视频研究：建立参考索引与八项解析，归纳六层控制，连接分镜、Blender 白模与渲染审阅。AI 辅助生成，人负责判断；未声称商业部署或上游成果。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 · 实体产品方向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