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Visual Systems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connect identity, spatial visuals and digital touchpoints through a product-design approach.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Identity: </w:t>
      </w:r>
      <w:r>
        <w:rPr>
          <w:color w:val="20221F"/>
          <w:sz w:val="22"/>
        </w:rPr>
        <w:t>Compare wordmarks, colour and hierarchy to form reusable rules.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Spatial expression: </w:t>
      </w:r>
      <w:r>
        <w:rPr>
          <w:color w:val="20221F"/>
          <w:sz w:val="22"/>
        </w:rPr>
        <w:t>Use 3D, materials and light to frame merchandise and props.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Consistency: </w:t>
      </w:r>
      <w:r>
        <w:rPr>
          <w:color w:val="20221F"/>
          <w:sz w:val="22"/>
        </w:rPr>
        <w:t>Explore applications through Periastra, YELISI and Biyuan AI.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no commercial or upstream results claimed.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Visual Systems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