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数字体验方向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将复杂任务转为清楚的输入、操作与反馈，结合界面设计、原型与开源整合完善体验。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界面与流程：</w:t>
      </w:r>
      <w:r>
        <w:rPr>
          <w:color w:val="20221F"/>
          <w:sz w:val="22"/>
        </w:rPr>
        <w:t>设计彼源 AI 的 VI/UI；比较桌面与移动端层级。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可控交互：</w:t>
      </w:r>
      <w:r>
        <w:rPr>
          <w:color w:val="20221F"/>
          <w:sz w:val="22"/>
        </w:rPr>
        <w:t>围绕改写审阅、恢复和版本选择设计工具流程。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创作系统：</w:t>
      </w:r>
      <w:r>
        <w:rPr>
          <w:color w:val="20221F"/>
          <w:sz w:val="22"/>
        </w:rPr>
        <w:t>用分镜与白模组织 AI 视频的输入、镜头和评估。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辅助生成，人负责判断；未声称商业部署或上游成果。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数字体验方向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