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connect product form, CMF, 3D and brand, using models and prototypes to make design choices concrete.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Physical products: </w:t>
      </w:r>
      <w:r>
        <w:rPr>
          <w:color w:val="20221F"/>
          <w:sz w:val="22"/>
        </w:rPr>
        <w:t>Compare form, materials and component relationships around use.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systems: </w:t>
      </w:r>
      <w:r>
        <w:rPr>
          <w:color w:val="20221F"/>
          <w:sz w:val="22"/>
        </w:rPr>
        <w:t>Connect identity, products and commercial spaces.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Collaboration: </w:t>
      </w:r>
      <w:r>
        <w:rPr>
          <w:color w:val="20221F"/>
          <w:sz w:val="22"/>
        </w:rPr>
        <w:t>Use 3D, interfaces and version comparisons to support team decisions.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 practice: character sheets, lighting studies and ink film connect visual constraints, prompts and human review with 3D and brand expression.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