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 · 数字体验方向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结合界面设计与 AI 视觉创作，将角色、布光和镜头要求转成可审阅的图像与影像。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界面与流程：</w:t>
      </w:r>
      <w:r>
        <w:rPr>
          <w:color w:val="20221F"/>
          <w:sz w:val="22"/>
        </w:rPr>
        <w:t>设计彼源 AI 的 VI/UI；比较桌面与移动端层级。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可控交互：</w:t>
      </w:r>
      <w:r>
        <w:rPr>
          <w:color w:val="20221F"/>
          <w:sz w:val="22"/>
        </w:rPr>
        <w:t>围绕改写审阅、恢复和版本选择设计工具流程。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视觉与影像：</w:t>
      </w:r>
      <w:r>
        <w:rPr>
          <w:color w:val="20221F"/>
          <w:sz w:val="22"/>
        </w:rPr>
        <w:t>完成水墨影像、角色卡与布光实验，组织提示词并比较输出。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制造环境中从事设计系统工程工作，关注标准化、工程约束、质量与跨部门协同。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创作：</w:t>
      </w:r>
      <w:r>
        <w:rPr>
          <w:color w:val="20221F"/>
          <w:sz w:val="22"/>
        </w:rPr>
        <w:t>Codex、Image 2.5、Seedance 2.5、ComfyUI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实践：以角色卡、布光实验与水墨影像、Mini DV 咖啡 vlog 与秋日单镜头时装片组织视觉约束、提示词和人工审阅，补充三维与品牌表达。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 · 数字体验方向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